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172720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ADEIA INC.</w:t>
      </w:r>
    </w:p>
    <w:p>
      <w:pPr>
        <w:spacing w:after="0" w:line="4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4" w:lineRule="exact"/>
        <w:rPr>
          <w:sz w:val="24"/>
          <w:szCs w:val="24"/>
          <w:color w:val="auto"/>
        </w:rPr>
      </w:pPr>
    </w:p>
    <w:tbl>
      <w:tblPr>
        <w:tblLayout w:type="fixed"/>
        <w:tblInd w:w="880" w:type="dxa"/>
        <w:tblCellMar>
          <w:top w:w="0" w:type="dxa"/>
          <w:left w:w="0" w:type="dxa"/>
          <w:bottom w:w="0" w:type="dxa"/>
          <w:right w:w="0" w:type="dxa"/>
        </w:tblCellMar>
      </w:tblPr>
      <w:tr>
        <w:trPr>
          <w:trHeight w:val="222"/>
        </w:trPr>
        <w:tc>
          <w:tcPr>
            <w:tcW w:w="2280" w:type="dxa"/>
            <w:vAlign w:val="bottom"/>
          </w:tcPr>
          <w:p>
            <w:pPr>
              <w:jc w:val="center"/>
              <w:ind w:right="27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80" w:type="dxa"/>
            <w:vAlign w:val="bottom"/>
          </w:tcPr>
          <w:p>
            <w:pPr>
              <w:jc w:val="center"/>
              <w:ind w:right="55"/>
              <w:spacing w:after="0"/>
              <w:rPr>
                <w:sz w:val="20"/>
                <w:szCs w:val="20"/>
                <w:color w:val="auto"/>
              </w:rPr>
            </w:pPr>
            <w:r>
              <w:rPr>
                <w:rFonts w:ascii="Times New Roman" w:cs="Times New Roman" w:eastAsia="Times New Roman" w:hAnsi="Times New Roman"/>
                <w:sz w:val="18"/>
                <w:szCs w:val="18"/>
                <w:b w:val="1"/>
                <w:bCs w:val="1"/>
                <w:color w:val="auto"/>
                <w:w w:val="99"/>
              </w:rPr>
              <w:t>001-39304</w:t>
            </w:r>
          </w:p>
        </w:tc>
        <w:tc>
          <w:tcPr>
            <w:tcW w:w="1820" w:type="dxa"/>
            <w:vAlign w:val="bottom"/>
          </w:tcPr>
          <w:p>
            <w:pPr>
              <w:jc w:val="center"/>
              <w:ind w:left="456"/>
              <w:spacing w:after="0"/>
              <w:rPr>
                <w:sz w:val="20"/>
                <w:szCs w:val="20"/>
                <w:color w:val="auto"/>
              </w:rPr>
            </w:pPr>
            <w:r>
              <w:rPr>
                <w:rFonts w:ascii="Times New Roman" w:cs="Times New Roman" w:eastAsia="Times New Roman" w:hAnsi="Times New Roman"/>
                <w:sz w:val="18"/>
                <w:szCs w:val="18"/>
                <w:b w:val="1"/>
                <w:bCs w:val="1"/>
                <w:color w:val="auto"/>
              </w:rPr>
              <w:t>84-4734590</w:t>
            </w:r>
          </w:p>
        </w:tc>
      </w:tr>
      <w:tr>
        <w:trPr>
          <w:trHeight w:val="203"/>
        </w:trPr>
        <w:tc>
          <w:tcPr>
            <w:tcW w:w="2280" w:type="dxa"/>
            <w:vAlign w:val="bottom"/>
          </w:tcPr>
          <w:p>
            <w:pPr>
              <w:jc w:val="center"/>
              <w:ind w:right="276"/>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508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(Commission</w:t>
            </w:r>
          </w:p>
        </w:tc>
        <w:tc>
          <w:tcPr>
            <w:tcW w:w="1820" w:type="dxa"/>
            <w:vAlign w:val="bottom"/>
          </w:tcPr>
          <w:p>
            <w:pPr>
              <w:jc w:val="center"/>
              <w:ind w:left="456"/>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2280" w:type="dxa"/>
            <w:vAlign w:val="bottom"/>
          </w:tcPr>
          <w:p>
            <w:pPr>
              <w:jc w:val="center"/>
              <w:ind w:right="276"/>
              <w:spacing w:after="0"/>
              <w:rPr>
                <w:sz w:val="20"/>
                <w:szCs w:val="20"/>
                <w:color w:val="auto"/>
              </w:rPr>
            </w:pPr>
            <w:r>
              <w:rPr>
                <w:rFonts w:ascii="Times New Roman" w:cs="Times New Roman" w:eastAsia="Times New Roman" w:hAnsi="Times New Roman"/>
                <w:sz w:val="16"/>
                <w:szCs w:val="16"/>
                <w:b w:val="1"/>
                <w:bCs w:val="1"/>
                <w:color w:val="auto"/>
              </w:rPr>
              <w:t>of Incorporation)</w:t>
            </w:r>
          </w:p>
        </w:tc>
        <w:tc>
          <w:tcPr>
            <w:tcW w:w="508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File Number)</w:t>
            </w:r>
          </w:p>
        </w:tc>
        <w:tc>
          <w:tcPr>
            <w:tcW w:w="1820" w:type="dxa"/>
            <w:vAlign w:val="bottom"/>
          </w:tcPr>
          <w:p>
            <w:pPr>
              <w:jc w:val="center"/>
              <w:ind w:left="456"/>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416"/>
        </w:trPr>
        <w:tc>
          <w:tcPr>
            <w:tcW w:w="2280" w:type="dxa"/>
            <w:vAlign w:val="bottom"/>
          </w:tcPr>
          <w:p>
            <w:pPr>
              <w:spacing w:after="0"/>
              <w:rPr>
                <w:sz w:val="24"/>
                <w:szCs w:val="24"/>
                <w:color w:val="auto"/>
              </w:rPr>
            </w:pPr>
          </w:p>
        </w:tc>
        <w:tc>
          <w:tcPr>
            <w:tcW w:w="5080" w:type="dxa"/>
            <w:vAlign w:val="bottom"/>
          </w:tcPr>
          <w:p>
            <w:pPr>
              <w:jc w:val="center"/>
              <w:ind w:right="115"/>
              <w:spacing w:after="0"/>
              <w:rPr>
                <w:sz w:val="20"/>
                <w:szCs w:val="20"/>
                <w:color w:val="auto"/>
              </w:rPr>
            </w:pPr>
            <w:r>
              <w:rPr>
                <w:rFonts w:ascii="Times New Roman" w:cs="Times New Roman" w:eastAsia="Times New Roman" w:hAnsi="Times New Roman"/>
                <w:sz w:val="18"/>
                <w:szCs w:val="18"/>
                <w:b w:val="1"/>
                <w:bCs w:val="1"/>
                <w:color w:val="auto"/>
                <w:w w:val="99"/>
              </w:rPr>
              <w:t>3025 Orchard Parkway</w:t>
            </w:r>
          </w:p>
        </w:tc>
        <w:tc>
          <w:tcPr>
            <w:tcW w:w="1820" w:type="dxa"/>
            <w:vAlign w:val="bottom"/>
          </w:tcPr>
          <w:p>
            <w:pPr>
              <w:spacing w:after="0"/>
              <w:rPr>
                <w:sz w:val="24"/>
                <w:szCs w:val="24"/>
                <w:color w:val="auto"/>
              </w:rPr>
            </w:pPr>
          </w:p>
        </w:tc>
      </w:tr>
      <w:tr>
        <w:trPr>
          <w:trHeight w:val="222"/>
        </w:trPr>
        <w:tc>
          <w:tcPr>
            <w:tcW w:w="2280" w:type="dxa"/>
            <w:vAlign w:val="bottom"/>
          </w:tcPr>
          <w:p>
            <w:pPr>
              <w:spacing w:after="0"/>
              <w:rPr>
                <w:sz w:val="19"/>
                <w:szCs w:val="19"/>
                <w:color w:val="auto"/>
              </w:rPr>
            </w:pPr>
          </w:p>
        </w:tc>
        <w:tc>
          <w:tcPr>
            <w:tcW w:w="5080" w:type="dxa"/>
            <w:vAlign w:val="bottom"/>
          </w:tcPr>
          <w:p>
            <w:pPr>
              <w:jc w:val="center"/>
              <w:ind w:right="115"/>
              <w:spacing w:after="0"/>
              <w:rPr>
                <w:sz w:val="20"/>
                <w:szCs w:val="20"/>
                <w:color w:val="auto"/>
              </w:rPr>
            </w:pPr>
            <w:r>
              <w:rPr>
                <w:rFonts w:ascii="Times New Roman" w:cs="Times New Roman" w:eastAsia="Times New Roman" w:hAnsi="Times New Roman"/>
                <w:sz w:val="18"/>
                <w:szCs w:val="18"/>
                <w:b w:val="1"/>
                <w:bCs w:val="1"/>
                <w:color w:val="auto"/>
                <w:w w:val="99"/>
              </w:rPr>
              <w:t>San Jose, California 95134</w:t>
            </w:r>
          </w:p>
        </w:tc>
        <w:tc>
          <w:tcPr>
            <w:tcW w:w="1820" w:type="dxa"/>
            <w:vAlign w:val="bottom"/>
          </w:tcPr>
          <w:p>
            <w:pPr>
              <w:spacing w:after="0"/>
              <w:rPr>
                <w:sz w:val="19"/>
                <w:szCs w:val="19"/>
                <w:color w:val="auto"/>
              </w:rPr>
            </w:pPr>
          </w:p>
        </w:tc>
      </w:tr>
      <w:tr>
        <w:trPr>
          <w:trHeight w:val="212"/>
        </w:trPr>
        <w:tc>
          <w:tcPr>
            <w:tcW w:w="2280" w:type="dxa"/>
            <w:vAlign w:val="bottom"/>
          </w:tcPr>
          <w:p>
            <w:pPr>
              <w:spacing w:after="0"/>
              <w:rPr>
                <w:sz w:val="18"/>
                <w:szCs w:val="18"/>
                <w:color w:val="auto"/>
              </w:rPr>
            </w:pPr>
          </w:p>
        </w:tc>
        <w:tc>
          <w:tcPr>
            <w:tcW w:w="50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including Zip Code)</w:t>
            </w:r>
          </w:p>
        </w:tc>
        <w:tc>
          <w:tcPr>
            <w:tcW w:w="1820" w:type="dxa"/>
            <w:vAlign w:val="bottom"/>
          </w:tcPr>
          <w:p>
            <w:pPr>
              <w:spacing w:after="0"/>
              <w:rPr>
                <w:sz w:val="18"/>
                <w:szCs w:val="18"/>
                <w:color w:val="auto"/>
              </w:rPr>
            </w:pPr>
          </w:p>
        </w:tc>
      </w:tr>
      <w:tr>
        <w:trPr>
          <w:trHeight w:val="422"/>
        </w:trPr>
        <w:tc>
          <w:tcPr>
            <w:tcW w:w="2280" w:type="dxa"/>
            <w:vAlign w:val="bottom"/>
          </w:tcPr>
          <w:p>
            <w:pPr>
              <w:spacing w:after="0"/>
              <w:rPr>
                <w:sz w:val="24"/>
                <w:szCs w:val="24"/>
                <w:color w:val="auto"/>
              </w:rPr>
            </w:pPr>
          </w:p>
        </w:tc>
        <w:tc>
          <w:tcPr>
            <w:tcW w:w="5080" w:type="dxa"/>
            <w:vAlign w:val="bottom"/>
          </w:tcPr>
          <w:p>
            <w:pPr>
              <w:jc w:val="center"/>
              <w:ind w:right="115"/>
              <w:spacing w:after="0"/>
              <w:rPr>
                <w:sz w:val="20"/>
                <w:szCs w:val="20"/>
                <w:color w:val="auto"/>
              </w:rPr>
            </w:pPr>
            <w:r>
              <w:rPr>
                <w:rFonts w:ascii="Times New Roman" w:cs="Times New Roman" w:eastAsia="Times New Roman" w:hAnsi="Times New Roman"/>
                <w:sz w:val="18"/>
                <w:szCs w:val="18"/>
                <w:b w:val="1"/>
                <w:bCs w:val="1"/>
                <w:color w:val="auto"/>
                <w:w w:val="99"/>
              </w:rPr>
              <w:t>(408) 473-2500</w:t>
            </w:r>
          </w:p>
        </w:tc>
        <w:tc>
          <w:tcPr>
            <w:tcW w:w="1820" w:type="dxa"/>
            <w:vAlign w:val="bottom"/>
          </w:tcPr>
          <w:p>
            <w:pPr>
              <w:spacing w:after="0"/>
              <w:rPr>
                <w:sz w:val="24"/>
                <w:szCs w:val="24"/>
                <w:color w:val="auto"/>
              </w:rPr>
            </w:pPr>
          </w:p>
        </w:tc>
      </w:tr>
      <w:tr>
        <w:trPr>
          <w:trHeight w:val="212"/>
        </w:trPr>
        <w:tc>
          <w:tcPr>
            <w:tcW w:w="2280" w:type="dxa"/>
            <w:vAlign w:val="bottom"/>
          </w:tcPr>
          <w:p>
            <w:pPr>
              <w:spacing w:after="0"/>
              <w:rPr>
                <w:sz w:val="18"/>
                <w:szCs w:val="18"/>
                <w:color w:val="auto"/>
              </w:rPr>
            </w:pPr>
          </w:p>
        </w:tc>
        <w:tc>
          <w:tcPr>
            <w:tcW w:w="508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8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149225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6"/>
          <w:szCs w:val="16"/>
          <w:color w:val="auto"/>
        </w:rPr>
      </w:pPr>
    </w:p>
    <w:p>
      <w:pPr>
        <w:ind w:left="560" w:hanging="455"/>
        <w:spacing w:after="0"/>
        <w:tabs>
          <w:tab w:leader="none" w:pos="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6"/>
          <w:szCs w:val="16"/>
          <w:color w:val="auto"/>
        </w:rPr>
      </w:pPr>
    </w:p>
    <w:p>
      <w:pPr>
        <w:ind w:left="560" w:hanging="455"/>
        <w:spacing w:after="0"/>
        <w:tabs>
          <w:tab w:leader="none" w:pos="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6"/>
          <w:szCs w:val="16"/>
          <w:color w:val="auto"/>
        </w:rPr>
      </w:pPr>
    </w:p>
    <w:p>
      <w:pPr>
        <w:ind w:left="560" w:hanging="455"/>
        <w:spacing w:after="0"/>
        <w:tabs>
          <w:tab w:leader="none" w:pos="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Securities </w:t>
            </w:r>
            <w:r>
              <w:rPr>
                <w:rFonts w:ascii="Times New Roman" w:cs="Times New Roman" w:eastAsia="Times New Roman" w:hAnsi="Times New Roman"/>
                <w:sz w:val="17"/>
                <w:szCs w:val="17"/>
                <w:color w:val="auto"/>
              </w:rPr>
              <w:t>registered pursuant to Section 12(b) of the Act:</w:t>
            </w:r>
          </w:p>
        </w:tc>
        <w:tc>
          <w:tcPr>
            <w:tcW w:w="110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239"/>
        </w:trPr>
        <w:tc>
          <w:tcPr>
            <w:tcW w:w="5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p>
        </w:tc>
      </w:tr>
      <w:tr>
        <w:trPr>
          <w:trHeight w:val="150"/>
        </w:trPr>
        <w:tc>
          <w:tcPr>
            <w:tcW w:w="5100" w:type="dxa"/>
            <w:vAlign w:val="bottom"/>
            <w:tcBorders>
              <w:left w:val="single" w:sz="8" w:color="auto"/>
              <w:right w:val="single" w:sz="8" w:color="auto"/>
            </w:tcBorders>
          </w:tcPr>
          <w:p>
            <w:pPr>
              <w:spacing w:after="0"/>
              <w:rPr>
                <w:sz w:val="13"/>
                <w:szCs w:val="13"/>
                <w:color w:val="auto"/>
              </w:rPr>
            </w:pPr>
          </w:p>
        </w:tc>
        <w:tc>
          <w:tcPr>
            <w:tcW w:w="1100" w:type="dxa"/>
            <w:vAlign w:val="bottom"/>
            <w:tcBorders>
              <w:right w:val="single" w:sz="8" w:color="auto"/>
            </w:tcBorders>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Trading</w:t>
            </w:r>
          </w:p>
        </w:tc>
        <w:tc>
          <w:tcPr>
            <w:tcW w:w="5040" w:type="dxa"/>
            <w:vAlign w:val="bottom"/>
            <w:tcBorders>
              <w:right w:val="single" w:sz="8" w:color="auto"/>
            </w:tcBorders>
          </w:tcPr>
          <w:p>
            <w:pPr>
              <w:spacing w:after="0"/>
              <w:rPr>
                <w:sz w:val="13"/>
                <w:szCs w:val="13"/>
                <w:color w:val="auto"/>
              </w:rPr>
            </w:pPr>
          </w:p>
        </w:tc>
      </w:tr>
      <w:tr>
        <w:trPr>
          <w:trHeight w:val="235"/>
        </w:trPr>
        <w:tc>
          <w:tcPr>
            <w:tcW w:w="5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94"/>
        </w:trPr>
        <w:tc>
          <w:tcPr>
            <w:tcW w:w="5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ADEA</w:t>
            </w: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231F1F"/>
        </w:rPr>
        <w:t>Indicate by check mark whether the registrant is an emerging growth company as defined in Rule 405 of the Securities Act of 1933 (§230.405 of this chapter) or Rule 12b-2 of the Securities Exchange Act of 1934 (§240.12b-2 of this chapter).</w:t>
      </w:r>
    </w:p>
    <w:p>
      <w:pPr>
        <w:spacing w:after="0" w:line="14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1F"/>
        </w:rPr>
        <w:t xml:space="preserve">Emerging growth company </w:t>
      </w:r>
      <w:r>
        <w:rPr>
          <w:rFonts w:ascii="MS PGothic" w:cs="MS PGothic" w:eastAsia="MS PGothic" w:hAnsi="MS PGothic"/>
          <w:sz w:val="16"/>
          <w:szCs w:val="16"/>
          <w:color w:val="231F1F"/>
        </w:rPr>
        <w:t>☐</w:t>
      </w:r>
    </w:p>
    <w:p>
      <w:pPr>
        <w:spacing w:after="0" w:line="243"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231F1F"/>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231F1F"/>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883920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Press Release</w:t>
      </w:r>
    </w:p>
    <w:p>
      <w:pPr>
        <w:spacing w:after="0" w:line="22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On April 1, 2026, Adeia Inc. (the “Company” or “Adeia”) issued a press release announcing that its subsidiaries filed a patent infringement litigation against DISH Network Corporation and reiterated its full 2026 outlook. The press release is furnished hereto as Exhibit 99.1.</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including Exhibit 99.1, is being furnished and shall not be deemed filed for purposes of Section 18 of the Securities Exchange Act of 1934, as amended, or otherwise subject to the liabilities of Section 18. Furthermore, the information contained in Item 7.01, including Exhibit 99.1, of this report shall not be deemed to be incorporated by reference into any registration statement or other document filed pursuant to the Securities Act of 1933, as amended.</w:t>
      </w:r>
    </w:p>
    <w:p>
      <w:pPr>
        <w:spacing w:after="0" w:line="17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tab/>
        <w:t>Exhibits.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7220" w:type="dxa"/>
            <w:vAlign w:val="bottom"/>
            <w:shd w:val="clear" w:color="auto" w:fill="000000"/>
          </w:tcPr>
          <w:p>
            <w:pPr>
              <w:spacing w:after="0" w:line="20" w:lineRule="exact"/>
              <w:rPr>
                <w:sz w:val="1"/>
                <w:szCs w:val="1"/>
                <w:color w:val="auto"/>
              </w:rPr>
            </w:pPr>
          </w:p>
        </w:tc>
      </w:tr>
      <w:tr>
        <w:trPr>
          <w:trHeight w:val="385"/>
        </w:trPr>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April 1, 2026</w:t>
            </w:r>
          </w:p>
        </w:tc>
      </w:tr>
      <w:tr>
        <w:trPr>
          <w:trHeight w:val="20"/>
        </w:trPr>
        <w:tc>
          <w:tcPr>
            <w:tcW w:w="14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453"/>
        </w:trPr>
        <w:tc>
          <w:tcPr>
            <w:tcW w:w="14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2026</w:t>
            </w:r>
          </w:p>
        </w:tc>
        <w:tc>
          <w:tcPr>
            <w:tcW w:w="772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ADEIA INC.</w:t>
            </w:r>
          </w:p>
        </w:tc>
      </w:tr>
      <w:tr>
        <w:trPr>
          <w:trHeight w:val="432"/>
        </w:trPr>
        <w:tc>
          <w:tcPr>
            <w:tcW w:w="3520" w:type="dxa"/>
            <w:vAlign w:val="bottom"/>
          </w:tcPr>
          <w:p>
            <w:pPr>
              <w:spacing w:after="0"/>
              <w:rPr>
                <w:sz w:val="24"/>
                <w:szCs w:val="24"/>
                <w:color w:val="auto"/>
              </w:rPr>
            </w:pPr>
          </w:p>
        </w:tc>
        <w:tc>
          <w:tcPr>
            <w:tcW w:w="27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Keith A. Jones</w:t>
            </w:r>
          </w:p>
        </w:tc>
      </w:tr>
      <w:tr>
        <w:trPr>
          <w:trHeight w:val="228"/>
        </w:trPr>
        <w:tc>
          <w:tcPr>
            <w:tcW w:w="3520" w:type="dxa"/>
            <w:vAlign w:val="bottom"/>
          </w:tcPr>
          <w:p>
            <w:pPr>
              <w:spacing w:after="0"/>
              <w:rPr>
                <w:sz w:val="19"/>
                <w:szCs w:val="19"/>
                <w:color w:val="auto"/>
              </w:rPr>
            </w:pPr>
          </w:p>
        </w:tc>
        <w:tc>
          <w:tcPr>
            <w:tcW w:w="27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Keith A. Jones</w:t>
            </w:r>
          </w:p>
        </w:tc>
      </w:tr>
      <w:tr>
        <w:trPr>
          <w:trHeight w:val="414"/>
        </w:trPr>
        <w:tc>
          <w:tcPr>
            <w:tcW w:w="3520" w:type="dxa"/>
            <w:vAlign w:val="bottom"/>
          </w:tcPr>
          <w:p>
            <w:pPr>
              <w:spacing w:after="0"/>
              <w:rPr>
                <w:sz w:val="24"/>
                <w:szCs w:val="24"/>
                <w:color w:val="auto"/>
              </w:rPr>
            </w:pPr>
          </w:p>
        </w:tc>
        <w:tc>
          <w:tcPr>
            <w:tcW w:w="27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79"/>
        </w:trPr>
        <w:tc>
          <w:tcPr>
            <w:tcW w:w="35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tabs>
          <w:tab w:leader="none" w:pos="8480" w:val="left"/>
        </w:tabs>
        <w:rPr>
          <w:sz w:val="20"/>
          <w:szCs w:val="20"/>
          <w:color w:val="auto"/>
        </w:rPr>
      </w:pPr>
      <w:r>
        <w:rPr>
          <w:rFonts w:ascii="Times New Roman" w:cs="Times New Roman" w:eastAsia="Times New Roman" w:hAnsi="Times New Roman"/>
          <w:sz w:val="18"/>
          <w:szCs w:val="18"/>
          <w:b w:val="1"/>
          <w:bCs w:val="1"/>
          <w:color w:val="auto"/>
        </w:rPr>
        <w:t>FOR IMMEDIATE RELEASE</w:t>
      </w:r>
      <w:r>
        <w:rPr>
          <w:sz w:val="20"/>
          <w:szCs w:val="20"/>
          <w:color w:val="auto"/>
        </w:rPr>
        <w:tab/>
      </w: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19685</wp:posOffset>
            </wp:positionV>
            <wp:extent cx="1482725" cy="556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8272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ADEIA ANNOUNCES PATENT INFRINGEMENT LITIGATION AGAINST DISH NETWORK REITERATES FULL 2026 OUTLOOK</w:t>
      </w:r>
    </w:p>
    <w:p>
      <w:pPr>
        <w:spacing w:after="0" w:line="267"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SAN JOSE, Calif., April 1, 2026 — </w:t>
      </w:r>
      <w:r>
        <w:rPr>
          <w:rFonts w:ascii="Times New Roman" w:cs="Times New Roman" w:eastAsia="Times New Roman" w:hAnsi="Times New Roman"/>
          <w:sz w:val="18"/>
          <w:szCs w:val="18"/>
          <w:color w:val="auto"/>
        </w:rPr>
        <w:t>Adeia Inc. (Nasdaq: ADEA), the technology company known for developing foundational innovations that enable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next-generation solutions for the semiconductor and media industries, today announced that its subsidiaries filed a patent infringement lawsuit against DISH Network Corporation and certain of its affiliates in the U.S. District Court for the District of Colorado. The complaint alleges that DISH infringes five patents from Adeia’s media intellectual property (IP) patent portfolio related to core media and pay-TV technologies.</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Adeia’s innovations have been foundational to the evolution of digital television and media distribution, including technologies that enable content discovery and advanced viewing experiences. Adeia’s media IP portfolio is broadly licensed across the pay-TV industry, including the vast majority of leading U.S. providers, reflecting both the value and relevance of our innovations.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decades, DISH and its predecessors have licensed and relied on our foundational technologies to build and enhance their services,” said Paul E. Davis, chief executive officer of Adeia. “DISH’s continued use of our foundational technology without authorization leaves us no choice but to take action. Adeia has consistently demonstrated its commitment to protecting the value of its innovations through negotiated license agreements and when necessary, through targeted litigation, as seen in our recent outcomes with Disney and AMD. We remain open to reaching a fair and reasonable resolution but are fully prepared to pursue this matter through the legal process and are confident in our position.”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Adeia’s portfolio includes thousands of patents and patent applications worldwide, covering key technologies in digital entertainment, media platforms, and semiconductor solutions. The Company remains committed to driving innovation while ensuring that its intellectual property is respected and appropriately licensed.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Outlook</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reiterates its full year 2026 outlook as follows: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0"/>
        </w:trPr>
        <w:tc>
          <w:tcPr>
            <w:tcW w:w="5480" w:type="dxa"/>
            <w:vAlign w:val="bottom"/>
          </w:tcPr>
          <w:p>
            <w:pPr>
              <w:ind w:left="236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8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8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4"/>
                <w:szCs w:val="24"/>
                <w:color w:val="auto"/>
              </w:rPr>
            </w:pPr>
          </w:p>
        </w:tc>
      </w:tr>
      <w:tr>
        <w:trPr>
          <w:trHeight w:val="238"/>
        </w:trPr>
        <w:tc>
          <w:tcPr>
            <w:tcW w:w="548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(in millions, except for tax rate)</w:t>
            </w:r>
          </w:p>
        </w:tc>
        <w:tc>
          <w:tcPr>
            <w:tcW w:w="140" w:type="dxa"/>
            <w:vAlign w:val="bottom"/>
          </w:tcPr>
          <w:p>
            <w:pPr>
              <w:spacing w:after="0"/>
              <w:rPr>
                <w:sz w:val="20"/>
                <w:szCs w:val="20"/>
                <w:color w:val="auto"/>
              </w:rPr>
            </w:pPr>
          </w:p>
        </w:tc>
        <w:tc>
          <w:tcPr>
            <w:tcW w:w="2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GAAP Outlook</w:t>
            </w:r>
          </w:p>
        </w:tc>
        <w:tc>
          <w:tcPr>
            <w:tcW w:w="120" w:type="dxa"/>
            <w:vAlign w:val="bottom"/>
          </w:tcPr>
          <w:p>
            <w:pPr>
              <w:spacing w:after="0"/>
              <w:rPr>
                <w:sz w:val="20"/>
                <w:szCs w:val="20"/>
                <w:color w:val="auto"/>
              </w:rPr>
            </w:pPr>
          </w:p>
        </w:tc>
        <w:tc>
          <w:tcPr>
            <w:tcW w:w="27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Non-GAAP Outlook</w:t>
            </w:r>
          </w:p>
        </w:tc>
        <w:tc>
          <w:tcPr>
            <w:tcW w:w="120" w:type="dxa"/>
            <w:vAlign w:val="bottom"/>
          </w:tcPr>
          <w:p>
            <w:pPr>
              <w:spacing w:after="0"/>
              <w:rPr>
                <w:sz w:val="20"/>
                <w:szCs w:val="20"/>
                <w:color w:val="auto"/>
              </w:rPr>
            </w:pPr>
          </w:p>
        </w:tc>
      </w:tr>
      <w:tr>
        <w:trPr>
          <w:trHeight w:val="21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− 435.0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− 435.0</w:t>
            </w:r>
          </w:p>
        </w:tc>
      </w:tr>
      <w:tr>
        <w:trPr>
          <w:trHeight w:val="216"/>
        </w:trPr>
        <w:tc>
          <w:tcPr>
            <w:tcW w:w="54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4"/>
                <w:szCs w:val="24"/>
                <w:color w:val="auto"/>
                <w:vertAlign w:val="superscript"/>
              </w:rPr>
              <w:t>(1)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− 305.0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− 192.0</w:t>
            </w: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− 36.0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− 36.0</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− 6.5</w:t>
            </w: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rate</w:t>
            </w:r>
          </w:p>
        </w:tc>
        <w:tc>
          <w:tcPr>
            <w:tcW w:w="2820" w:type="dxa"/>
            <w:vAlign w:val="bottom"/>
            <w:gridSpan w:val="3"/>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20%</w:t>
            </w:r>
          </w:p>
        </w:tc>
        <w:tc>
          <w:tcPr>
            <w:tcW w:w="2820" w:type="dxa"/>
            <w:vAlign w:val="bottom"/>
            <w:gridSpan w:val="3"/>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6"/>
              </w:rPr>
              <w:t>21%</w:t>
            </w:r>
          </w:p>
        </w:tc>
        <w:tc>
          <w:tcPr>
            <w:tcW w:w="12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24"/>
                <w:szCs w:val="24"/>
                <w:color w:val="auto"/>
                <w:vertAlign w:val="superscript"/>
              </w:rPr>
              <w:t>(2)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− 80.4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− 168.7</w:t>
            </w:r>
          </w:p>
        </w:tc>
      </w:tr>
      <w:tr>
        <w:trPr>
          <w:trHeight w:val="216"/>
        </w:trPr>
        <w:tc>
          <w:tcPr>
            <w:tcW w:w="54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4"/>
                <w:szCs w:val="24"/>
                <w:color w:val="auto"/>
                <w:vertAlign w:val="superscript"/>
              </w:rPr>
              <w:t>(2)</w:t>
            </w:r>
          </w:p>
        </w:tc>
        <w:tc>
          <w:tcPr>
            <w:tcW w:w="140" w:type="dxa"/>
            <w:vAlign w:val="bottom"/>
            <w:shd w:val="clear" w:color="auto" w:fill="CFF0FC"/>
          </w:tcPr>
          <w:p>
            <w:pPr>
              <w:spacing w:after="0"/>
              <w:rPr>
                <w:sz w:val="18"/>
                <w:szCs w:val="18"/>
                <w:color w:val="auto"/>
              </w:rPr>
            </w:pPr>
          </w:p>
        </w:tc>
        <w:tc>
          <w:tcPr>
            <w:tcW w:w="26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− 245.4</w:t>
            </w: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Diluted shares outstanding</w:t>
            </w:r>
          </w:p>
        </w:tc>
        <w:tc>
          <w:tcPr>
            <w:tcW w:w="140" w:type="dxa"/>
            <w:vAlign w:val="bottom"/>
          </w:tcPr>
          <w:p>
            <w:pPr>
              <w:spacing w:after="0"/>
              <w:rPr>
                <w:sz w:val="20"/>
                <w:szCs w:val="20"/>
                <w:color w:val="auto"/>
              </w:rPr>
            </w:pP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114.0 − 115.0</w:t>
            </w:r>
          </w:p>
        </w:tc>
        <w:tc>
          <w:tcPr>
            <w:tcW w:w="120" w:type="dxa"/>
            <w:vAlign w:val="bottom"/>
          </w:tcPr>
          <w:p>
            <w:pPr>
              <w:spacing w:after="0"/>
              <w:rPr>
                <w:sz w:val="20"/>
                <w:szCs w:val="20"/>
                <w:color w:val="auto"/>
              </w:rPr>
            </w:pPr>
          </w:p>
        </w:tc>
        <w:tc>
          <w:tcPr>
            <w:tcW w:w="28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114.0 − 115.0</w:t>
            </w:r>
          </w:p>
        </w:tc>
      </w:tr>
    </w:tbl>
    <w:p>
      <w:pPr>
        <w:spacing w:after="0" w:line="151" w:lineRule="exact"/>
        <w:rPr>
          <w:sz w:val="20"/>
          <w:szCs w:val="20"/>
          <w:color w:val="auto"/>
        </w:rPr>
      </w:pPr>
    </w:p>
    <w:p>
      <w:pPr>
        <w:ind w:left="200" w:hanging="192"/>
        <w:spacing w:after="0"/>
        <w:tabs>
          <w:tab w:leader="none" w:pos="200" w:val="left"/>
        </w:tabs>
        <w:numPr>
          <w:ilvl w:val="0"/>
          <w:numId w:val="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See tables for reconciliation of GAAP to non-GAAP operating expenses.</w:t>
      </w:r>
    </w:p>
    <w:p>
      <w:pPr>
        <w:spacing w:after="0" w:line="211" w:lineRule="exact"/>
        <w:rPr>
          <w:rFonts w:ascii="Times New Roman" w:cs="Times New Roman" w:eastAsia="Times New Roman" w:hAnsi="Times New Roman"/>
          <w:sz w:val="24"/>
          <w:szCs w:val="24"/>
          <w:color w:val="auto"/>
          <w:vertAlign w:val="superscript"/>
        </w:rPr>
      </w:pPr>
    </w:p>
    <w:p>
      <w:pPr>
        <w:ind w:right="700" w:firstLine="8"/>
        <w:spacing w:after="0" w:line="242" w:lineRule="auto"/>
        <w:tabs>
          <w:tab w:leader="none" w:pos="185" w:val="left"/>
        </w:tabs>
        <w:numPr>
          <w:ilvl w:val="0"/>
          <w:numId w:val="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tables for reconciliation of GAAP net income to (i) non-GAAP net income and (ii) adjusted earnings before interest expense, income taxes, depreciation and amortization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federal securities laws, including Section 27A of the Securities Act of 1933, as amended, and Section 21E of the Securities Exchange Act of 1934, as amended. These forward-looking statements are based on information available to the Company as of the date hereof, as well as the Company’s current expectations, assumptions, estimates and projections that involve risks and uncertainties. In this context, forward-looking statements often address expected future business, financial performance and financial condition, and often contain words such as “expect,” “anticipate,” “intend,” “plan,” “believe,” “could,” “seek,” “see,” “will,” “may,” “would,” “might,” “potentially,” “estimate,” “continue,” “target,” similar expressions or the negatives of these words or other comparable terminology that convey uncertainty of future events or outcomes. All forward-looking statements by their nature address matters that involve risks and uncertainties, many of which are beyond the Company’s control, and are not guarantees of future results.</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Forward-looking statements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Company’s ability to implement its business strategy; the Company’s ability to enter into new and renewal license agreements with customers on favorable terms; the Company’s ability to retain and hire key personnel; uncertainty as to the long-term value of the Company’s common stock; legislative, regulatory and economic developments affecting the Company’s business; general economic and market developments and conditions; the Company’s ability to grow and expand its patent portfolios; changes in technology and development of new technology in the industries in which in which the Company operates; our involvement in litigation and administrative proceedings to enforce or defend our IP rights; the evolving legal, regulatory and tax regimes under which the Company operates; unforeseen liabilities and expenses; risks associated with the Company’s indebtedness; unpredictability and severity of catastrophic events, including, but not limited to, acts of terrorism or outbreak of war or hostilities, natural disasters and global health pandemics, each of which may have an adverse impact on the Company’s business, results of operations, and financial condition. These risks, as well as other risks associated with the Company’s business, are more fully discussed in the Company’s filings with the U.S. Securities and Exchange Commission (“SEC”), including the Company’s Annual Report on Form 10-K and Quarterly Reports on Form 10-Q. While the list of factors presented here is, and the list of factors presented in the Company’s filings with the SEC are, considered representative, no such list should be considered to be a complete statement of all potential risks and uncertainties. Unlisted factors may present significant additional obstacles to the realization of forward-looking statements.</w:t>
      </w:r>
    </w:p>
    <w:p>
      <w:pPr>
        <w:spacing w:after="0" w:line="19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Causes of material differences in results as compared with those anticipated in the forward-looking statements could include, among other things, business disruption, operational problems, failure to complete licensing arrangements on anticipated terms and timeline, failure to prevail in litigation we may bring against third parties, including against DISH Network described herein, financial loss, legal liability to third parties and similar risks, the cost of litigation may exceed our current expectations, and failure to attract or retain employees, any of which could have a material adverse effect on the Company’s consolidated financial condition, results of operations, liquidity or trading price of common stock. The Company does not assume any obligation to publicly provide revisions or updates to any forward-looking statements, whether as a result of new information, future developments or otherwise, should circumstances change, except as otherwise required by securities and other applicable 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Adeia Inc.</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Adeia is a leading R&amp;D and intellectual property (IP) licensing company that accelerates the adoption of innovative technologies in the media and semiconductor industries. Adeia’s fundamental innovations underpin technology solutions that are shaping and elevating the future of digital entertainment and electronics. Adeia’s IP portfolios power the connected devices that touch the lives of millions of people around the world every day as they live, work and play. For more, please visit www.adeia.com.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disclosing financial results calculated in accordance with U.S. Generally Accepted Accounting Principles (GAAP), this press release contains non-GAAP financial measures adjusted, where applicable, for either one-time or ongoing non-cash acquired intangibles amortization charges, costs related to actual or planned business combinations including transaction fees, integration costs, severance, facility closures, and retention bonuses, separation costs, all forms of stock-based compensation, loss on debt extinguishment, expensed debt refinancing costs, impairment of intangible assets, impact of certain foreign currency adjustments, discontinued operations and related tax effects. In addition, adjusted EBITDA adjusts for recurring charges of interest expense, income taxes, depreciation and amortization. Management believes that the non-GAAP measures used in this release provide investors with important perspectives on the Company’s ongoing business and financial performance and are helpful to provide investors with an understanding of our core operating results reflecting our normal business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0" w:right="359" w:bottom="1440" w:gutter="0" w:footer="0" w:header="0"/>
        </w:sectPr>
      </w:pPr>
    </w:p>
    <w:bookmarkStart w:id="5" w:name="page6"/>
    <w:bookmarkEnd w:id="5"/>
    <w:p>
      <w:pPr>
        <w:spacing w:after="0" w:line="254" w:lineRule="auto"/>
        <w:rPr>
          <w:sz w:val="20"/>
          <w:szCs w:val="20"/>
          <w:color w:val="auto"/>
        </w:rPr>
      </w:pPr>
      <w:r>
        <w:rPr>
          <w:rFonts w:ascii="Times New Roman" w:cs="Times New Roman" w:eastAsia="Times New Roman" w:hAnsi="Times New Roman"/>
          <w:sz w:val="18"/>
          <w:szCs w:val="18"/>
          <w:color w:val="auto"/>
        </w:rPr>
        <w:t>The non-GAAP financial measures disclosed by the Company should not be considered a substitute for, or superior to, financial measures calculated in accordance with GAAP. Our use of non-GAAP financial measures has certain limitations in that the non-GAAP financial measures we use may not be directly comparable to those reported by other companies. For example, the terms used in this press release, such as adjusted EBITDA, non-GAAP operating expenses, and non-GAAP net income do not have a standardized meaning. Other companies may use the same or similarly named measures, but exclude different items, which may not provide investors with a comparable view of our performance in relation to other companies. We seek to compensate for the limitation of our non-GAAP presentation by providing a detailed reconciliation of the non-GAAP financial measures to the most directly comparable GAAP measures in the tables attached hereto. Investors are encouraged to review the related GAAP financial measures and the reconciliation of these non-GAAP financial measures to their most directly comparable GAAP financial measures. All financial data is presented on a GAAP basis except where the Company indicates its presentation is on a non-GAAP basis.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Information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Adeia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Chaney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IR@adeia.com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Adeia 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Enerio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marketing@adeia.com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reconciliations of the Company’s forecasted GAAP to non-GAAP financial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4" w:right="39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RECONCILIATION FOR GUIDANCE</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ON OPERATING EXPENSES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5715</wp:posOffset>
            </wp:positionV>
            <wp:extent cx="23399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jc w:val="both"/>
        <w:ind w:left="8100"/>
        <w:spacing w:after="0"/>
        <w:tabs>
          <w:tab w:leader="none" w:pos="10100" w:val="left"/>
        </w:tabs>
        <w:rPr>
          <w:sz w:val="20"/>
          <w:szCs w:val="20"/>
          <w:color w:val="auto"/>
        </w:rPr>
      </w:pPr>
      <w:r>
        <w:rPr>
          <w:rFonts w:ascii="Times New Roman" w:cs="Times New Roman" w:eastAsia="Times New Roman" w:hAnsi="Times New Roman"/>
          <w:sz w:val="18"/>
          <w:szCs w:val="18"/>
          <w:b w:val="1"/>
          <w:bCs w:val="1"/>
          <w:color w:val="auto"/>
        </w:rPr>
        <w:t>Low</w:t>
      </w:r>
      <w:r>
        <w:rPr>
          <w:sz w:val="20"/>
          <w:szCs w:val="20"/>
          <w:color w:val="auto"/>
        </w:rPr>
        <w:tab/>
      </w:r>
      <w:r>
        <w:rPr>
          <w:rFonts w:ascii="Times New Roman" w:cs="Times New Roman" w:eastAsia="Times New Roman" w:hAnsi="Times New Roman"/>
          <w:sz w:val="18"/>
          <w:szCs w:val="18"/>
          <w:b w:val="1"/>
          <w:bCs w:val="1"/>
          <w:color w:val="auto"/>
        </w:rPr>
        <w:t>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14605</wp:posOffset>
            </wp:positionV>
            <wp:extent cx="23399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ectPr>
          <w:pgSz w:w="11900" w:h="16838" w:orient="portrait"/>
          <w:cols w:equalWidth="0" w:num="1">
            <w:col w:w="11200"/>
          </w:cols>
          <w:pgMar w:left="320" w:top="1184" w:right="37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operating expenses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Amortization expense</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Stock-based compensation expense</w:t>
      </w:r>
    </w:p>
    <w:p>
      <w:pPr>
        <w:ind w:left="80"/>
        <w:spacing w:after="0" w:line="230" w:lineRule="auto"/>
        <w:rPr>
          <w:sz w:val="20"/>
          <w:szCs w:val="20"/>
          <w:color w:val="auto"/>
        </w:rPr>
      </w:pPr>
      <w:r>
        <w:rPr>
          <w:rFonts w:ascii="Times New Roman" w:cs="Times New Roman" w:eastAsia="Times New Roman" w:hAnsi="Times New Roman"/>
          <w:sz w:val="18"/>
          <w:szCs w:val="18"/>
          <w:color w:val="auto"/>
        </w:rPr>
        <w:t xml:space="preserve">Separation and related costs </w:t>
      </w:r>
      <w:r>
        <w:rPr>
          <w:rFonts w:ascii="Times New Roman" w:cs="Times New Roman" w:eastAsia="Times New Roman" w:hAnsi="Times New Roman"/>
          <w:sz w:val="24"/>
          <w:szCs w:val="24"/>
          <w:color w:val="auto"/>
          <w:vertAlign w:val="superscript"/>
        </w:rPr>
        <w:t>(1)</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of non-GAAP adjustments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operating expenses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1234" w:hanging="1234"/>
        <w:spacing w:after="0"/>
        <w:tabs>
          <w:tab w:leader="none" w:pos="12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295.0</w:t>
      </w:r>
    </w:p>
    <w:p>
      <w:pPr>
        <w:spacing w:after="0" w:line="22" w:lineRule="exact"/>
        <w:rPr>
          <w:rFonts w:ascii="Times New Roman" w:cs="Times New Roman" w:eastAsia="Times New Roman" w:hAnsi="Times New Roman"/>
          <w:sz w:val="18"/>
          <w:szCs w:val="18"/>
          <w:color w:val="auto"/>
        </w:rPr>
      </w:pPr>
    </w:p>
    <w:p>
      <w:pPr>
        <w:ind w:left="133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w:t>
      </w:r>
    </w:p>
    <w:p>
      <w:pPr>
        <w:spacing w:after="0" w:line="22" w:lineRule="exact"/>
        <w:rPr>
          <w:rFonts w:ascii="Times New Roman" w:cs="Times New Roman" w:eastAsia="Times New Roman" w:hAnsi="Times New Roman"/>
          <w:sz w:val="18"/>
          <w:szCs w:val="18"/>
          <w:color w:val="auto"/>
        </w:rPr>
      </w:pPr>
    </w:p>
    <w:p>
      <w:pPr>
        <w:ind w:left="133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w:t>
      </w:r>
    </w:p>
    <w:p>
      <w:pPr>
        <w:spacing w:after="0" w:line="9" w:lineRule="exact"/>
        <w:rPr>
          <w:rFonts w:ascii="Times New Roman" w:cs="Times New Roman" w:eastAsia="Times New Roman" w:hAnsi="Times New Roman"/>
          <w:sz w:val="18"/>
          <w:szCs w:val="18"/>
          <w:color w:val="auto"/>
        </w:rPr>
      </w:pPr>
    </w:p>
    <w:p>
      <w:pPr>
        <w:ind w:left="141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-4722495</wp:posOffset>
            </wp:positionH>
            <wp:positionV relativeFrom="paragraph">
              <wp:posOffset>-267970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-550545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wp:posOffset>
            </wp:positionV>
            <wp:extent cx="10541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ind w:left="1234"/>
        <w:spacing w:after="0"/>
        <w:rPr>
          <w:sz w:val="20"/>
          <w:szCs w:val="20"/>
          <w:color w:val="auto"/>
        </w:rPr>
      </w:pPr>
      <w:r>
        <w:rPr>
          <w:rFonts w:ascii="Times New Roman" w:cs="Times New Roman" w:eastAsia="Times New Roman" w:hAnsi="Times New Roman"/>
          <w:sz w:val="18"/>
          <w:szCs w:val="18"/>
          <w:color w:val="auto"/>
        </w:rPr>
        <w:t>111.0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-4722495</wp:posOffset>
            </wp:positionH>
            <wp:positionV relativeFrom="paragraph">
              <wp:posOffset>-121920</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234" w:hanging="1234"/>
        <w:spacing w:after="0"/>
        <w:tabs>
          <w:tab w:leader="none" w:pos="12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541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541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0541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1222" w:hanging="1222"/>
        <w:spacing w:after="0"/>
        <w:tabs>
          <w:tab w:leader="none" w:pos="122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305.0</w:t>
      </w:r>
    </w:p>
    <w:p>
      <w:pPr>
        <w:spacing w:after="0" w:line="34" w:lineRule="exact"/>
        <w:rPr>
          <w:rFonts w:ascii="Times New Roman" w:cs="Times New Roman" w:eastAsia="Times New Roman" w:hAnsi="Times New Roman"/>
          <w:sz w:val="17"/>
          <w:szCs w:val="17"/>
          <w:color w:val="auto"/>
        </w:rPr>
      </w:pPr>
    </w:p>
    <w:p>
      <w:pPr>
        <w:ind w:left="130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65.0</w:t>
      </w:r>
    </w:p>
    <w:p>
      <w:pPr>
        <w:spacing w:after="0" w:line="22" w:lineRule="exact"/>
        <w:rPr>
          <w:rFonts w:ascii="Times New Roman" w:cs="Times New Roman" w:eastAsia="Times New Roman" w:hAnsi="Times New Roman"/>
          <w:sz w:val="17"/>
          <w:szCs w:val="17"/>
          <w:color w:val="auto"/>
        </w:rPr>
      </w:pPr>
    </w:p>
    <w:p>
      <w:pPr>
        <w:ind w:left="130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40.0</w:t>
      </w:r>
    </w:p>
    <w:p>
      <w:pPr>
        <w:spacing w:after="0" w:line="9" w:lineRule="exact"/>
        <w:rPr>
          <w:rFonts w:ascii="Times New Roman" w:cs="Times New Roman" w:eastAsia="Times New Roman" w:hAnsi="Times New Roman"/>
          <w:sz w:val="17"/>
          <w:szCs w:val="17"/>
          <w:color w:val="auto"/>
        </w:rPr>
      </w:pPr>
    </w:p>
    <w:p>
      <w:pPr>
        <w:ind w:left="140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10369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 w:lineRule="exact"/>
        <w:rPr>
          <w:sz w:val="20"/>
          <w:szCs w:val="20"/>
          <w:color w:val="auto"/>
        </w:rPr>
      </w:pPr>
    </w:p>
    <w:p>
      <w:pPr>
        <w:ind w:left="1222"/>
        <w:spacing w:after="0"/>
        <w:rPr>
          <w:sz w:val="20"/>
          <w:szCs w:val="20"/>
          <w:color w:val="auto"/>
        </w:rPr>
      </w:pPr>
      <w:r>
        <w:rPr>
          <w:rFonts w:ascii="Times New Roman" w:cs="Times New Roman" w:eastAsia="Times New Roman" w:hAnsi="Times New Roman"/>
          <w:sz w:val="17"/>
          <w:szCs w:val="17"/>
          <w:color w:val="auto"/>
        </w:rPr>
        <w:t>113.0</w:t>
      </w:r>
    </w:p>
    <w:p>
      <w:pPr>
        <w:spacing w:after="0" w:line="34" w:lineRule="exact"/>
        <w:rPr>
          <w:sz w:val="20"/>
          <w:szCs w:val="20"/>
          <w:color w:val="auto"/>
        </w:rPr>
      </w:pPr>
    </w:p>
    <w:p>
      <w:pPr>
        <w:ind w:left="1222" w:hanging="1222"/>
        <w:spacing w:after="0"/>
        <w:tabs>
          <w:tab w:leader="none" w:pos="122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10369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369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10369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3">
            <w:col w:w="6726" w:space="720"/>
            <w:col w:w="1654" w:space="398"/>
            <w:col w:w="1702"/>
          </w:cols>
          <w:pgMar w:left="320" w:top="1184" w:right="379" w:bottom="1440" w:gutter="0" w:footer="0" w:header="0"/>
          <w:type w:val="continuous"/>
        </w:sectPr>
      </w:pPr>
    </w:p>
    <w:p>
      <w:pPr>
        <w:spacing w:after="0" w:line="39" w:lineRule="exact"/>
        <w:rPr>
          <w:sz w:val="20"/>
          <w:szCs w:val="20"/>
          <w:color w:val="auto"/>
        </w:rPr>
      </w:pPr>
    </w:p>
    <w:p>
      <w:pPr>
        <w:ind w:right="20" w:firstLine="8"/>
        <w:spacing w:after="0" w:line="306" w:lineRule="auto"/>
        <w:tabs>
          <w:tab w:leader="none" w:pos="17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separation and related costs that were incurred subsequent to the separation on October 1, 2022, including expenses incurred on a transitional basis under a contract shared with Xperi Inc.</w:t>
      </w:r>
    </w:p>
    <w:p>
      <w:pPr>
        <w:spacing w:after="0" w:line="1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FOR GUIDANCE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ON NET INCOME</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5715</wp:posOffset>
            </wp:positionV>
            <wp:extent cx="23399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ind w:left="8100"/>
        <w:spacing w:after="0"/>
        <w:tabs>
          <w:tab w:leader="none" w:pos="10100" w:val="left"/>
        </w:tabs>
        <w:rPr>
          <w:sz w:val="20"/>
          <w:szCs w:val="20"/>
          <w:color w:val="auto"/>
        </w:rPr>
      </w:pPr>
      <w:r>
        <w:rPr>
          <w:rFonts w:ascii="Times New Roman" w:cs="Times New Roman" w:eastAsia="Times New Roman" w:hAnsi="Times New Roman"/>
          <w:sz w:val="18"/>
          <w:szCs w:val="18"/>
          <w:b w:val="1"/>
          <w:bCs w:val="1"/>
          <w:color w:val="auto"/>
        </w:rPr>
        <w:t>Low</w:t>
      </w:r>
      <w:r>
        <w:rPr>
          <w:sz w:val="20"/>
          <w:szCs w:val="20"/>
          <w:color w:val="auto"/>
        </w:rPr>
        <w:tab/>
      </w:r>
      <w:r>
        <w:rPr>
          <w:rFonts w:ascii="Times New Roman" w:cs="Times New Roman" w:eastAsia="Times New Roman" w:hAnsi="Times New Roman"/>
          <w:sz w:val="18"/>
          <w:szCs w:val="18"/>
          <w:b w:val="1"/>
          <w:bCs w:val="1"/>
          <w:color w:val="auto"/>
        </w:rPr>
        <w:t>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14605</wp:posOffset>
            </wp:positionV>
            <wp:extent cx="23399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ectPr>
          <w:pgSz w:w="11900" w:h="16838" w:orient="portrait"/>
          <w:cols w:equalWidth="0" w:num="1">
            <w:col w:w="11200"/>
          </w:cols>
          <w:pgMar w:left="320" w:top="1184" w:right="37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net income</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Amortization expense</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p>
      <w:pPr>
        <w:ind w:left="80"/>
        <w:spacing w:after="0" w:line="220" w:lineRule="auto"/>
        <w:rPr>
          <w:sz w:val="20"/>
          <w:szCs w:val="20"/>
          <w:color w:val="auto"/>
        </w:rPr>
      </w:pPr>
      <w:r>
        <w:rPr>
          <w:rFonts w:ascii="Times New Roman" w:cs="Times New Roman" w:eastAsia="Times New Roman" w:hAnsi="Times New Roman"/>
          <w:sz w:val="18"/>
          <w:szCs w:val="18"/>
          <w:color w:val="auto"/>
        </w:rPr>
        <w:t xml:space="preserve">Separation and related costs </w:t>
      </w:r>
      <w:r>
        <w:rPr>
          <w:rFonts w:ascii="Times New Roman" w:cs="Times New Roman" w:eastAsia="Times New Roman" w:hAnsi="Times New Roman"/>
          <w:sz w:val="24"/>
          <w:szCs w:val="24"/>
          <w:color w:val="auto"/>
          <w:vertAlign w:val="superscript"/>
        </w:rPr>
        <w:t>(1)</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of non-GAAP operating expenses</w:t>
      </w:r>
    </w:p>
    <w:p>
      <w:pPr>
        <w:ind w:left="80"/>
        <w:spacing w:after="0" w:line="223" w:lineRule="auto"/>
        <w:rPr>
          <w:sz w:val="20"/>
          <w:szCs w:val="20"/>
          <w:color w:val="auto"/>
        </w:rPr>
      </w:pPr>
      <w:r>
        <w:rPr>
          <w:rFonts w:ascii="Times New Roman" w:cs="Times New Roman" w:eastAsia="Times New Roman" w:hAnsi="Times New Roman"/>
          <w:sz w:val="18"/>
          <w:szCs w:val="18"/>
          <w:color w:val="auto"/>
        </w:rPr>
        <w:t xml:space="preserve">Non-GAAP tax adjustment </w:t>
      </w:r>
      <w:r>
        <w:rPr>
          <w:rFonts w:ascii="Times New Roman" w:cs="Times New Roman" w:eastAsia="Times New Roman" w:hAnsi="Times New Roman"/>
          <w:sz w:val="24"/>
          <w:szCs w:val="24"/>
          <w:color w:val="auto"/>
          <w:vertAlign w:val="superscript"/>
        </w:rPr>
        <w:t>(2)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net income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1334" w:hanging="1334"/>
        <w:spacing w:after="0"/>
        <w:tabs>
          <w:tab w:leader="none" w:pos="1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57.2</w:t>
      </w:r>
    </w:p>
    <w:p>
      <w:pPr>
        <w:spacing w:after="0" w:line="22" w:lineRule="exact"/>
        <w:rPr>
          <w:rFonts w:ascii="Times New Roman" w:cs="Times New Roman" w:eastAsia="Times New Roman" w:hAnsi="Times New Roman"/>
          <w:sz w:val="18"/>
          <w:szCs w:val="18"/>
          <w:color w:val="auto"/>
        </w:rPr>
      </w:pPr>
    </w:p>
    <w:p>
      <w:pPr>
        <w:ind w:left="133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w:t>
      </w:r>
    </w:p>
    <w:p>
      <w:pPr>
        <w:spacing w:after="0" w:line="22" w:lineRule="exact"/>
        <w:rPr>
          <w:rFonts w:ascii="Times New Roman" w:cs="Times New Roman" w:eastAsia="Times New Roman" w:hAnsi="Times New Roman"/>
          <w:sz w:val="18"/>
          <w:szCs w:val="18"/>
          <w:color w:val="auto"/>
        </w:rPr>
      </w:pPr>
    </w:p>
    <w:p>
      <w:pPr>
        <w:ind w:left="133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w:t>
      </w:r>
    </w:p>
    <w:p>
      <w:pPr>
        <w:spacing w:after="0" w:line="9" w:lineRule="exact"/>
        <w:rPr>
          <w:rFonts w:ascii="Times New Roman" w:cs="Times New Roman" w:eastAsia="Times New Roman" w:hAnsi="Times New Roman"/>
          <w:sz w:val="18"/>
          <w:szCs w:val="18"/>
          <w:color w:val="auto"/>
        </w:rPr>
      </w:pPr>
    </w:p>
    <w:p>
      <w:pPr>
        <w:ind w:left="141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-4722495</wp:posOffset>
            </wp:positionH>
            <wp:positionV relativeFrom="paragraph">
              <wp:posOffset>-267970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-550545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wp:posOffset>
            </wp:positionV>
            <wp:extent cx="10541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ind w:left="1234"/>
        <w:spacing w:after="0"/>
        <w:rPr>
          <w:sz w:val="20"/>
          <w:szCs w:val="20"/>
          <w:color w:val="auto"/>
        </w:rPr>
      </w:pPr>
      <w:r>
        <w:rPr>
          <w:rFonts w:ascii="Times New Roman" w:cs="Times New Roman" w:eastAsia="Times New Roman" w:hAnsi="Times New Roman"/>
          <w:sz w:val="18"/>
          <w:szCs w:val="18"/>
          <w:color w:val="auto"/>
        </w:rPr>
        <w:t>111.0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-4722495</wp:posOffset>
            </wp:positionH>
            <wp:positionV relativeFrom="paragraph">
              <wp:posOffset>-121920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274"/>
        <w:spacing w:after="0"/>
        <w:rPr>
          <w:sz w:val="20"/>
          <w:szCs w:val="20"/>
          <w:color w:val="auto"/>
        </w:rPr>
      </w:pPr>
      <w:r>
        <w:rPr>
          <w:rFonts w:ascii="Times New Roman" w:cs="Times New Roman" w:eastAsia="Times New Roman" w:hAnsi="Times New Roman"/>
          <w:sz w:val="18"/>
          <w:szCs w:val="18"/>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541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3" w:lineRule="exact"/>
        <w:rPr>
          <w:sz w:val="20"/>
          <w:szCs w:val="20"/>
          <w:color w:val="auto"/>
        </w:rPr>
      </w:pPr>
    </w:p>
    <w:p>
      <w:pPr>
        <w:ind w:left="1234" w:hanging="1234"/>
        <w:spacing w:after="0"/>
        <w:tabs>
          <w:tab w:leader="none" w:pos="12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-4722495</wp:posOffset>
            </wp:positionH>
            <wp:positionV relativeFrom="paragraph">
              <wp:posOffset>-121920</wp:posOffset>
            </wp:positionV>
            <wp:extent cx="71323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1302" w:hanging="1302"/>
        <w:spacing w:after="0"/>
        <w:tabs>
          <w:tab w:leader="none" w:pos="130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80.4</w:t>
      </w:r>
    </w:p>
    <w:p>
      <w:pPr>
        <w:spacing w:after="0" w:line="22" w:lineRule="exact"/>
        <w:rPr>
          <w:rFonts w:ascii="Times New Roman" w:cs="Times New Roman" w:eastAsia="Times New Roman" w:hAnsi="Times New Roman"/>
          <w:sz w:val="18"/>
          <w:szCs w:val="18"/>
          <w:color w:val="auto"/>
        </w:rPr>
      </w:pPr>
    </w:p>
    <w:p>
      <w:pPr>
        <w:ind w:left="13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65.0</w:t>
      </w:r>
    </w:p>
    <w:p>
      <w:pPr>
        <w:spacing w:after="0" w:line="22" w:lineRule="exact"/>
        <w:rPr>
          <w:rFonts w:ascii="Times New Roman" w:cs="Times New Roman" w:eastAsia="Times New Roman" w:hAnsi="Times New Roman"/>
          <w:sz w:val="18"/>
          <w:szCs w:val="18"/>
          <w:color w:val="auto"/>
        </w:rPr>
      </w:pPr>
    </w:p>
    <w:p>
      <w:pPr>
        <w:ind w:left="13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w:t>
      </w:r>
    </w:p>
    <w:p>
      <w:pPr>
        <w:spacing w:after="0" w:line="9" w:lineRule="exact"/>
        <w:rPr>
          <w:rFonts w:ascii="Times New Roman" w:cs="Times New Roman" w:eastAsia="Times New Roman" w:hAnsi="Times New Roman"/>
          <w:sz w:val="18"/>
          <w:szCs w:val="18"/>
          <w:color w:val="auto"/>
        </w:rPr>
      </w:pPr>
    </w:p>
    <w:p>
      <w:pPr>
        <w:ind w:left="14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0369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ind w:left="1222"/>
        <w:spacing w:after="0"/>
        <w:rPr>
          <w:sz w:val="20"/>
          <w:szCs w:val="20"/>
          <w:color w:val="auto"/>
        </w:rPr>
      </w:pPr>
      <w:r>
        <w:rPr>
          <w:rFonts w:ascii="Times New Roman" w:cs="Times New Roman" w:eastAsia="Times New Roman" w:hAnsi="Times New Roman"/>
          <w:sz w:val="18"/>
          <w:szCs w:val="18"/>
          <w:color w:val="auto"/>
        </w:rPr>
        <w:t>113.0</w:t>
      </w:r>
    </w:p>
    <w:p>
      <w:pPr>
        <w:spacing w:after="0" w:line="23" w:lineRule="exact"/>
        <w:rPr>
          <w:sz w:val="20"/>
          <w:szCs w:val="20"/>
          <w:color w:val="auto"/>
        </w:rPr>
      </w:pPr>
    </w:p>
    <w:p>
      <w:pPr>
        <w:ind w:left="1242"/>
        <w:spacing w:after="0"/>
        <w:rPr>
          <w:sz w:val="20"/>
          <w:szCs w:val="20"/>
          <w:color w:val="auto"/>
        </w:rPr>
      </w:pPr>
      <w:r>
        <w:rPr>
          <w:rFonts w:ascii="Times New Roman" w:cs="Times New Roman" w:eastAsia="Times New Roman" w:hAnsi="Times New Roman"/>
          <w:sz w:val="18"/>
          <w:szCs w:val="18"/>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369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 w:lineRule="exact"/>
        <w:rPr>
          <w:sz w:val="20"/>
          <w:szCs w:val="20"/>
          <w:color w:val="auto"/>
        </w:rPr>
      </w:pPr>
    </w:p>
    <w:p>
      <w:pPr>
        <w:ind w:left="1222" w:hanging="1222"/>
        <w:spacing w:after="0"/>
        <w:tabs>
          <w:tab w:leader="none" w:pos="122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168.7</w:t>
      </w:r>
    </w:p>
    <w:p>
      <w:pPr>
        <w:spacing w:after="0" w:line="235" w:lineRule="exact"/>
        <w:rPr>
          <w:sz w:val="20"/>
          <w:szCs w:val="20"/>
          <w:color w:val="auto"/>
        </w:rPr>
      </w:pPr>
    </w:p>
    <w:p>
      <w:pPr>
        <w:sectPr>
          <w:pgSz w:w="11900" w:h="16838" w:orient="portrait"/>
          <w:cols w:equalWidth="0" w:num="3">
            <w:col w:w="6726" w:space="720"/>
            <w:col w:w="1714" w:space="338"/>
            <w:col w:w="1702"/>
          </w:cols>
          <w:pgMar w:left="320" w:top="1184" w:right="379" w:bottom="1440" w:gutter="0" w:footer="0" w:header="0"/>
          <w:type w:val="continuous"/>
        </w:sectPr>
      </w:pPr>
    </w:p>
    <w:p>
      <w:pPr>
        <w:spacing w:after="0" w:line="39" w:lineRule="exact"/>
        <w:rPr>
          <w:sz w:val="20"/>
          <w:szCs w:val="20"/>
          <w:color w:val="auto"/>
        </w:rPr>
      </w:pPr>
    </w:p>
    <w:p>
      <w:pPr>
        <w:ind w:firstLine="8"/>
        <w:spacing w:after="0" w:line="242" w:lineRule="auto"/>
        <w:tabs>
          <w:tab w:leader="none" w:pos="185"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separation and related costs that were incurred subsequent to the separation on October 1, 2022, including expenses incurred on a transitional basis under a contract shared with Xperi Inc.</w:t>
      </w:r>
    </w:p>
    <w:p>
      <w:pPr>
        <w:spacing w:after="0" w:line="190"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provision for income taxes is adjusted to reflect the net income tax effects of the various non-GAAP pretax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4" w:right="379" w:bottom="1440" w:gutter="0" w:footer="0" w:header="0"/>
          <w:type w:val="continuous"/>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RECONCILIATION FOR GUIDANCE ON</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5715</wp:posOffset>
            </wp:positionV>
            <wp:extent cx="23399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jc w:val="both"/>
        <w:ind w:left="8100"/>
        <w:spacing w:after="0"/>
        <w:tabs>
          <w:tab w:leader="none" w:pos="10100" w:val="left"/>
        </w:tabs>
        <w:rPr>
          <w:sz w:val="20"/>
          <w:szCs w:val="20"/>
          <w:color w:val="auto"/>
        </w:rPr>
      </w:pPr>
      <w:r>
        <w:rPr>
          <w:rFonts w:ascii="Times New Roman" w:cs="Times New Roman" w:eastAsia="Times New Roman" w:hAnsi="Times New Roman"/>
          <w:sz w:val="18"/>
          <w:szCs w:val="18"/>
          <w:b w:val="1"/>
          <w:bCs w:val="1"/>
          <w:color w:val="auto"/>
        </w:rPr>
        <w:t>Low</w:t>
      </w:r>
      <w:r>
        <w:rPr>
          <w:sz w:val="20"/>
          <w:szCs w:val="20"/>
          <w:color w:val="auto"/>
        </w:rPr>
        <w:tab/>
      </w:r>
      <w:r>
        <w:rPr>
          <w:rFonts w:ascii="Times New Roman" w:cs="Times New Roman" w:eastAsia="Times New Roman" w:hAnsi="Times New Roman"/>
          <w:sz w:val="18"/>
          <w:szCs w:val="18"/>
          <w:b w:val="1"/>
          <w:bCs w:val="1"/>
          <w:color w:val="auto"/>
        </w:rPr>
        <w:t>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14605</wp:posOffset>
            </wp:positionV>
            <wp:extent cx="23399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ectPr>
          <w:pgSz w:w="11900" w:h="16838" w:orient="portrait"/>
          <w:cols w:equalWidth="0" w:num="1">
            <w:col w:w="11200"/>
          </w:cols>
          <w:pgMar w:left="320" w:top="1400" w:right="37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net income</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Stock-based compensation expense</w:t>
      </w:r>
    </w:p>
    <w:p>
      <w:pPr>
        <w:ind w:left="80"/>
        <w:spacing w:after="0" w:line="207" w:lineRule="auto"/>
        <w:rPr>
          <w:sz w:val="20"/>
          <w:szCs w:val="20"/>
          <w:color w:val="auto"/>
        </w:rPr>
      </w:pPr>
      <w:r>
        <w:rPr>
          <w:rFonts w:ascii="Times New Roman" w:cs="Times New Roman" w:eastAsia="Times New Roman" w:hAnsi="Times New Roman"/>
          <w:sz w:val="18"/>
          <w:szCs w:val="18"/>
          <w:color w:val="auto"/>
        </w:rPr>
        <w:t xml:space="preserve">Separation and related costs </w:t>
      </w:r>
      <w:r>
        <w:rPr>
          <w:rFonts w:ascii="Times New Roman" w:cs="Times New Roman" w:eastAsia="Times New Roman" w:hAnsi="Times New Roman"/>
          <w:sz w:val="24"/>
          <w:szCs w:val="24"/>
          <w:color w:val="auto"/>
          <w:vertAlign w:val="superscript"/>
        </w:rPr>
        <w:t>(1)</w:t>
      </w:r>
    </w:p>
    <w:p>
      <w:pPr>
        <w:ind w:left="80"/>
        <w:spacing w:after="0"/>
        <w:rPr>
          <w:sz w:val="20"/>
          <w:szCs w:val="20"/>
          <w:color w:val="auto"/>
        </w:rPr>
      </w:pPr>
      <w:r>
        <w:rPr>
          <w:rFonts w:ascii="Times New Roman" w:cs="Times New Roman" w:eastAsia="Times New Roman" w:hAnsi="Times New Roman"/>
          <w:sz w:val="18"/>
          <w:szCs w:val="18"/>
          <w:color w:val="auto"/>
        </w:rPr>
        <w:t>Amortization expense</w:t>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Depreciation expense</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Other income</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of non-GAAP adjustments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1334" w:hanging="1334"/>
        <w:spacing w:after="0"/>
        <w:tabs>
          <w:tab w:leader="none" w:pos="1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57.2</w:t>
      </w:r>
    </w:p>
    <w:p>
      <w:pPr>
        <w:spacing w:after="0" w:line="22" w:lineRule="exact"/>
        <w:rPr>
          <w:rFonts w:ascii="Times New Roman" w:cs="Times New Roman" w:eastAsia="Times New Roman" w:hAnsi="Times New Roman"/>
          <w:sz w:val="18"/>
          <w:szCs w:val="18"/>
          <w:color w:val="auto"/>
        </w:rPr>
      </w:pPr>
    </w:p>
    <w:p>
      <w:pPr>
        <w:ind w:left="133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w:t>
      </w:r>
    </w:p>
    <w:p>
      <w:pPr>
        <w:spacing w:after="0" w:line="22" w:lineRule="exact"/>
        <w:rPr>
          <w:rFonts w:ascii="Times New Roman" w:cs="Times New Roman" w:eastAsia="Times New Roman" w:hAnsi="Times New Roman"/>
          <w:sz w:val="18"/>
          <w:szCs w:val="18"/>
          <w:color w:val="auto"/>
        </w:rPr>
      </w:pPr>
    </w:p>
    <w:p>
      <w:pPr>
        <w:ind w:left="141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w:t>
      </w:r>
    </w:p>
    <w:p>
      <w:pPr>
        <w:spacing w:after="0" w:line="9" w:lineRule="exact"/>
        <w:rPr>
          <w:rFonts w:ascii="Times New Roman" w:cs="Times New Roman" w:eastAsia="Times New Roman" w:hAnsi="Times New Roman"/>
          <w:sz w:val="18"/>
          <w:szCs w:val="18"/>
          <w:color w:val="auto"/>
        </w:rPr>
      </w:pPr>
    </w:p>
    <w:p>
      <w:pPr>
        <w:ind w:left="133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w:t>
      </w:r>
    </w:p>
    <w:p>
      <w:pPr>
        <w:spacing w:after="0" w:line="9" w:lineRule="exact"/>
        <w:rPr>
          <w:rFonts w:ascii="Times New Roman" w:cs="Times New Roman" w:eastAsia="Times New Roman" w:hAnsi="Times New Roman"/>
          <w:sz w:val="18"/>
          <w:szCs w:val="18"/>
          <w:color w:val="auto"/>
        </w:rPr>
      </w:pPr>
    </w:p>
    <w:p>
      <w:pPr>
        <w:ind w:left="141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9" w:lineRule="exact"/>
        <w:rPr>
          <w:rFonts w:ascii="Times New Roman" w:cs="Times New Roman" w:eastAsia="Times New Roman" w:hAnsi="Times New Roman"/>
          <w:sz w:val="18"/>
          <w:szCs w:val="18"/>
          <w:color w:val="auto"/>
        </w:rPr>
      </w:pPr>
    </w:p>
    <w:p>
      <w:pPr>
        <w:ind w:left="133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w:t>
      </w:r>
    </w:p>
    <w:p>
      <w:pPr>
        <w:spacing w:after="0" w:line="9" w:lineRule="exact"/>
        <w:rPr>
          <w:rFonts w:ascii="Times New Roman" w:cs="Times New Roman" w:eastAsia="Times New Roman" w:hAnsi="Times New Roman"/>
          <w:sz w:val="18"/>
          <w:szCs w:val="18"/>
          <w:color w:val="auto"/>
        </w:rPr>
      </w:pPr>
    </w:p>
    <w:p>
      <w:pPr>
        <w:ind w:left="135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w:t>
      </w:r>
    </w:p>
    <w:p>
      <w:pPr>
        <w:spacing w:after="0" w:line="9" w:lineRule="exact"/>
        <w:rPr>
          <w:rFonts w:ascii="Times New Roman" w:cs="Times New Roman" w:eastAsia="Times New Roman" w:hAnsi="Times New Roman"/>
          <w:sz w:val="18"/>
          <w:szCs w:val="18"/>
          <w:color w:val="auto"/>
        </w:rPr>
      </w:pPr>
    </w:p>
    <w:p>
      <w:pPr>
        <w:ind w:left="133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-4722495</wp:posOffset>
            </wp:positionH>
            <wp:positionV relativeFrom="paragraph">
              <wp:posOffset>-816610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-542290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-267970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-1099185</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wp:posOffset>
            </wp:positionV>
            <wp:extent cx="10541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ind w:left="1234"/>
        <w:spacing w:after="0"/>
        <w:rPr>
          <w:sz w:val="20"/>
          <w:szCs w:val="20"/>
          <w:color w:val="auto"/>
        </w:rPr>
      </w:pPr>
      <w:r>
        <w:rPr>
          <w:rFonts w:ascii="Times New Roman" w:cs="Times New Roman" w:eastAsia="Times New Roman" w:hAnsi="Times New Roman"/>
          <w:sz w:val="18"/>
          <w:szCs w:val="18"/>
          <w:color w:val="auto"/>
        </w:rPr>
        <w:t>156.2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-4722495</wp:posOffset>
            </wp:positionH>
            <wp:positionV relativeFrom="paragraph">
              <wp:posOffset>-121920</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234" w:hanging="1234"/>
        <w:spacing w:after="0"/>
        <w:tabs>
          <w:tab w:leader="none" w:pos="12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541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541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0541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1302" w:hanging="1302"/>
        <w:spacing w:after="0"/>
        <w:tabs>
          <w:tab w:leader="none" w:pos="130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80.4</w:t>
      </w:r>
    </w:p>
    <w:p>
      <w:pPr>
        <w:spacing w:after="0" w:line="22" w:lineRule="exact"/>
        <w:rPr>
          <w:rFonts w:ascii="Times New Roman" w:cs="Times New Roman" w:eastAsia="Times New Roman" w:hAnsi="Times New Roman"/>
          <w:sz w:val="18"/>
          <w:szCs w:val="18"/>
          <w:color w:val="auto"/>
        </w:rPr>
      </w:pPr>
    </w:p>
    <w:p>
      <w:pPr>
        <w:ind w:left="13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w:t>
      </w:r>
    </w:p>
    <w:p>
      <w:pPr>
        <w:spacing w:after="0" w:line="22" w:lineRule="exact"/>
        <w:rPr>
          <w:rFonts w:ascii="Times New Roman" w:cs="Times New Roman" w:eastAsia="Times New Roman" w:hAnsi="Times New Roman"/>
          <w:sz w:val="18"/>
          <w:szCs w:val="18"/>
          <w:color w:val="auto"/>
        </w:rPr>
      </w:pPr>
    </w:p>
    <w:p>
      <w:pPr>
        <w:ind w:left="14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w:t>
      </w:r>
    </w:p>
    <w:p>
      <w:pPr>
        <w:spacing w:after="0" w:line="9" w:lineRule="exact"/>
        <w:rPr>
          <w:rFonts w:ascii="Times New Roman" w:cs="Times New Roman" w:eastAsia="Times New Roman" w:hAnsi="Times New Roman"/>
          <w:sz w:val="18"/>
          <w:szCs w:val="18"/>
          <w:color w:val="auto"/>
        </w:rPr>
      </w:pPr>
    </w:p>
    <w:p>
      <w:pPr>
        <w:ind w:left="13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65.0</w:t>
      </w:r>
    </w:p>
    <w:p>
      <w:pPr>
        <w:spacing w:after="0" w:line="9" w:lineRule="exact"/>
        <w:rPr>
          <w:rFonts w:ascii="Times New Roman" w:cs="Times New Roman" w:eastAsia="Times New Roman" w:hAnsi="Times New Roman"/>
          <w:sz w:val="18"/>
          <w:szCs w:val="18"/>
          <w:color w:val="auto"/>
        </w:rPr>
      </w:pPr>
    </w:p>
    <w:p>
      <w:pPr>
        <w:ind w:left="14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9" w:lineRule="exact"/>
        <w:rPr>
          <w:rFonts w:ascii="Times New Roman" w:cs="Times New Roman" w:eastAsia="Times New Roman" w:hAnsi="Times New Roman"/>
          <w:sz w:val="18"/>
          <w:szCs w:val="18"/>
          <w:color w:val="auto"/>
        </w:rPr>
      </w:pPr>
    </w:p>
    <w:p>
      <w:pPr>
        <w:ind w:left="13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36.0</w:t>
      </w:r>
    </w:p>
    <w:p>
      <w:pPr>
        <w:spacing w:after="0" w:line="9" w:lineRule="exact"/>
        <w:rPr>
          <w:rFonts w:ascii="Times New Roman" w:cs="Times New Roman" w:eastAsia="Times New Roman" w:hAnsi="Times New Roman"/>
          <w:sz w:val="18"/>
          <w:szCs w:val="18"/>
          <w:color w:val="auto"/>
        </w:rPr>
      </w:pPr>
    </w:p>
    <w:p>
      <w:pPr>
        <w:ind w:left="134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w:t>
      </w:r>
    </w:p>
    <w:p>
      <w:pPr>
        <w:spacing w:after="0" w:line="9" w:lineRule="exact"/>
        <w:rPr>
          <w:rFonts w:ascii="Times New Roman" w:cs="Times New Roman" w:eastAsia="Times New Roman" w:hAnsi="Times New Roman"/>
          <w:sz w:val="18"/>
          <w:szCs w:val="18"/>
          <w:color w:val="auto"/>
        </w:rPr>
      </w:pPr>
    </w:p>
    <w:p>
      <w:pPr>
        <w:ind w:left="13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0369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ind w:left="1222"/>
        <w:spacing w:after="0"/>
        <w:rPr>
          <w:sz w:val="20"/>
          <w:szCs w:val="20"/>
          <w:color w:val="auto"/>
        </w:rPr>
      </w:pPr>
      <w:r>
        <w:rPr>
          <w:rFonts w:ascii="Times New Roman" w:cs="Times New Roman" w:eastAsia="Times New Roman" w:hAnsi="Times New Roman"/>
          <w:sz w:val="18"/>
          <w:szCs w:val="18"/>
          <w:color w:val="auto"/>
        </w:rPr>
        <w:t>165.0</w:t>
      </w:r>
    </w:p>
    <w:p>
      <w:pPr>
        <w:spacing w:after="0" w:line="23" w:lineRule="exact"/>
        <w:rPr>
          <w:sz w:val="20"/>
          <w:szCs w:val="20"/>
          <w:color w:val="auto"/>
        </w:rPr>
      </w:pPr>
    </w:p>
    <w:p>
      <w:pPr>
        <w:ind w:left="1222" w:hanging="1222"/>
        <w:spacing w:after="0"/>
        <w:tabs>
          <w:tab w:leader="none" w:pos="122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369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369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0369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3">
            <w:col w:w="6726" w:space="720"/>
            <w:col w:w="1714" w:space="338"/>
            <w:col w:w="1702"/>
          </w:cols>
          <w:pgMar w:left="320" w:top="1400" w:right="379" w:bottom="1440" w:gutter="0" w:footer="0" w:header="0"/>
          <w:type w:val="continuous"/>
        </w:sectPr>
      </w:pPr>
    </w:p>
    <w:p>
      <w:pPr>
        <w:spacing w:after="0" w:line="39" w:lineRule="exact"/>
        <w:rPr>
          <w:sz w:val="20"/>
          <w:szCs w:val="20"/>
          <w:color w:val="auto"/>
        </w:rPr>
      </w:pPr>
    </w:p>
    <w:p>
      <w:pPr>
        <w:ind w:firstLine="8"/>
        <w:spacing w:after="0" w:line="242" w:lineRule="auto"/>
        <w:tabs>
          <w:tab w:leader="none" w:pos="185"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separation and related costs that were incurred subsequent to the separation on October 1, 2022, including expenses incurred on a transitional basis under a contract shared with Xperi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0" w:right="379" w:bottom="1440" w:gutter="0" w:footer="0" w:header="0"/>
          <w:type w:val="continuous"/>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2026-04-01T07:09:10Z</dcterms:created>
  <dcterms:modified xsi:type="dcterms:W3CDTF">2026-04-01T07:09:10Z</dcterms:modified>
</cp:coreProperties>
</file>