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jc w:val="left"/>
        <w:rPr/>
      </w:pPr>
      <w:bookmarkStart w:id="0" w:name="adea-20230331.htm"/>
      <w:bookmarkStart w:id="1" w:name="ksadea20230331"/>
      <w:bookmarkEnd w:id="0"/>
      <w:bookmarkEnd w:id="1"/>
      <w:r>
        <w:rPr/>
        <w:t> </w:t>
      </w:r>
    </w:p>
    <w:p>
      <w:pPr>
        <w:pStyle w:val="TextBody"/>
        <w:pBdr>
          <w:top w:val="double" w:sz="6" w:space="1" w:color="000000"/>
        </w:pBdr>
        <w:spacing w:before="0" w:after="0"/>
        <w:jc w:val="center"/>
        <w:rPr/>
      </w:pPr>
      <w:r>
        <w:rPr/>
        <w:t> </w:t>
      </w:r>
    </w:p>
    <w:p>
      <w:pPr>
        <w:pStyle w:val="TextBody"/>
        <w:spacing w:before="0" w:after="0"/>
        <w:jc w:val="center"/>
        <w:rPr>
          <w:rFonts w:ascii="Times New Roman;serif" w:hAnsi="Times New Roman;serif"/>
          <w:b/>
          <w:sz w:val="36"/>
        </w:rPr>
      </w:pPr>
      <w:r>
        <w:rPr>
          <w:rFonts w:ascii="Times New Roman;serif" w:hAnsi="Times New Roman;serif"/>
          <w:b/>
          <w:sz w:val="36"/>
        </w:rPr>
        <w:t>UNITED STATES</w:t>
      </w:r>
    </w:p>
    <w:p>
      <w:pPr>
        <w:pStyle w:val="TextBody"/>
        <w:spacing w:before="0" w:after="0"/>
        <w:jc w:val="center"/>
        <w:rPr>
          <w:rFonts w:ascii="Times New Roman;serif" w:hAnsi="Times New Roman;serif"/>
          <w:b/>
          <w:sz w:val="36"/>
        </w:rPr>
      </w:pPr>
      <w:r>
        <w:rPr>
          <w:rFonts w:ascii="Times New Roman;serif" w:hAnsi="Times New Roman;serif"/>
          <w:b/>
          <w:sz w:val="36"/>
        </w:rPr>
        <w:t>SECURITIES AND EXCHANGE COMMISSION</w:t>
      </w:r>
    </w:p>
    <w:p>
      <w:pPr>
        <w:pStyle w:val="TextBody"/>
        <w:spacing w:before="0" w:after="0"/>
        <w:jc w:val="center"/>
        <w:rPr>
          <w:rFonts w:ascii="Times New Roman;serif" w:hAnsi="Times New Roman;serif"/>
          <w:b/>
          <w:sz w:val="24"/>
        </w:rPr>
      </w:pPr>
      <w:r>
        <w:rPr>
          <w:rFonts w:ascii="Times New Roman;serif" w:hAnsi="Times New Roman;serif"/>
          <w:b/>
          <w:sz w:val="24"/>
        </w:rPr>
        <w:t>Washington, DC 20549</w:t>
      </w:r>
    </w:p>
    <w:p>
      <w:pPr>
        <w:pStyle w:val="TextBody"/>
        <w:pBdr>
          <w:bottom w:val="single" w:sz="4" w:space="1" w:color="000000"/>
        </w:pBdr>
        <w:spacing w:before="0" w:after="0"/>
        <w:jc w:val="center"/>
        <w:rPr/>
      </w:pPr>
      <w:r>
        <w:rPr/>
        <w:t> </w:t>
      </w:r>
    </w:p>
    <w:p>
      <w:pPr>
        <w:pStyle w:val="TextBody"/>
        <w:spacing w:before="120" w:after="0"/>
        <w:jc w:val="center"/>
        <w:rPr>
          <w:rFonts w:ascii="Times New Roman;serif" w:hAnsi="Times New Roman;serif"/>
          <w:b/>
          <w:sz w:val="36"/>
        </w:rPr>
      </w:pPr>
      <w:r>
        <w:rPr>
          <w:rFonts w:ascii="Times New Roman;serif" w:hAnsi="Times New Roman;serif"/>
          <w:b/>
          <w:sz w:val="36"/>
        </w:rPr>
        <w:t>FORM 10-Q</w:t>
      </w:r>
    </w:p>
    <w:p>
      <w:pPr>
        <w:pStyle w:val="TextBody"/>
        <w:pBdr>
          <w:bottom w:val="single" w:sz="4" w:space="1" w:color="000000"/>
        </w:pBdr>
        <w:spacing w:before="0" w:after="0"/>
        <w:jc w:val="center"/>
        <w:rPr/>
      </w:pPr>
      <w:r>
        <w:rPr/>
        <w:t> </w:t>
      </w:r>
    </w:p>
    <w:p>
      <w:pPr>
        <w:pStyle w:val="TextBody"/>
        <w:spacing w:before="0" w:after="0"/>
        <w:jc w:val="left"/>
        <w:rPr>
          <w:rFonts w:ascii="Times New Roman;serif" w:hAnsi="Times New Roman;serif"/>
          <w:b/>
          <w:sz w:val="20"/>
        </w:rPr>
      </w:pPr>
      <w:r>
        <w:rPr>
          <w:rFonts w:ascii="Times New Roman;serif" w:hAnsi="Times New Roman;serif"/>
          <w:b/>
          <w:sz w:val="20"/>
        </w:rPr>
        <w:t>(Mark One)</w:t>
      </w:r>
    </w:p>
    <w:p>
      <w:pPr>
        <w:pStyle w:val="TextBody"/>
        <w:spacing w:before="0" w:after="0"/>
        <w:jc w:val="left"/>
        <w:rPr/>
      </w:pPr>
      <w:r>
        <w:rPr/>
        <w:t xml:space="preserve">☒ </w:t>
      </w:r>
      <w:r>
        <w:rPr>
          <w:rFonts w:ascii="Times New Roman;serif" w:hAnsi="Times New Roman;serif"/>
          <w:b/>
          <w:sz w:val="20"/>
        </w:rPr>
        <w:t>QUARTERLY REPORT PURSUANT TO SECTION 13 OR 15(d) OF THE SECURITIES EXCHANGE ACT OF 1934</w:t>
      </w:r>
    </w:p>
    <w:p>
      <w:pPr>
        <w:pStyle w:val="TextBody"/>
        <w:spacing w:before="160" w:after="0"/>
        <w:jc w:val="center"/>
        <w:rPr>
          <w:rFonts w:ascii="Times New Roman;serif" w:hAnsi="Times New Roman;serif"/>
          <w:b/>
          <w:sz w:val="20"/>
        </w:rPr>
      </w:pPr>
      <w:r>
        <w:rPr>
          <w:rFonts w:ascii="Times New Roman;serif" w:hAnsi="Times New Roman;serif"/>
          <w:b/>
          <w:sz w:val="20"/>
        </w:rPr>
        <w:t>For the quarterly period ended March 31, 2023</w:t>
      </w:r>
    </w:p>
    <w:p>
      <w:pPr>
        <w:pStyle w:val="TextBody"/>
        <w:spacing w:before="160" w:after="0"/>
        <w:jc w:val="center"/>
        <w:rPr>
          <w:rFonts w:ascii="Times New Roman;serif" w:hAnsi="Times New Roman;serif"/>
          <w:b/>
          <w:sz w:val="20"/>
        </w:rPr>
      </w:pPr>
      <w:r>
        <w:rPr>
          <w:rFonts w:ascii="Times New Roman;serif" w:hAnsi="Times New Roman;serif"/>
          <w:b/>
          <w:sz w:val="20"/>
        </w:rPr>
        <w:t>OR</w:t>
      </w:r>
    </w:p>
    <w:p>
      <w:pPr>
        <w:pStyle w:val="TextBody"/>
        <w:spacing w:before="160" w:after="0"/>
        <w:jc w:val="left"/>
        <w:rPr/>
      </w:pPr>
      <w:r>
        <w:rPr/>
        <w:t xml:space="preserve">☐ </w:t>
      </w:r>
      <w:r>
        <w:rPr>
          <w:rFonts w:ascii="Times New Roman;serif" w:hAnsi="Times New Roman;serif"/>
          <w:b/>
          <w:sz w:val="20"/>
        </w:rPr>
        <w:t>TRANSITION REPORT PURSUANT TO SECTION 13 OR 15(d) OF THE SECURITIES EXCHANGE ACT OF 1934</w:t>
      </w:r>
    </w:p>
    <w:p>
      <w:pPr>
        <w:pStyle w:val="TextBody"/>
        <w:spacing w:before="160" w:after="0"/>
        <w:jc w:val="center"/>
        <w:rPr>
          <w:rFonts w:ascii="Times New Roman;serif" w:hAnsi="Times New Roman;serif"/>
          <w:b/>
          <w:sz w:val="20"/>
        </w:rPr>
      </w:pPr>
      <w:r>
        <w:rPr>
          <w:rFonts w:ascii="Times New Roman;serif" w:hAnsi="Times New Roman;serif"/>
          <w:b/>
          <w:sz w:val="20"/>
        </w:rPr>
        <w:t>Commission File Number: 001-39304</w:t>
      </w:r>
    </w:p>
    <w:p>
      <w:pPr>
        <w:pStyle w:val="TextBody"/>
        <w:pBdr>
          <w:bottom w:val="single" w:sz="4" w:space="1" w:color="000000"/>
        </w:pBdr>
        <w:spacing w:before="0" w:after="0"/>
        <w:jc w:val="center"/>
        <w:rPr/>
      </w:pPr>
      <w:r>
        <w:rPr/>
        <w:t> </w:t>
      </w:r>
    </w:p>
    <w:p>
      <w:pPr>
        <w:pStyle w:val="TextBody"/>
        <w:spacing w:before="160" w:after="0"/>
        <w:jc w:val="center"/>
        <w:rPr>
          <w:rFonts w:ascii="Times New Roman;serif" w:hAnsi="Times New Roman;serif"/>
          <w:b/>
          <w:sz w:val="48"/>
        </w:rPr>
      </w:pPr>
      <w:r>
        <w:rPr>
          <w:rFonts w:ascii="Times New Roman;serif" w:hAnsi="Times New Roman;serif"/>
          <w:b/>
          <w:sz w:val="48"/>
        </w:rPr>
        <w:t>ADEIA INC.</w:t>
      </w:r>
    </w:p>
    <w:p>
      <w:pPr>
        <w:pStyle w:val="TextBody"/>
        <w:spacing w:before="0" w:after="0"/>
        <w:jc w:val="center"/>
        <w:rPr>
          <w:rFonts w:ascii="Times New Roman;serif" w:hAnsi="Times New Roman;serif"/>
          <w:b/>
          <w:sz w:val="20"/>
        </w:rPr>
      </w:pPr>
      <w:r>
        <w:rPr>
          <w:rFonts w:ascii="Times New Roman;serif" w:hAnsi="Times New Roman;serif"/>
          <w:b/>
          <w:sz w:val="20"/>
        </w:rPr>
        <w:t>(Exact Name of Registrant as Specified in Its Charter)</w:t>
      </w:r>
    </w:p>
    <w:p>
      <w:pPr>
        <w:pStyle w:val="TextBody"/>
        <w:pBdr>
          <w:bottom w:val="single" w:sz="4" w:space="1" w:color="000000"/>
        </w:pBdr>
        <w:spacing w:before="0" w:after="0"/>
        <w:jc w:val="center"/>
        <w:rPr/>
      </w:pPr>
      <w:r>
        <w:rPr/>
        <w:t> </w:t>
      </w:r>
    </w:p>
    <w:p>
      <w:pPr>
        <w:pStyle w:val="TextBody"/>
        <w:spacing w:before="0" w:after="0"/>
        <w:jc w:val="left"/>
        <w:rPr/>
      </w:pPr>
      <w:r>
        <w:rPr/>
        <w:t> </w:t>
      </w:r>
    </w:p>
    <w:tbl>
      <w:tblPr>
        <w:tblW w:w="5638" w:type="dxa"/>
        <w:jc w:val="left"/>
        <w:tblInd w:w="0" w:type="dxa"/>
        <w:tblCellMar>
          <w:top w:w="28" w:type="dxa"/>
          <w:left w:w="28" w:type="dxa"/>
          <w:bottom w:w="28" w:type="dxa"/>
          <w:right w:w="28" w:type="dxa"/>
        </w:tblCellMar>
      </w:tblPr>
      <w:tblGrid>
        <w:gridCol w:w="3931"/>
        <w:gridCol w:w="146"/>
        <w:gridCol w:w="1561"/>
      </w:tblGrid>
      <w:tr>
        <w:trPr/>
        <w:tc>
          <w:tcPr>
            <w:tcW w:w="39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561" w:type="dxa"/>
            <w:tcBorders/>
            <w:shd w:fill="auto" w:val="clear"/>
            <w:vAlign w:val="center"/>
          </w:tcPr>
          <w:p>
            <w:pPr>
              <w:pStyle w:val="TableContents"/>
              <w:spacing w:before="0" w:after="283"/>
              <w:rPr>
                <w:sz w:val="4"/>
                <w:szCs w:val="4"/>
              </w:rPr>
            </w:pPr>
            <w:r>
              <w:rPr>
                <w:sz w:val="4"/>
                <w:szCs w:val="4"/>
              </w:rPr>
            </w:r>
          </w:p>
        </w:tc>
      </w:tr>
      <w:tr>
        <w:trPr/>
        <w:tc>
          <w:tcPr>
            <w:tcW w:w="393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Delaware</w:t>
            </w:r>
          </w:p>
        </w:tc>
        <w:tc>
          <w:tcPr>
            <w:tcW w:w="146" w:type="dxa"/>
            <w:tcBorders/>
            <w:shd w:fill="auto" w:val="clear"/>
            <w:vAlign w:val="center"/>
          </w:tcPr>
          <w:p>
            <w:pPr>
              <w:pStyle w:val="TableContents"/>
              <w:spacing w:before="0" w:after="0"/>
              <w:ind w:left="0" w:right="0" w:hanging="0"/>
              <w:jc w:val="left"/>
              <w:rPr/>
            </w:pPr>
            <w:r>
              <w:rPr/>
              <w:t> </w:t>
            </w:r>
          </w:p>
        </w:tc>
        <w:tc>
          <w:tcPr>
            <w:tcW w:w="156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84-4734590</w:t>
            </w:r>
          </w:p>
        </w:tc>
      </w:tr>
      <w:tr>
        <w:trPr/>
        <w:tc>
          <w:tcPr>
            <w:tcW w:w="393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(State or Other Jurisdiction of</w:t>
            </w:r>
          </w:p>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Incorporation or Organization)</w:t>
            </w:r>
          </w:p>
        </w:tc>
        <w:tc>
          <w:tcPr>
            <w:tcW w:w="146" w:type="dxa"/>
            <w:tcBorders/>
            <w:shd w:fill="auto" w:val="clear"/>
            <w:vAlign w:val="center"/>
          </w:tcPr>
          <w:p>
            <w:pPr>
              <w:pStyle w:val="TableContents"/>
              <w:spacing w:before="0" w:after="0"/>
              <w:ind w:left="0" w:right="0" w:hanging="0"/>
              <w:jc w:val="left"/>
              <w:rPr/>
            </w:pPr>
            <w:r>
              <w:rPr/>
              <w:t> </w:t>
            </w:r>
          </w:p>
        </w:tc>
        <w:tc>
          <w:tcPr>
            <w:tcW w:w="156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(I.R.S. Employer</w:t>
            </w:r>
          </w:p>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Identification No.)</w:t>
            </w:r>
          </w:p>
        </w:tc>
      </w:tr>
      <w:tr>
        <w:trPr/>
        <w:tc>
          <w:tcPr>
            <w:tcW w:w="3931" w:type="dxa"/>
            <w:tcBorders/>
            <w:shd w:fill="auto" w:val="clear"/>
            <w:vAlign w:val="center"/>
          </w:tcPr>
          <w:p>
            <w:pPr>
              <w:pStyle w:val="TableContents"/>
              <w:spacing w:before="0" w:after="0"/>
              <w:ind w:left="0" w:right="0" w:hanging="0"/>
              <w:jc w:val="center"/>
              <w:rPr/>
            </w:pPr>
            <w:r>
              <w:rPr/>
              <w:t> </w:t>
            </w:r>
          </w:p>
        </w:tc>
        <w:tc>
          <w:tcPr>
            <w:tcW w:w="1707" w:type="dxa"/>
            <w:gridSpan w:val="2"/>
            <w:tcBorders/>
            <w:shd w:fill="auto" w:val="clear"/>
            <w:vAlign w:val="center"/>
          </w:tcPr>
          <w:p>
            <w:pPr>
              <w:pStyle w:val="TableContents"/>
              <w:spacing w:before="0" w:after="0"/>
              <w:ind w:left="0" w:right="0" w:hanging="0"/>
              <w:jc w:val="center"/>
              <w:rPr/>
            </w:pPr>
            <w:r>
              <w:rPr/>
              <w:t> </w:t>
            </w:r>
          </w:p>
        </w:tc>
      </w:tr>
      <w:tr>
        <w:trPr/>
        <w:tc>
          <w:tcPr>
            <w:tcW w:w="393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3025 Orchard Parkway, San Jose, California</w:t>
            </w:r>
          </w:p>
        </w:tc>
        <w:tc>
          <w:tcPr>
            <w:tcW w:w="146" w:type="dxa"/>
            <w:tcBorders/>
            <w:shd w:fill="auto" w:val="clear"/>
            <w:vAlign w:val="center"/>
          </w:tcPr>
          <w:p>
            <w:pPr>
              <w:pStyle w:val="TableContents"/>
              <w:spacing w:before="0" w:after="0"/>
              <w:ind w:left="0" w:right="0" w:hanging="0"/>
              <w:jc w:val="left"/>
              <w:rPr/>
            </w:pPr>
            <w:r>
              <w:rPr/>
              <w:t> </w:t>
            </w:r>
          </w:p>
        </w:tc>
        <w:tc>
          <w:tcPr>
            <w:tcW w:w="156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95134</w:t>
            </w:r>
          </w:p>
        </w:tc>
      </w:tr>
      <w:tr>
        <w:trPr/>
        <w:tc>
          <w:tcPr>
            <w:tcW w:w="393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(Address of Principal Executive Offices)</w:t>
            </w:r>
          </w:p>
        </w:tc>
        <w:tc>
          <w:tcPr>
            <w:tcW w:w="146" w:type="dxa"/>
            <w:tcBorders/>
            <w:shd w:fill="auto" w:val="clear"/>
            <w:vAlign w:val="center"/>
          </w:tcPr>
          <w:p>
            <w:pPr>
              <w:pStyle w:val="TableContents"/>
              <w:spacing w:before="0" w:after="0"/>
              <w:ind w:left="0" w:right="0" w:hanging="0"/>
              <w:jc w:val="left"/>
              <w:rPr/>
            </w:pPr>
            <w:r>
              <w:rPr/>
              <w:t> </w:t>
            </w:r>
          </w:p>
        </w:tc>
        <w:tc>
          <w:tcPr>
            <w:tcW w:w="156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(Zip Code)</w:t>
            </w:r>
          </w:p>
        </w:tc>
      </w:tr>
    </w:tbl>
    <w:p>
      <w:pPr>
        <w:pStyle w:val="TextBody"/>
        <w:spacing w:before="160" w:after="0"/>
        <w:jc w:val="center"/>
        <w:rPr>
          <w:rFonts w:ascii="Times New Roman;serif" w:hAnsi="Times New Roman;serif"/>
          <w:b/>
          <w:sz w:val="20"/>
        </w:rPr>
      </w:pPr>
      <w:r>
        <w:rPr>
          <w:rFonts w:ascii="Times New Roman;serif" w:hAnsi="Times New Roman;serif"/>
          <w:b/>
          <w:sz w:val="20"/>
        </w:rPr>
        <w:t>(408) 473-2500</w:t>
      </w:r>
    </w:p>
    <w:p>
      <w:pPr>
        <w:pStyle w:val="TextBody"/>
        <w:spacing w:before="0" w:after="0"/>
        <w:jc w:val="center"/>
        <w:rPr>
          <w:rFonts w:ascii="Times New Roman;serif" w:hAnsi="Times New Roman;serif"/>
          <w:b/>
          <w:sz w:val="20"/>
        </w:rPr>
      </w:pPr>
      <w:r>
        <w:rPr>
          <w:rFonts w:ascii="Times New Roman;serif" w:hAnsi="Times New Roman;serif"/>
          <w:b/>
          <w:sz w:val="20"/>
        </w:rPr>
        <w:t>(Registrant’s Telephone Number, Including Area Code)</w:t>
      </w:r>
    </w:p>
    <w:p>
      <w:pPr>
        <w:pStyle w:val="TextBody"/>
        <w:pBdr>
          <w:bottom w:val="single" w:sz="4" w:space="1" w:color="000000"/>
        </w:pBdr>
        <w:spacing w:before="0" w:after="0"/>
        <w:jc w:val="center"/>
        <w:rPr/>
      </w:pPr>
      <w:r>
        <w:rPr/>
        <w:t> </w:t>
      </w:r>
    </w:p>
    <w:p>
      <w:pPr>
        <w:pStyle w:val="TextBody"/>
        <w:spacing w:before="0" w:after="0"/>
        <w:jc w:val="left"/>
        <w:rPr/>
      </w:pPr>
      <w:r>
        <w:rPr/>
        <w:t> </w:t>
      </w:r>
    </w:p>
    <w:p>
      <w:pPr>
        <w:pStyle w:val="TextBody"/>
        <w:spacing w:before="0" w:after="0"/>
        <w:jc w:val="left"/>
        <w:rPr>
          <w:rFonts w:ascii="Times New Roman;serif" w:hAnsi="Times New Roman;serif"/>
          <w:b w:val="false"/>
          <w:sz w:val="18"/>
        </w:rPr>
      </w:pPr>
      <w:r>
        <w:rPr>
          <w:rFonts w:ascii="Times New Roman;serif" w:hAnsi="Times New Roman;serif"/>
          <w:b w:val="false"/>
          <w:sz w:val="18"/>
        </w:rPr>
        <w:t>Securities registered pursuant to Section 12(b) of the Act:</w:t>
      </w:r>
    </w:p>
    <w:p>
      <w:pPr>
        <w:pStyle w:val="TextBody"/>
        <w:spacing w:before="0" w:after="0"/>
        <w:jc w:val="left"/>
        <w:rPr/>
      </w:pPr>
      <w:r>
        <w:rPr/>
        <w:t> </w:t>
      </w:r>
    </w:p>
    <w:tbl>
      <w:tblPr>
        <w:tblW w:w="7638" w:type="dxa"/>
        <w:jc w:val="left"/>
        <w:tblInd w:w="0" w:type="dxa"/>
        <w:tblCellMar>
          <w:top w:w="28" w:type="dxa"/>
          <w:left w:w="28" w:type="dxa"/>
          <w:bottom w:w="28" w:type="dxa"/>
          <w:right w:w="28" w:type="dxa"/>
        </w:tblCellMar>
      </w:tblPr>
      <w:tblGrid>
        <w:gridCol w:w="3271"/>
        <w:gridCol w:w="886"/>
        <w:gridCol w:w="3481"/>
      </w:tblGrid>
      <w:tr>
        <w:trPr/>
        <w:tc>
          <w:tcPr>
            <w:tcW w:w="3271"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3481" w:type="dxa"/>
            <w:tcBorders/>
            <w:shd w:fill="auto" w:val="clear"/>
            <w:vAlign w:val="center"/>
          </w:tcPr>
          <w:p>
            <w:pPr>
              <w:pStyle w:val="TableContents"/>
              <w:spacing w:before="0" w:after="283"/>
              <w:rPr>
                <w:sz w:val="4"/>
                <w:szCs w:val="4"/>
              </w:rPr>
            </w:pPr>
            <w:r>
              <w:rPr>
                <w:sz w:val="4"/>
                <w:szCs w:val="4"/>
              </w:rPr>
            </w:r>
          </w:p>
        </w:tc>
      </w:tr>
      <w:tr>
        <w:trPr/>
        <w:tc>
          <w:tcPr>
            <w:tcW w:w="3271" w:type="dxa"/>
            <w:tcBorders>
              <w:top w:val="single" w:sz="4" w:space="0" w:color="000000"/>
              <w:left w:val="single" w:sz="4" w:space="0" w:color="000000"/>
              <w:bottom w:val="single" w:sz="4" w:space="0" w:color="000000"/>
              <w:right w:val="single" w:sz="4" w:space="0" w:color="000000"/>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Title of each class</w:t>
            </w:r>
          </w:p>
        </w:tc>
        <w:tc>
          <w:tcPr>
            <w:tcW w:w="886" w:type="dxa"/>
            <w:tcBorders>
              <w:top w:val="single" w:sz="4" w:space="0" w:color="000000"/>
              <w:bottom w:val="single" w:sz="4" w:space="0" w:color="000000"/>
              <w:right w:val="single" w:sz="4" w:space="0" w:color="000000"/>
            </w:tcBorders>
            <w:shd w:fill="auto" w:val="clear"/>
            <w:tcMar>
              <w:lef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Trading</w:t>
            </w:r>
          </w:p>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Symbol(s)</w:t>
            </w:r>
          </w:p>
        </w:tc>
        <w:tc>
          <w:tcPr>
            <w:tcW w:w="3481" w:type="dxa"/>
            <w:tcBorders>
              <w:top w:val="single" w:sz="4" w:space="0" w:color="000000"/>
              <w:bottom w:val="single" w:sz="4" w:space="0" w:color="000000"/>
              <w:right w:val="single" w:sz="4" w:space="0" w:color="000000"/>
            </w:tcBorders>
            <w:shd w:fill="auto" w:val="clear"/>
            <w:tcMar>
              <w:lef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Name of each exchange on which registered</w:t>
            </w:r>
          </w:p>
        </w:tc>
      </w:tr>
      <w:tr>
        <w:trPr/>
        <w:tc>
          <w:tcPr>
            <w:tcW w:w="3271" w:type="dxa"/>
            <w:tcBorders>
              <w:left w:val="single" w:sz="4" w:space="0" w:color="000000"/>
              <w:bottom w:val="single" w:sz="4" w:space="0" w:color="000000"/>
              <w:right w:val="single" w:sz="4" w:space="0" w:color="000000"/>
            </w:tcBorders>
            <w:shd w:fill="auto" w:val="clear"/>
            <w:tcMar>
              <w:top w:w="0" w:type="dxa"/>
            </w:tcM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Common Stock (par value $0.001 per share)</w:t>
            </w:r>
          </w:p>
        </w:tc>
        <w:tc>
          <w:tcPr>
            <w:tcW w:w="886"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ADEA</w:t>
            </w:r>
          </w:p>
        </w:tc>
        <w:tc>
          <w:tcPr>
            <w:tcW w:w="3481"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Nasdaq Global Select Market</w:t>
            </w:r>
          </w:p>
        </w:tc>
      </w:tr>
    </w:tbl>
    <w:p>
      <w:pPr>
        <w:pStyle w:val="TextBody"/>
        <w:spacing w:before="0" w:after="0"/>
        <w:jc w:val="left"/>
        <w:rPr/>
      </w:pPr>
      <w:r>
        <w:rPr/>
        <w:t> </w:t>
      </w:r>
    </w:p>
    <w:p>
      <w:pPr>
        <w:pStyle w:val="TextBody"/>
        <w:spacing w:before="120" w:after="0"/>
        <w:jc w:val="left"/>
        <w:rPr>
          <w:rFonts w:ascii="Times New Roman" w:hAnsi="Times New Roman"/>
          <w:sz w:val="20"/>
        </w:rPr>
      </w:pPr>
      <w:r>
        <w:rPr>
          <w:rFonts w:ascii="Times New Roman;serif" w:hAnsi="Times New Roman;serif"/>
          <w:b w:val="false"/>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sz w:val="20"/>
        </w:rPr>
        <w:t xml:space="preserve"> ☒ </w:t>
      </w:r>
      <w:r>
        <w:rPr>
          <w:rFonts w:ascii="Times New Roman;serif" w:hAnsi="Times New Roman;serif"/>
          <w:b w:val="false"/>
          <w:sz w:val="18"/>
        </w:rPr>
        <w:t>No ☐</w:t>
      </w:r>
    </w:p>
    <w:p>
      <w:pPr>
        <w:pStyle w:val="TextBody"/>
        <w:spacing w:before="120" w:after="0"/>
        <w:jc w:val="left"/>
        <w:rPr>
          <w:rFonts w:ascii="Times New Roman" w:hAnsi="Times New Roman"/>
          <w:sz w:val="20"/>
        </w:rPr>
      </w:pPr>
      <w:r>
        <w:rPr>
          <w:rFonts w:ascii="Times New Roman;serif" w:hAnsi="Times New Roman;serif"/>
          <w:b w:val="false"/>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sz w:val="20"/>
        </w:rPr>
        <w:t xml:space="preserve"> ☒ </w:t>
      </w:r>
      <w:r>
        <w:rPr>
          <w:rFonts w:ascii="Times New Roman;serif" w:hAnsi="Times New Roman;serif"/>
          <w:b w:val="false"/>
          <w:sz w:val="18"/>
        </w:rPr>
        <w:t>No ☐</w:t>
      </w:r>
    </w:p>
    <w:p>
      <w:pPr>
        <w:pStyle w:val="TextBody"/>
        <w:spacing w:before="120" w:after="0"/>
        <w:jc w:val="left"/>
        <w:rPr>
          <w:rFonts w:ascii="Times New Roman" w:hAnsi="Times New Roman"/>
          <w:sz w:val="20"/>
        </w:rPr>
      </w:pPr>
      <w:r>
        <w:rPr>
          <w:rFonts w:ascii="Times New Roman;serif" w:hAnsi="Times New Roman;serif"/>
          <w:b w:val="false"/>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sz w:val="20"/>
        </w:rPr>
        <w:t xml:space="preserve"> </w:t>
      </w:r>
    </w:p>
    <w:p>
      <w:pPr>
        <w:pStyle w:val="TextBody"/>
        <w:spacing w:before="0" w:after="0"/>
        <w:jc w:val="left"/>
        <w:rPr/>
      </w:pPr>
      <w:r>
        <w:rPr/>
        <w:t> </w:t>
      </w:r>
    </w:p>
    <w:tbl>
      <w:tblPr>
        <w:tblW w:w="4905" w:type="dxa"/>
        <w:jc w:val="left"/>
        <w:tblInd w:w="0" w:type="dxa"/>
        <w:tblCellMar>
          <w:top w:w="28" w:type="dxa"/>
          <w:left w:w="28" w:type="dxa"/>
          <w:bottom w:w="28" w:type="dxa"/>
          <w:right w:w="28" w:type="dxa"/>
        </w:tblCellMar>
      </w:tblPr>
      <w:tblGrid>
        <w:gridCol w:w="2056"/>
        <w:gridCol w:w="316"/>
        <w:gridCol w:w="146"/>
        <w:gridCol w:w="2026"/>
        <w:gridCol w:w="361"/>
      </w:tblGrid>
      <w:tr>
        <w:trPr/>
        <w:tc>
          <w:tcPr>
            <w:tcW w:w="205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26"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r>
      <w:tr>
        <w:trPr/>
        <w:tc>
          <w:tcPr>
            <w:tcW w:w="205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Large accelerated filer</w:t>
            </w:r>
          </w:p>
        </w:tc>
        <w:tc>
          <w:tcPr>
            <w:tcW w:w="316" w:type="dxa"/>
            <w:tcBorders/>
            <w:shd w:fill="auto" w:val="clear"/>
            <w:vAlign w:val="center"/>
          </w:tcPr>
          <w:p>
            <w:pPr>
              <w:pStyle w:val="TableContents"/>
              <w:spacing w:before="0" w:after="0"/>
              <w:ind w:left="0" w:right="0" w:hanging="0"/>
              <w:jc w:val="lef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02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Accelerated filer</w:t>
            </w:r>
          </w:p>
        </w:tc>
        <w:tc>
          <w:tcPr>
            <w:tcW w:w="361" w:type="dxa"/>
            <w:tcBorders/>
            <w:shd w:fill="auto" w:val="clear"/>
            <w:vAlign w:val="center"/>
          </w:tcPr>
          <w:p>
            <w:pPr>
              <w:pStyle w:val="TableContents"/>
              <w:spacing w:before="0" w:after="0"/>
              <w:ind w:left="0" w:right="0" w:hanging="0"/>
              <w:jc w:val="left"/>
              <w:rPr/>
            </w:pPr>
            <w:r>
              <w:rPr/>
              <w:t>☐</w:t>
            </w:r>
          </w:p>
        </w:tc>
      </w:tr>
      <w:tr>
        <w:trPr/>
        <w:tc>
          <w:tcPr>
            <w:tcW w:w="205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Non-accelerated filer</w:t>
            </w:r>
          </w:p>
        </w:tc>
        <w:tc>
          <w:tcPr>
            <w:tcW w:w="316" w:type="dxa"/>
            <w:tcBorders/>
            <w:shd w:fill="auto" w:val="clear"/>
            <w:vAlign w:val="center"/>
          </w:tcPr>
          <w:p>
            <w:pPr>
              <w:pStyle w:val="TableContents"/>
              <w:spacing w:before="0" w:after="0"/>
              <w:ind w:left="0" w:right="0" w:hanging="0"/>
              <w:jc w:val="lef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02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Smaller reporting company</w:t>
            </w:r>
          </w:p>
        </w:tc>
        <w:tc>
          <w:tcPr>
            <w:tcW w:w="361" w:type="dxa"/>
            <w:tcBorders/>
            <w:shd w:fill="auto" w:val="clear"/>
            <w:vAlign w:val="center"/>
          </w:tcPr>
          <w:p>
            <w:pPr>
              <w:pStyle w:val="TableContents"/>
              <w:spacing w:before="0" w:after="0"/>
              <w:ind w:left="0" w:right="0" w:hanging="0"/>
              <w:jc w:val="left"/>
              <w:rPr/>
            </w:pPr>
            <w:r>
              <w:rPr/>
              <w:t>☐</w:t>
            </w:r>
          </w:p>
        </w:tc>
      </w:tr>
      <w:tr>
        <w:trPr/>
        <w:tc>
          <w:tcPr>
            <w:tcW w:w="205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Emerging growth company</w:t>
            </w:r>
          </w:p>
        </w:tc>
        <w:tc>
          <w:tcPr>
            <w:tcW w:w="316" w:type="dxa"/>
            <w:tcBorders/>
            <w:shd w:fill="auto" w:val="clear"/>
            <w:vAlign w:val="center"/>
          </w:tcPr>
          <w:p>
            <w:pPr>
              <w:pStyle w:val="TableContents"/>
              <w:spacing w:before="0" w:after="0"/>
              <w:ind w:left="0" w:right="0" w:hanging="0"/>
              <w:jc w:val="lef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026" w:type="dxa"/>
            <w:tcBorders/>
            <w:shd w:fill="auto" w:val="clear"/>
            <w:vAlign w:val="center"/>
          </w:tcPr>
          <w:p>
            <w:pPr>
              <w:pStyle w:val="TableContents"/>
              <w:spacing w:before="0" w:after="0"/>
              <w:ind w:left="0" w:right="0" w:hanging="0"/>
              <w:jc w:val="left"/>
              <w:rPr/>
            </w:pPr>
            <w:r>
              <w:rPr/>
              <w:t> </w:t>
            </w:r>
          </w:p>
        </w:tc>
        <w:tc>
          <w:tcPr>
            <w:tcW w:w="36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120" w:after="0"/>
        <w:jc w:val="left"/>
        <w:rPr>
          <w:rFonts w:ascii="Times New Roman" w:hAnsi="Times New Roman"/>
          <w:sz w:val="20"/>
        </w:rPr>
      </w:pPr>
      <w:r>
        <w:rPr>
          <w:rFonts w:ascii="Times New Roman;serif" w:hAnsi="Times New Roman;serif"/>
          <w:b w:val="false"/>
          <w:sz w:val="18"/>
        </w:rPr>
        <w:t xml:space="preserve">Indicate by check mark whether the registrant is a shell company (as defined in Rule 12b-2 of the Exchange Act). Yes ☐ No </w:t>
      </w:r>
      <w:r>
        <w:rPr>
          <w:rFonts w:ascii="Times New Roman" w:hAnsi="Times New Roman"/>
          <w:sz w:val="20"/>
        </w:rPr>
        <w:t>☒</w:t>
      </w:r>
    </w:p>
    <w:p>
      <w:pPr>
        <w:pStyle w:val="TextBody"/>
        <w:spacing w:before="120" w:after="0"/>
        <w:jc w:val="left"/>
        <w:rPr>
          <w:rFonts w:ascii="Times New Roman;serif" w:hAnsi="Times New Roman;serif"/>
          <w:b w:val="false"/>
          <w:sz w:val="18"/>
        </w:rPr>
      </w:pPr>
      <w:r>
        <w:rPr>
          <w:rFonts w:ascii="Times New Roman;serif" w:hAnsi="Times New Roman;serif"/>
          <w:b w:val="false"/>
          <w:sz w:val="18"/>
        </w:rPr>
        <w:t>The number of shares outstanding of the registrant’s common stock as of April 25, 2023 was 106,335,738.</w:t>
      </w:r>
    </w:p>
    <w:p>
      <w:pPr>
        <w:pStyle w:val="TextBody"/>
        <w:pBdr>
          <w:bottom w:val="double" w:sz="6" w:space="1" w:color="000000"/>
        </w:pBdr>
        <w:spacing w:before="120" w:after="0"/>
        <w:jc w:val="left"/>
        <w:rPr/>
      </w:pPr>
      <w:r>
        <w:rPr/>
        <w:t> </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ADEIA INC.</w:t>
      </w:r>
    </w:p>
    <w:p>
      <w:pPr>
        <w:pStyle w:val="TextBody"/>
        <w:spacing w:before="0" w:after="0"/>
        <w:jc w:val="center"/>
        <w:rPr>
          <w:rFonts w:ascii="Times New Roman;serif" w:hAnsi="Times New Roman;serif"/>
          <w:b/>
          <w:sz w:val="20"/>
        </w:rPr>
      </w:pPr>
      <w:r>
        <w:rPr>
          <w:rFonts w:ascii="Times New Roman;serif" w:hAnsi="Times New Roman;serif"/>
          <w:b/>
          <w:sz w:val="20"/>
        </w:rPr>
        <w:t>FORM 10-Q</w:t>
      </w:r>
    </w:p>
    <w:p>
      <w:pPr>
        <w:pStyle w:val="TextBody"/>
        <w:spacing w:before="0" w:after="0"/>
        <w:jc w:val="center"/>
        <w:rPr>
          <w:rFonts w:ascii="Times New Roman;serif" w:hAnsi="Times New Roman;serif"/>
          <w:b/>
          <w:sz w:val="20"/>
        </w:rPr>
      </w:pPr>
      <w:r>
        <w:rPr>
          <w:rFonts w:ascii="Times New Roman;serif" w:hAnsi="Times New Roman;serif"/>
          <w:b/>
          <w:sz w:val="20"/>
        </w:rPr>
        <w:t>FOR THE QUARTERLY PERIOD ENDED MARCH 31, 2023</w:t>
      </w:r>
    </w:p>
    <w:p>
      <w:pPr>
        <w:pStyle w:val="TextBody"/>
        <w:spacing w:before="0" w:after="0"/>
        <w:jc w:val="center"/>
        <w:rPr>
          <w:rFonts w:ascii="Times New Roman;serif" w:hAnsi="Times New Roman;serif"/>
          <w:b/>
          <w:sz w:val="20"/>
        </w:rPr>
      </w:pPr>
      <w:r>
        <w:rPr>
          <w:rFonts w:ascii="Times New Roman;serif" w:hAnsi="Times New Roman;serif"/>
          <w:b/>
          <w:sz w:val="20"/>
        </w:rPr>
        <w:t>TABLE OF CONTENTS</w:t>
      </w:r>
    </w:p>
    <w:p>
      <w:pPr>
        <w:pStyle w:val="TextBody"/>
        <w:spacing w:before="0" w:after="0"/>
        <w:jc w:val="left"/>
        <w:rPr/>
      </w:pPr>
      <w:r>
        <w:rPr/>
        <w:t> </w:t>
      </w:r>
    </w:p>
    <w:tbl>
      <w:tblPr>
        <w:tblW w:w="10539" w:type="dxa"/>
        <w:jc w:val="left"/>
        <w:tblInd w:w="0" w:type="dxa"/>
        <w:tblCellMar>
          <w:top w:w="28" w:type="dxa"/>
          <w:left w:w="28" w:type="dxa"/>
          <w:bottom w:w="28" w:type="dxa"/>
          <w:right w:w="28" w:type="dxa"/>
        </w:tblCellMar>
      </w:tblPr>
      <w:tblGrid>
        <w:gridCol w:w="976"/>
        <w:gridCol w:w="8846"/>
        <w:gridCol w:w="146"/>
        <w:gridCol w:w="571"/>
      </w:tblGrid>
      <w:tr>
        <w:trPr/>
        <w:tc>
          <w:tcPr>
            <w:tcW w:w="976" w:type="dxa"/>
            <w:tcBorders/>
            <w:shd w:fill="auto" w:val="clear"/>
            <w:vAlign w:val="center"/>
          </w:tcPr>
          <w:p>
            <w:pPr>
              <w:pStyle w:val="TableContents"/>
              <w:spacing w:before="0" w:after="283"/>
              <w:rPr>
                <w:sz w:val="4"/>
                <w:szCs w:val="4"/>
              </w:rPr>
            </w:pPr>
            <w:r>
              <w:rPr>
                <w:sz w:val="4"/>
                <w:szCs w:val="4"/>
              </w:rPr>
            </w:r>
          </w:p>
        </w:tc>
        <w:tc>
          <w:tcPr>
            <w:tcW w:w="88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r>
      <w:tr>
        <w:trPr/>
        <w:tc>
          <w:tcPr>
            <w:tcW w:w="976" w:type="dxa"/>
            <w:tcBorders/>
            <w:shd w:fill="auto" w:val="clear"/>
            <w:vAlign w:val="center"/>
          </w:tcPr>
          <w:p>
            <w:pPr>
              <w:pStyle w:val="TableContents"/>
              <w:spacing w:before="0" w:after="0"/>
              <w:ind w:left="0" w:right="0" w:hanging="0"/>
              <w:jc w:val="left"/>
              <w:rPr/>
            </w:pPr>
            <w:r>
              <w:rPr/>
              <w:t> </w:t>
            </w:r>
          </w:p>
        </w:tc>
        <w:tc>
          <w:tcPr>
            <w:tcW w:w="88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Page</w:t>
            </w:r>
          </w:p>
        </w:tc>
      </w:tr>
      <w:tr>
        <w:trPr/>
        <w:tc>
          <w:tcPr>
            <w:tcW w:w="976" w:type="dxa"/>
            <w:tcBorders/>
            <w:shd w:fill="auto" w:val="clear"/>
            <w:vAlign w:val="center"/>
          </w:tcPr>
          <w:p>
            <w:pPr>
              <w:pStyle w:val="TableContents"/>
              <w:spacing w:before="0" w:after="0"/>
              <w:ind w:left="0" w:right="0" w:hanging="0"/>
              <w:jc w:val="left"/>
              <w:rPr/>
            </w:pPr>
            <w:r>
              <w:rPr/>
              <w:t> </w:t>
            </w:r>
          </w:p>
        </w:tc>
        <w:tc>
          <w:tcPr>
            <w:tcW w:w="8846" w:type="dxa"/>
            <w:tcBorders/>
            <w:shd w:fill="auto" w:val="clear"/>
            <w:vAlign w:val="center"/>
          </w:tcPr>
          <w:p>
            <w:pPr>
              <w:pStyle w:val="TableContents"/>
              <w:spacing w:before="0" w:after="0"/>
              <w:ind w:left="0" w:right="0" w:hanging="0"/>
              <w:jc w:val="left"/>
              <w:rPr/>
            </w:pPr>
            <w:hyperlink w:anchor="part_1">
              <w:r>
                <w:rPr>
                  <w:rStyle w:val="InternetLink"/>
                  <w:rFonts w:ascii="Times New Roman;serif" w:hAnsi="Times New Roman;serif"/>
                  <w:b/>
                  <w:sz w:val="20"/>
                  <w:u w:val="single"/>
                </w:rPr>
                <w:t>PART I</w:t>
              </w:r>
            </w:hyperlink>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left"/>
              <w:rPr/>
            </w:pPr>
            <w:r>
              <w:rPr/>
              <w:t> </w:t>
            </w:r>
          </w:p>
        </w:tc>
      </w:tr>
      <w:tr>
        <w:trPr/>
        <w:tc>
          <w:tcPr>
            <w:tcW w:w="9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8846" w:type="dxa"/>
            <w:tcBorders/>
            <w:shd w:fill="auto" w:val="clear"/>
            <w:vAlign w:val="center"/>
          </w:tcPr>
          <w:p>
            <w:pPr>
              <w:pStyle w:val="TableContents"/>
              <w:spacing w:before="0" w:after="0"/>
              <w:ind w:left="0" w:right="0" w:hanging="0"/>
              <w:jc w:val="left"/>
              <w:rPr/>
            </w:pPr>
            <w:hyperlink w:anchor="item1">
              <w:r>
                <w:rPr>
                  <w:rStyle w:val="InternetLink"/>
                  <w:rFonts w:ascii="Times New Roman;serif" w:hAnsi="Times New Roman;serif"/>
                  <w:b w:val="false"/>
                  <w:sz w:val="20"/>
                  <w:u w:val="single"/>
                </w:rPr>
                <w:t>Financial Statements (unaudited)</w:t>
              </w:r>
            </w:hyperlink>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r>
      <w:tr>
        <w:trPr/>
        <w:tc>
          <w:tcPr>
            <w:tcW w:w="976" w:type="dxa"/>
            <w:tcBorders/>
            <w:shd w:fill="auto" w:val="clear"/>
            <w:vAlign w:val="center"/>
          </w:tcPr>
          <w:p>
            <w:pPr>
              <w:pStyle w:val="TableContents"/>
              <w:spacing w:before="0" w:after="0"/>
              <w:ind w:left="0" w:right="0" w:hanging="0"/>
              <w:jc w:val="left"/>
              <w:rPr/>
            </w:pPr>
            <w:r>
              <w:rPr/>
              <w:t> </w:t>
            </w:r>
          </w:p>
        </w:tc>
        <w:tc>
          <w:tcPr>
            <w:tcW w:w="8846" w:type="dxa"/>
            <w:tcBorders/>
            <w:shd w:fill="auto" w:val="clear"/>
            <w:vAlign w:val="center"/>
          </w:tcPr>
          <w:p>
            <w:pPr>
              <w:pStyle w:val="TableContents"/>
              <w:spacing w:before="0" w:after="0"/>
              <w:ind w:left="0" w:right="0" w:hanging="0"/>
              <w:jc w:val="left"/>
              <w:rPr/>
            </w:pPr>
            <w:hyperlink w:anchor="condensed_consolidated_statements_operat">
              <w:r>
                <w:rPr>
                  <w:rStyle w:val="InternetLink"/>
                  <w:rFonts w:ascii="Times New Roman;serif" w:hAnsi="Times New Roman;serif"/>
                  <w:b w:val="false"/>
                  <w:sz w:val="20"/>
                  <w:u w:val="single"/>
                </w:rPr>
                <w:t>Condensed Consolidated Statements of Operations – Three Months Ended March 31, 2023 and 2022</w:t>
              </w:r>
            </w:hyperlink>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r>
      <w:tr>
        <w:trPr/>
        <w:tc>
          <w:tcPr>
            <w:tcW w:w="976" w:type="dxa"/>
            <w:tcBorders/>
            <w:shd w:fill="auto" w:val="clear"/>
            <w:vAlign w:val="center"/>
          </w:tcPr>
          <w:p>
            <w:pPr>
              <w:pStyle w:val="TableContents"/>
              <w:spacing w:before="0" w:after="0"/>
              <w:ind w:left="0" w:right="0" w:hanging="0"/>
              <w:jc w:val="left"/>
              <w:rPr/>
            </w:pPr>
            <w:r>
              <w:rPr/>
              <w:t> </w:t>
            </w:r>
          </w:p>
        </w:tc>
        <w:tc>
          <w:tcPr>
            <w:tcW w:w="8846" w:type="dxa"/>
            <w:tcBorders/>
            <w:shd w:fill="auto" w:val="clear"/>
            <w:vAlign w:val="center"/>
          </w:tcPr>
          <w:p>
            <w:pPr>
              <w:pStyle w:val="TableContents"/>
              <w:spacing w:before="0" w:after="0"/>
              <w:ind w:left="0" w:right="0" w:hanging="0"/>
              <w:jc w:val="left"/>
              <w:rPr/>
            </w:pPr>
            <w:hyperlink w:anchor="comprehensive_income">
              <w:r>
                <w:rPr>
                  <w:rStyle w:val="InternetLink"/>
                  <w:rFonts w:ascii="Times New Roman;serif" w:hAnsi="Times New Roman;serif"/>
                  <w:b w:val="false"/>
                  <w:sz w:val="20"/>
                  <w:u w:val="single"/>
                </w:rPr>
                <w:t>Condensed Consolidated Statements of Comprehensive Income (Loss) – Three Months Ended March 31, 2023 and 2022</w:t>
              </w:r>
            </w:hyperlink>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r>
      <w:tr>
        <w:trPr/>
        <w:tc>
          <w:tcPr>
            <w:tcW w:w="976" w:type="dxa"/>
            <w:tcBorders/>
            <w:shd w:fill="auto" w:val="clear"/>
            <w:vAlign w:val="center"/>
          </w:tcPr>
          <w:p>
            <w:pPr>
              <w:pStyle w:val="TableContents"/>
              <w:spacing w:before="0" w:after="0"/>
              <w:ind w:left="0" w:right="0" w:hanging="0"/>
              <w:jc w:val="left"/>
              <w:rPr/>
            </w:pPr>
            <w:r>
              <w:rPr/>
              <w:t> </w:t>
            </w:r>
          </w:p>
        </w:tc>
        <w:tc>
          <w:tcPr>
            <w:tcW w:w="8846" w:type="dxa"/>
            <w:tcBorders/>
            <w:shd w:fill="auto" w:val="clear"/>
            <w:vAlign w:val="center"/>
          </w:tcPr>
          <w:p>
            <w:pPr>
              <w:pStyle w:val="TableContents"/>
              <w:spacing w:before="0" w:after="0"/>
              <w:ind w:left="0" w:right="0" w:hanging="0"/>
              <w:jc w:val="left"/>
              <w:rPr/>
            </w:pPr>
            <w:hyperlink w:anchor="condensed_consolidated_balance_sheets">
              <w:r>
                <w:rPr>
                  <w:rStyle w:val="InternetLink"/>
                  <w:rFonts w:ascii="Times New Roman;serif" w:hAnsi="Times New Roman;serif"/>
                  <w:b w:val="false"/>
                  <w:sz w:val="20"/>
                  <w:u w:val="single"/>
                </w:rPr>
                <w:t>Condensed Consolidated Balance Sheets – March 31, 2023 and December 31, 2022</w:t>
              </w:r>
            </w:hyperlink>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r>
      <w:tr>
        <w:trPr/>
        <w:tc>
          <w:tcPr>
            <w:tcW w:w="976" w:type="dxa"/>
            <w:tcBorders/>
            <w:shd w:fill="auto" w:val="clear"/>
            <w:vAlign w:val="center"/>
          </w:tcPr>
          <w:p>
            <w:pPr>
              <w:pStyle w:val="TableContents"/>
              <w:spacing w:before="0" w:after="0"/>
              <w:ind w:left="0" w:right="0" w:hanging="0"/>
              <w:jc w:val="left"/>
              <w:rPr/>
            </w:pPr>
            <w:r>
              <w:rPr/>
              <w:t> </w:t>
            </w:r>
          </w:p>
        </w:tc>
        <w:tc>
          <w:tcPr>
            <w:tcW w:w="8846" w:type="dxa"/>
            <w:tcBorders/>
            <w:shd w:fill="auto" w:val="clear"/>
            <w:vAlign w:val="center"/>
          </w:tcPr>
          <w:p>
            <w:pPr>
              <w:pStyle w:val="TableContents"/>
              <w:spacing w:before="0" w:after="0"/>
              <w:ind w:left="0" w:right="0" w:hanging="0"/>
              <w:jc w:val="left"/>
              <w:rPr/>
            </w:pPr>
            <w:hyperlink w:anchor="cash_flows">
              <w:r>
                <w:rPr>
                  <w:rStyle w:val="InternetLink"/>
                  <w:rFonts w:ascii="Times New Roman;serif" w:hAnsi="Times New Roman;serif"/>
                  <w:b w:val="false"/>
                  <w:sz w:val="20"/>
                  <w:u w:val="single"/>
                </w:rPr>
                <w:t>Condensed Consolidated Statements of Cash Flows – Three Months Ended March 31, 2023 and 2022</w:t>
              </w:r>
            </w:hyperlink>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r>
      <w:tr>
        <w:trPr/>
        <w:tc>
          <w:tcPr>
            <w:tcW w:w="976" w:type="dxa"/>
            <w:tcBorders/>
            <w:shd w:fill="auto" w:val="clear"/>
            <w:vAlign w:val="center"/>
          </w:tcPr>
          <w:p>
            <w:pPr>
              <w:pStyle w:val="TableContents"/>
              <w:spacing w:before="0" w:after="0"/>
              <w:ind w:left="0" w:right="0" w:hanging="0"/>
              <w:jc w:val="left"/>
              <w:rPr/>
            </w:pPr>
            <w:r>
              <w:rPr/>
              <w:t> </w:t>
            </w:r>
          </w:p>
        </w:tc>
        <w:tc>
          <w:tcPr>
            <w:tcW w:w="8846" w:type="dxa"/>
            <w:tcBorders/>
            <w:shd w:fill="auto" w:val="clear"/>
            <w:vAlign w:val="center"/>
          </w:tcPr>
          <w:p>
            <w:pPr>
              <w:pStyle w:val="TableContents"/>
              <w:spacing w:before="0" w:after="0"/>
              <w:ind w:left="0" w:right="0" w:hanging="0"/>
              <w:jc w:val="left"/>
              <w:rPr/>
            </w:pPr>
            <w:hyperlink w:anchor="stmt_equity">
              <w:r>
                <w:rPr>
                  <w:rStyle w:val="InternetLink"/>
                  <w:rFonts w:ascii="Times New Roman;serif" w:hAnsi="Times New Roman;serif"/>
                  <w:b w:val="false"/>
                  <w:sz w:val="20"/>
                  <w:u w:val="single"/>
                </w:rPr>
                <w:t>Condensed Consolidated Statements of Equity –</w:t>
              </w:r>
            </w:hyperlink>
            <w:r>
              <w:rPr>
                <w:rFonts w:ascii="Times New Roman" w:hAnsi="Times New Roman"/>
                <w:sz w:val="20"/>
                <w:u w:val="single"/>
              </w:rPr>
              <w:t> </w:t>
            </w:r>
            <w:r>
              <w:rPr>
                <w:rFonts w:ascii="Times New Roman;serif" w:hAnsi="Times New Roman;serif"/>
                <w:b w:val="false"/>
                <w:sz w:val="20"/>
                <w:u w:val="single"/>
              </w:rPr>
              <w:t>Three Months Ended March 31, 2023 and 2022</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r>
      <w:tr>
        <w:trPr/>
        <w:tc>
          <w:tcPr>
            <w:tcW w:w="976" w:type="dxa"/>
            <w:tcBorders/>
            <w:shd w:fill="auto" w:val="clear"/>
            <w:vAlign w:val="center"/>
          </w:tcPr>
          <w:p>
            <w:pPr>
              <w:pStyle w:val="TableContents"/>
              <w:spacing w:before="0" w:after="0"/>
              <w:ind w:left="0" w:right="0" w:hanging="0"/>
              <w:jc w:val="left"/>
              <w:rPr/>
            </w:pPr>
            <w:r>
              <w:rPr/>
              <w:t> </w:t>
            </w:r>
          </w:p>
        </w:tc>
        <w:tc>
          <w:tcPr>
            <w:tcW w:w="8846" w:type="dxa"/>
            <w:tcBorders/>
            <w:shd w:fill="auto" w:val="clear"/>
            <w:vAlign w:val="center"/>
          </w:tcPr>
          <w:p>
            <w:pPr>
              <w:pStyle w:val="TableContents"/>
              <w:spacing w:before="0" w:after="0"/>
              <w:ind w:left="0" w:right="0" w:hanging="0"/>
              <w:jc w:val="left"/>
              <w:rPr/>
            </w:pPr>
            <w:hyperlink w:anchor="notes_to_condensed">
              <w:r>
                <w:rPr>
                  <w:rStyle w:val="InternetLink"/>
                  <w:rFonts w:ascii="Times New Roman;serif" w:hAnsi="Times New Roman;serif"/>
                  <w:b w:val="false"/>
                  <w:sz w:val="20"/>
                  <w:u w:val="single"/>
                </w:rPr>
                <w:t>Notes to Condensed Consolidated Financial Statements</w:t>
              </w:r>
            </w:hyperlink>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r>
      <w:tr>
        <w:trPr/>
        <w:tc>
          <w:tcPr>
            <w:tcW w:w="9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8846" w:type="dxa"/>
            <w:tcBorders/>
            <w:shd w:fill="auto" w:val="clear"/>
            <w:vAlign w:val="center"/>
          </w:tcPr>
          <w:p>
            <w:pPr>
              <w:pStyle w:val="TableContents"/>
              <w:spacing w:before="0" w:after="0"/>
              <w:ind w:left="0" w:right="0" w:hanging="0"/>
              <w:jc w:val="left"/>
              <w:rPr/>
            </w:pPr>
            <w:hyperlink w:anchor="item_2_managements_discussion_analysis_f">
              <w:r>
                <w:rPr>
                  <w:rStyle w:val="InternetLink"/>
                  <w:rFonts w:ascii="Times New Roman;serif" w:hAnsi="Times New Roman;serif"/>
                  <w:b w:val="false"/>
                  <w:sz w:val="20"/>
                  <w:u w:val="single"/>
                </w:rPr>
                <w:t>Management’s Discussion and Analysis of Financial Condition and Results of Operations</w:t>
              </w:r>
            </w:hyperlink>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w:t>
            </w:r>
          </w:p>
        </w:tc>
      </w:tr>
      <w:tr>
        <w:trPr/>
        <w:tc>
          <w:tcPr>
            <w:tcW w:w="9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8846" w:type="dxa"/>
            <w:tcBorders/>
            <w:shd w:fill="auto" w:val="clear"/>
            <w:vAlign w:val="center"/>
          </w:tcPr>
          <w:p>
            <w:pPr>
              <w:pStyle w:val="TableContents"/>
              <w:spacing w:before="0" w:after="0"/>
              <w:ind w:left="0" w:right="0" w:hanging="0"/>
              <w:jc w:val="left"/>
              <w:rPr/>
            </w:pPr>
            <w:hyperlink w:anchor="item_3_quantitative_qualitative_disclosu">
              <w:r>
                <w:rPr>
                  <w:rStyle w:val="InternetLink"/>
                  <w:rFonts w:ascii="Times New Roman;serif" w:hAnsi="Times New Roman;serif"/>
                  <w:b w:val="false"/>
                  <w:sz w:val="20"/>
                  <w:u w:val="single"/>
                </w:rPr>
                <w:t>Quantitative and Qualitative Disclosures About Market Risk</w:t>
              </w:r>
            </w:hyperlink>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w:t>
            </w:r>
          </w:p>
        </w:tc>
      </w:tr>
      <w:tr>
        <w:trPr/>
        <w:tc>
          <w:tcPr>
            <w:tcW w:w="9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8846" w:type="dxa"/>
            <w:tcBorders/>
            <w:shd w:fill="auto" w:val="clear"/>
            <w:vAlign w:val="center"/>
          </w:tcPr>
          <w:p>
            <w:pPr>
              <w:pStyle w:val="TableContents"/>
              <w:spacing w:before="0" w:after="0"/>
              <w:ind w:left="0" w:right="0" w:hanging="0"/>
              <w:jc w:val="left"/>
              <w:rPr/>
            </w:pPr>
            <w:hyperlink w:anchor="item_4_controls_procedures">
              <w:r>
                <w:rPr>
                  <w:rStyle w:val="InternetLink"/>
                  <w:rFonts w:ascii="Times New Roman;serif" w:hAnsi="Times New Roman;serif"/>
                  <w:b w:val="false"/>
                  <w:sz w:val="20"/>
                  <w:u w:val="single"/>
                </w:rPr>
                <w:t>Controls and Procedures</w:t>
              </w:r>
            </w:hyperlink>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w:t>
            </w:r>
          </w:p>
        </w:tc>
      </w:tr>
      <w:tr>
        <w:trPr/>
        <w:tc>
          <w:tcPr>
            <w:tcW w:w="976" w:type="dxa"/>
            <w:tcBorders/>
            <w:shd w:fill="auto" w:val="clear"/>
            <w:vAlign w:val="center"/>
          </w:tcPr>
          <w:p>
            <w:pPr>
              <w:pStyle w:val="TableContents"/>
              <w:spacing w:before="0" w:after="0"/>
              <w:ind w:left="0" w:right="0" w:hanging="0"/>
              <w:jc w:val="left"/>
              <w:rPr/>
            </w:pPr>
            <w:r>
              <w:rPr/>
              <w:t> </w:t>
            </w:r>
          </w:p>
        </w:tc>
        <w:tc>
          <w:tcPr>
            <w:tcW w:w="88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pPr>
            <w:r>
              <w:rPr/>
              <w:t> </w:t>
            </w:r>
          </w:p>
        </w:tc>
      </w:tr>
      <w:tr>
        <w:trPr/>
        <w:tc>
          <w:tcPr>
            <w:tcW w:w="976" w:type="dxa"/>
            <w:tcBorders/>
            <w:shd w:fill="auto" w:val="clear"/>
            <w:vAlign w:val="center"/>
          </w:tcPr>
          <w:p>
            <w:pPr>
              <w:pStyle w:val="TableContents"/>
              <w:spacing w:before="0" w:after="0"/>
              <w:ind w:left="0" w:right="0" w:hanging="0"/>
              <w:jc w:val="left"/>
              <w:rPr/>
            </w:pPr>
            <w:r>
              <w:rPr/>
              <w:t> </w:t>
            </w:r>
          </w:p>
        </w:tc>
        <w:tc>
          <w:tcPr>
            <w:tcW w:w="8846" w:type="dxa"/>
            <w:tcBorders/>
            <w:shd w:fill="auto" w:val="clear"/>
            <w:vAlign w:val="center"/>
          </w:tcPr>
          <w:p>
            <w:pPr>
              <w:pStyle w:val="TableContents"/>
              <w:spacing w:before="0" w:after="0"/>
              <w:ind w:left="0" w:right="0" w:hanging="0"/>
              <w:jc w:val="left"/>
              <w:rPr/>
            </w:pPr>
            <w:hyperlink w:anchor="part_ii">
              <w:r>
                <w:rPr>
                  <w:rStyle w:val="InternetLink"/>
                  <w:rFonts w:ascii="Times New Roman;serif" w:hAnsi="Times New Roman;serif"/>
                  <w:b/>
                  <w:sz w:val="20"/>
                  <w:u w:val="single"/>
                </w:rPr>
                <w:t>PART II</w:t>
              </w:r>
            </w:hyperlink>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pPr>
            <w:r>
              <w:rPr/>
              <w:t> </w:t>
            </w:r>
          </w:p>
        </w:tc>
      </w:tr>
      <w:tr>
        <w:trPr/>
        <w:tc>
          <w:tcPr>
            <w:tcW w:w="9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8846" w:type="dxa"/>
            <w:tcBorders/>
            <w:shd w:fill="auto" w:val="clear"/>
            <w:vAlign w:val="center"/>
          </w:tcPr>
          <w:p>
            <w:pPr>
              <w:pStyle w:val="TableContents"/>
              <w:spacing w:before="0" w:after="0"/>
              <w:ind w:left="0" w:right="0" w:hanging="0"/>
              <w:jc w:val="left"/>
              <w:rPr/>
            </w:pPr>
            <w:hyperlink w:anchor="item_1_legal_proceedings">
              <w:r>
                <w:rPr>
                  <w:rStyle w:val="InternetLink"/>
                  <w:rFonts w:ascii="Times New Roman;serif" w:hAnsi="Times New Roman;serif"/>
                  <w:b w:val="false"/>
                  <w:sz w:val="20"/>
                  <w:u w:val="single"/>
                </w:rPr>
                <w:t>Legal Proceedings</w:t>
              </w:r>
            </w:hyperlink>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w:t>
            </w:r>
          </w:p>
        </w:tc>
      </w:tr>
      <w:tr>
        <w:trPr/>
        <w:tc>
          <w:tcPr>
            <w:tcW w:w="9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1A.</w:t>
            </w:r>
          </w:p>
        </w:tc>
        <w:tc>
          <w:tcPr>
            <w:tcW w:w="8846" w:type="dxa"/>
            <w:tcBorders/>
            <w:shd w:fill="auto" w:val="clear"/>
            <w:vAlign w:val="center"/>
          </w:tcPr>
          <w:p>
            <w:pPr>
              <w:pStyle w:val="TableContents"/>
              <w:spacing w:before="0" w:after="0"/>
              <w:ind w:left="0" w:right="0" w:hanging="0"/>
              <w:jc w:val="left"/>
              <w:rPr/>
            </w:pPr>
            <w:hyperlink w:anchor="item_1a_risk_factors">
              <w:r>
                <w:rPr>
                  <w:rStyle w:val="InternetLink"/>
                  <w:rFonts w:ascii="Times New Roman;serif" w:hAnsi="Times New Roman;serif"/>
                  <w:b w:val="false"/>
                  <w:sz w:val="20"/>
                  <w:u w:val="single"/>
                </w:rPr>
                <w:t>Risk Factors</w:t>
              </w:r>
            </w:hyperlink>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w:t>
            </w:r>
          </w:p>
        </w:tc>
      </w:tr>
      <w:tr>
        <w:trPr/>
        <w:tc>
          <w:tcPr>
            <w:tcW w:w="9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8846" w:type="dxa"/>
            <w:tcBorders/>
            <w:shd w:fill="auto" w:val="clear"/>
            <w:vAlign w:val="center"/>
          </w:tcPr>
          <w:p>
            <w:pPr>
              <w:pStyle w:val="TableContents"/>
              <w:spacing w:before="0" w:after="0"/>
              <w:ind w:left="0" w:right="0" w:hanging="0"/>
              <w:jc w:val="left"/>
              <w:rPr/>
            </w:pPr>
            <w:hyperlink w:anchor="unregistered_sales_of_equity_securities">
              <w:r>
                <w:rPr>
                  <w:rStyle w:val="InternetLink"/>
                  <w:rFonts w:ascii="Times New Roman;serif" w:hAnsi="Times New Roman;serif"/>
                  <w:b w:val="false"/>
                  <w:sz w:val="20"/>
                  <w:u w:val="single"/>
                </w:rPr>
                <w:t>Unregistered Sales of Equity Securities and Use of Proceeds</w:t>
              </w:r>
            </w:hyperlink>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w:t>
            </w:r>
          </w:p>
        </w:tc>
      </w:tr>
      <w:tr>
        <w:trPr/>
        <w:tc>
          <w:tcPr>
            <w:tcW w:w="9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8846" w:type="dxa"/>
            <w:tcBorders/>
            <w:shd w:fill="auto" w:val="clear"/>
            <w:vAlign w:val="center"/>
          </w:tcPr>
          <w:p>
            <w:pPr>
              <w:pStyle w:val="TableContents"/>
              <w:spacing w:before="0" w:after="0"/>
              <w:ind w:left="0" w:right="0" w:hanging="0"/>
              <w:jc w:val="left"/>
              <w:rPr/>
            </w:pPr>
            <w:hyperlink w:anchor="item_3__defaults_upon_senior_securities">
              <w:r>
                <w:rPr>
                  <w:rStyle w:val="InternetLink"/>
                  <w:rFonts w:ascii="Times New Roman;serif" w:hAnsi="Times New Roman;serif"/>
                  <w:b w:val="false"/>
                  <w:sz w:val="20"/>
                  <w:u w:val="single"/>
                </w:rPr>
                <w:t>Defaults Upon Senior Securities</w:t>
              </w:r>
            </w:hyperlink>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w:t>
            </w:r>
          </w:p>
        </w:tc>
      </w:tr>
      <w:tr>
        <w:trPr/>
        <w:tc>
          <w:tcPr>
            <w:tcW w:w="9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8846" w:type="dxa"/>
            <w:tcBorders/>
            <w:shd w:fill="auto" w:val="clear"/>
            <w:vAlign w:val="center"/>
          </w:tcPr>
          <w:p>
            <w:pPr>
              <w:pStyle w:val="TableContents"/>
              <w:spacing w:before="0" w:after="0"/>
              <w:ind w:left="0" w:right="0" w:hanging="0"/>
              <w:jc w:val="left"/>
              <w:rPr/>
            </w:pPr>
            <w:hyperlink w:anchor="item_4__mine_safety_disclosures">
              <w:r>
                <w:rPr>
                  <w:rStyle w:val="InternetLink"/>
                  <w:rFonts w:ascii="Times New Roman;serif" w:hAnsi="Times New Roman;serif"/>
                  <w:b w:val="false"/>
                  <w:sz w:val="20"/>
                  <w:u w:val="single"/>
                </w:rPr>
                <w:t>Mine Safety Disclosures</w:t>
              </w:r>
            </w:hyperlink>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w:t>
            </w:r>
          </w:p>
        </w:tc>
      </w:tr>
      <w:tr>
        <w:trPr/>
        <w:tc>
          <w:tcPr>
            <w:tcW w:w="9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5.</w:t>
            </w:r>
          </w:p>
        </w:tc>
        <w:tc>
          <w:tcPr>
            <w:tcW w:w="8846" w:type="dxa"/>
            <w:tcBorders/>
            <w:shd w:fill="auto" w:val="clear"/>
            <w:vAlign w:val="center"/>
          </w:tcPr>
          <w:p>
            <w:pPr>
              <w:pStyle w:val="TableContents"/>
              <w:spacing w:before="0" w:after="0"/>
              <w:ind w:left="0" w:right="0" w:hanging="0"/>
              <w:jc w:val="left"/>
              <w:rPr/>
            </w:pPr>
            <w:hyperlink w:anchor="item_5__other_information">
              <w:r>
                <w:rPr>
                  <w:rStyle w:val="InternetLink"/>
                  <w:rFonts w:ascii="Times New Roman;serif" w:hAnsi="Times New Roman;serif"/>
                  <w:b w:val="false"/>
                  <w:sz w:val="20"/>
                  <w:u w:val="single"/>
                </w:rPr>
                <w:t>Other Information</w:t>
              </w:r>
            </w:hyperlink>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w:t>
            </w:r>
          </w:p>
        </w:tc>
      </w:tr>
      <w:tr>
        <w:trPr/>
        <w:tc>
          <w:tcPr>
            <w:tcW w:w="9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6.</w:t>
            </w:r>
          </w:p>
        </w:tc>
        <w:tc>
          <w:tcPr>
            <w:tcW w:w="8846" w:type="dxa"/>
            <w:tcBorders/>
            <w:shd w:fill="auto" w:val="clear"/>
            <w:vAlign w:val="center"/>
          </w:tcPr>
          <w:p>
            <w:pPr>
              <w:pStyle w:val="TableContents"/>
              <w:spacing w:before="0" w:after="0"/>
              <w:ind w:left="0" w:right="0" w:hanging="0"/>
              <w:jc w:val="left"/>
              <w:rPr/>
            </w:pPr>
            <w:hyperlink w:anchor="item_6__exhibits">
              <w:r>
                <w:rPr>
                  <w:rStyle w:val="InternetLink"/>
                  <w:rFonts w:ascii="Times New Roman;serif" w:hAnsi="Times New Roman;serif"/>
                  <w:b w:val="false"/>
                  <w:sz w:val="20"/>
                  <w:u w:val="single"/>
                </w:rPr>
                <w:t>Exhibits</w:t>
              </w:r>
            </w:hyperlink>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w:t>
            </w:r>
          </w:p>
        </w:tc>
      </w:tr>
      <w:tr>
        <w:trPr/>
        <w:tc>
          <w:tcPr>
            <w:tcW w:w="976" w:type="dxa"/>
            <w:tcBorders/>
            <w:shd w:fill="auto" w:val="clear"/>
            <w:vAlign w:val="center"/>
          </w:tcPr>
          <w:p>
            <w:pPr>
              <w:pStyle w:val="TableContents"/>
              <w:spacing w:before="0" w:after="0"/>
              <w:ind w:left="0" w:right="0" w:hanging="0"/>
              <w:jc w:val="left"/>
              <w:rPr/>
            </w:pPr>
            <w:r>
              <w:rPr/>
              <w:t> </w:t>
            </w:r>
          </w:p>
        </w:tc>
        <w:tc>
          <w:tcPr>
            <w:tcW w:w="88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pPr>
            <w:r>
              <w:rPr/>
              <w:t> </w:t>
            </w:r>
          </w:p>
        </w:tc>
      </w:tr>
      <w:tr>
        <w:trPr/>
        <w:tc>
          <w:tcPr>
            <w:tcW w:w="976" w:type="dxa"/>
            <w:tcBorders/>
            <w:shd w:fill="auto" w:val="clear"/>
            <w:vAlign w:val="center"/>
          </w:tcPr>
          <w:p>
            <w:pPr>
              <w:pStyle w:val="TableContents"/>
              <w:spacing w:before="0" w:after="0"/>
              <w:ind w:left="0" w:right="0" w:hanging="0"/>
              <w:jc w:val="left"/>
              <w:rPr/>
            </w:pPr>
            <w:hyperlink w:anchor="signatures">
              <w:r>
                <w:rPr>
                  <w:rStyle w:val="InternetLink"/>
                  <w:rFonts w:ascii="Times New Roman;serif" w:hAnsi="Times New Roman;serif"/>
                  <w:b w:val="false"/>
                  <w:sz w:val="20"/>
                  <w:u w:val="single"/>
                </w:rPr>
                <w:t>Signatures</w:t>
              </w:r>
            </w:hyperlink>
          </w:p>
        </w:tc>
        <w:tc>
          <w:tcPr>
            <w:tcW w:w="88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w:t>
      </w:r>
    </w:p>
    <w:p>
      <w:pPr>
        <w:pStyle w:val="HorizontalLine"/>
        <w:rPr/>
      </w:pPr>
      <w:r>
        <w:rPr/>
      </w:r>
    </w:p>
    <w:p>
      <w:pPr>
        <w:pStyle w:val="TextBody"/>
        <w:spacing w:before="0" w:after="0"/>
        <w:jc w:val="left"/>
        <w:rPr/>
      </w:pPr>
      <w:r>
        <w:rPr/>
        <w:t> </w:t>
      </w:r>
    </w:p>
    <w:p>
      <w:pPr>
        <w:pStyle w:val="TextBody"/>
        <w:spacing w:before="0" w:after="0"/>
        <w:jc w:val="center"/>
        <w:rPr>
          <w:rFonts w:ascii="Times New Roman" w:hAnsi="Times New Roman"/>
          <w:sz w:val="20"/>
        </w:rPr>
      </w:pPr>
      <w:bookmarkStart w:id="2" w:name="part_1"/>
      <w:bookmarkEnd w:id="2"/>
      <w:r>
        <w:rPr>
          <w:rFonts w:ascii="Times New Roman;serif" w:hAnsi="Times New Roman;serif"/>
          <w:b/>
          <w:sz w:val="20"/>
        </w:rPr>
        <w:t>PART I – FINANCIAL INFORMATION</w:t>
      </w:r>
      <w:r>
        <w:rPr>
          <w:rFonts w:ascii="Times New Roman" w:hAnsi="Times New Roman"/>
          <w:sz w:val="20"/>
        </w:rPr>
        <w:t xml:space="preserve"> </w:t>
      </w:r>
    </w:p>
    <w:p>
      <w:pPr>
        <w:pStyle w:val="TextBody"/>
        <w:spacing w:before="240" w:after="0"/>
        <w:jc w:val="both"/>
        <w:rPr>
          <w:rFonts w:ascii="Times New Roman;serif" w:hAnsi="Times New Roman;serif"/>
          <w:b/>
          <w:sz w:val="20"/>
        </w:rPr>
      </w:pPr>
      <w:bookmarkStart w:id="3" w:name="item1"/>
      <w:bookmarkEnd w:id="3"/>
      <w:r>
        <w:rPr>
          <w:rFonts w:ascii="Times New Roman;serif" w:hAnsi="Times New Roman;serif"/>
          <w:b/>
          <w:sz w:val="20"/>
        </w:rPr>
        <w:t>Item 1. Financial Statements</w:t>
      </w:r>
    </w:p>
    <w:p>
      <w:pPr>
        <w:pStyle w:val="TextBody"/>
        <w:spacing w:before="240" w:after="0"/>
        <w:jc w:val="center"/>
        <w:rPr>
          <w:rFonts w:ascii="Times New Roman;serif" w:hAnsi="Times New Roman;serif"/>
          <w:b/>
          <w:sz w:val="20"/>
        </w:rPr>
      </w:pPr>
      <w:r>
        <w:rPr>
          <w:rFonts w:ascii="Times New Roman;serif" w:hAnsi="Times New Roman;serif"/>
          <w:b/>
          <w:sz w:val="20"/>
        </w:rPr>
        <w:t>ADEIA INC.</w:t>
      </w:r>
    </w:p>
    <w:p>
      <w:pPr>
        <w:pStyle w:val="TextBody"/>
        <w:spacing w:before="0" w:after="0"/>
        <w:jc w:val="center"/>
        <w:rPr>
          <w:rFonts w:ascii="Times New Roman;serif" w:hAnsi="Times New Roman;serif"/>
          <w:b/>
          <w:sz w:val="20"/>
        </w:rPr>
      </w:pPr>
      <w:bookmarkStart w:id="4" w:name="condensed_consolidated_statements_operat"/>
      <w:bookmarkEnd w:id="4"/>
      <w:r>
        <w:rPr>
          <w:rFonts w:ascii="Times New Roman;serif" w:hAnsi="Times New Roman;serif"/>
          <w:b/>
          <w:sz w:val="20"/>
        </w:rPr>
        <w:t>CONDENSED CONSOLIDATED STATEMENTS OF OPERATIONS</w:t>
      </w:r>
    </w:p>
    <w:p>
      <w:pPr>
        <w:pStyle w:val="TextBody"/>
        <w:spacing w:before="0" w:after="0"/>
        <w:jc w:val="center"/>
        <w:rPr>
          <w:rFonts w:ascii="Times New Roman;serif" w:hAnsi="Times New Roman;serif"/>
          <w:b/>
          <w:sz w:val="20"/>
        </w:rPr>
      </w:pPr>
      <w:r>
        <w:rPr>
          <w:rFonts w:ascii="Times New Roman;serif" w:hAnsi="Times New Roman;serif"/>
          <w:b/>
          <w:sz w:val="20"/>
        </w:rPr>
        <w:t>(in thousands, except per share amounts)</w:t>
      </w:r>
    </w:p>
    <w:p>
      <w:pPr>
        <w:pStyle w:val="TextBody"/>
        <w:spacing w:before="0" w:after="0"/>
        <w:jc w:val="center"/>
        <w:rPr>
          <w:rFonts w:ascii="Times New Roman;serif" w:hAnsi="Times New Roman;serif"/>
          <w:b/>
          <w:sz w:val="20"/>
        </w:rPr>
      </w:pPr>
      <w:r>
        <w:rPr>
          <w:rFonts w:ascii="Times New Roman;serif" w:hAnsi="Times New Roman;serif"/>
          <w:b/>
          <w:sz w:val="20"/>
        </w:rPr>
        <w:t>(unaudited)</w:t>
      </w:r>
    </w:p>
    <w:p>
      <w:pPr>
        <w:pStyle w:val="TextBody"/>
        <w:spacing w:before="0" w:after="0"/>
        <w:jc w:val="left"/>
        <w:rPr/>
      </w:pPr>
      <w:r>
        <w:rPr/>
        <w:t> </w:t>
      </w:r>
    </w:p>
    <w:tbl>
      <w:tblPr>
        <w:tblW w:w="9109" w:type="dxa"/>
        <w:jc w:val="left"/>
        <w:tblInd w:w="0" w:type="dxa"/>
        <w:tblCellMar>
          <w:top w:w="28" w:type="dxa"/>
          <w:left w:w="28" w:type="dxa"/>
          <w:bottom w:w="28" w:type="dxa"/>
          <w:right w:w="28" w:type="dxa"/>
        </w:tblCellMar>
      </w:tblPr>
      <w:tblGrid>
        <w:gridCol w:w="6076"/>
        <w:gridCol w:w="146"/>
        <w:gridCol w:w="211"/>
        <w:gridCol w:w="781"/>
        <w:gridCol w:w="166"/>
        <w:gridCol w:w="146"/>
        <w:gridCol w:w="211"/>
        <w:gridCol w:w="781"/>
        <w:gridCol w:w="591"/>
      </w:tblGrid>
      <w:tr>
        <w:trPr/>
        <w:tc>
          <w:tcPr>
            <w:tcW w:w="60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r>
      <w:tr>
        <w:trPr/>
        <w:tc>
          <w:tcPr>
            <w:tcW w:w="607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9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Three Months Ended</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07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March 31,</w:t>
              <w:b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March 31,</w:t>
              <w:br/>
              <w:t>2022</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0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Revenue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117,307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138,532</w:t>
            </w:r>
          </w:p>
        </w:tc>
        <w:tc>
          <w:tcPr>
            <w:tcW w:w="591" w:type="dxa"/>
            <w:tcBorders/>
            <w:shd w:fill="auto" w:val="clear"/>
            <w:vAlign w:val="center"/>
          </w:tcPr>
          <w:p>
            <w:pPr>
              <w:pStyle w:val="TableContents"/>
              <w:spacing w:before="0" w:after="0"/>
              <w:ind w:left="0" w:right="0" w:hanging="0"/>
              <w:jc w:val="left"/>
              <w:rPr/>
            </w:pPr>
            <w:r>
              <w:rPr/>
              <w:t> </w:t>
            </w:r>
          </w:p>
        </w:tc>
      </w:tr>
      <w:tr>
        <w:trPr/>
        <w:tc>
          <w:tcPr>
            <w:tcW w:w="60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firstLine="200"/>
              <w:jc w:val="right"/>
              <w:rPr/>
            </w:pPr>
            <w:r>
              <w:rPr/>
              <w:t> </w:t>
            </w:r>
          </w:p>
        </w:tc>
      </w:tr>
      <w:tr>
        <w:trPr/>
        <w:tc>
          <w:tcPr>
            <w:tcW w:w="607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13,011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9,650</w:t>
            </w:r>
          </w:p>
        </w:tc>
        <w:tc>
          <w:tcPr>
            <w:tcW w:w="591" w:type="dxa"/>
            <w:tcBorders/>
            <w:shd w:fill="auto" w:val="clear"/>
            <w:vAlign w:val="center"/>
          </w:tcPr>
          <w:p>
            <w:pPr>
              <w:pStyle w:val="TableContents"/>
              <w:spacing w:before="0" w:after="0"/>
              <w:ind w:left="0" w:right="0" w:firstLine="200"/>
              <w:jc w:val="left"/>
              <w:rPr/>
            </w:pPr>
            <w:r>
              <w:rPr/>
              <w:t> </w:t>
            </w:r>
          </w:p>
        </w:tc>
      </w:tr>
      <w:tr>
        <w:trPr/>
        <w:tc>
          <w:tcPr>
            <w:tcW w:w="607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Selling, general and administrative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22,862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33,824</w:t>
            </w:r>
          </w:p>
        </w:tc>
        <w:tc>
          <w:tcPr>
            <w:tcW w:w="591" w:type="dxa"/>
            <w:tcBorders/>
            <w:shd w:fill="auto" w:val="clear"/>
            <w:vAlign w:val="center"/>
          </w:tcPr>
          <w:p>
            <w:pPr>
              <w:pStyle w:val="TableContents"/>
              <w:spacing w:before="0" w:after="0"/>
              <w:ind w:left="0" w:right="0" w:firstLine="200"/>
              <w:jc w:val="left"/>
              <w:rPr/>
            </w:pPr>
            <w:r>
              <w:rPr/>
              <w:t> </w:t>
            </w:r>
          </w:p>
        </w:tc>
      </w:tr>
      <w:tr>
        <w:trPr/>
        <w:tc>
          <w:tcPr>
            <w:tcW w:w="607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Amortization expense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23,689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24,526</w:t>
            </w:r>
          </w:p>
        </w:tc>
        <w:tc>
          <w:tcPr>
            <w:tcW w:w="591" w:type="dxa"/>
            <w:tcBorders/>
            <w:shd w:fill="auto" w:val="clear"/>
            <w:vAlign w:val="center"/>
          </w:tcPr>
          <w:p>
            <w:pPr>
              <w:pStyle w:val="TableContents"/>
              <w:spacing w:before="0" w:after="0"/>
              <w:ind w:left="0" w:right="0" w:firstLine="200"/>
              <w:jc w:val="left"/>
              <w:rPr/>
            </w:pPr>
            <w:r>
              <w:rPr/>
              <w:t> </w:t>
            </w:r>
          </w:p>
        </w:tc>
      </w:tr>
      <w:tr>
        <w:trPr/>
        <w:tc>
          <w:tcPr>
            <w:tcW w:w="607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Litigation expense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1,078</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607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62,184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69,078</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607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Operating income from continuing operations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55,123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69,454</w:t>
            </w:r>
          </w:p>
        </w:tc>
        <w:tc>
          <w:tcPr>
            <w:tcW w:w="591" w:type="dxa"/>
            <w:tcBorders/>
            <w:shd w:fill="auto" w:val="clear"/>
            <w:vAlign w:val="center"/>
          </w:tcPr>
          <w:p>
            <w:pPr>
              <w:pStyle w:val="TableContents"/>
              <w:spacing w:before="0" w:after="0"/>
              <w:ind w:left="0" w:right="0" w:hanging="0"/>
              <w:jc w:val="left"/>
              <w:rPr/>
            </w:pPr>
            <w:r>
              <w:rPr/>
              <w:t> </w:t>
            </w:r>
          </w:p>
        </w:tc>
      </w:tr>
      <w:tr>
        <w:trPr/>
        <w:tc>
          <w:tcPr>
            <w:tcW w:w="60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expense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(15,938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(8,429</w:t>
            </w:r>
          </w:p>
        </w:tc>
        <w:tc>
          <w:tcPr>
            <w:tcW w:w="5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0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 and expense,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1,620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337</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607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Income from continuing operations before income taxes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40,805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61,362</w:t>
            </w:r>
          </w:p>
        </w:tc>
        <w:tc>
          <w:tcPr>
            <w:tcW w:w="591" w:type="dxa"/>
            <w:tcBorders/>
            <w:shd w:fill="auto" w:val="clear"/>
            <w:vAlign w:val="center"/>
          </w:tcPr>
          <w:p>
            <w:pPr>
              <w:pStyle w:val="TableContents"/>
              <w:spacing w:before="0" w:after="0"/>
              <w:ind w:left="0" w:right="0" w:hanging="0"/>
              <w:jc w:val="left"/>
              <w:rPr/>
            </w:pPr>
            <w:r>
              <w:rPr/>
              <w:t> </w:t>
            </w:r>
          </w:p>
        </w:tc>
      </w:tr>
      <w:tr>
        <w:trPr/>
        <w:tc>
          <w:tcPr>
            <w:tcW w:w="60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Provision for income taxes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11,784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5,517</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0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 from continuing operations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29,021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55,845</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0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from discontinued operations, net of tax</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(31,870</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0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29,021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23,975</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607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 xml:space="preserve">Less: Net loss attributable to non-controlling interest in </w:t>
              <w:br/>
              <w:t>discontinued operations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(968</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0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 attributable to the Company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29,021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24,943</w:t>
            </w:r>
          </w:p>
        </w:tc>
        <w:tc>
          <w:tcPr>
            <w:tcW w:w="5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0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Income (loss) per share:</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firstLine="200"/>
              <w:jc w:val="right"/>
              <w:rPr/>
            </w:pPr>
            <w:r>
              <w:rPr/>
              <w:t> </w:t>
            </w:r>
          </w:p>
        </w:tc>
      </w:tr>
      <w:tr>
        <w:trPr/>
        <w:tc>
          <w:tcPr>
            <w:tcW w:w="607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Basic</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firstLine="300"/>
              <w:jc w:val="right"/>
              <w:rPr/>
            </w:pPr>
            <w:r>
              <w:rPr/>
              <w:t> </w:t>
            </w:r>
          </w:p>
        </w:tc>
      </w:tr>
      <w:tr>
        <w:trPr/>
        <w:tc>
          <w:tcPr>
            <w:tcW w:w="6076" w:type="dxa"/>
            <w:tcBorders/>
            <w:shd w:fill="auto" w:val="clear"/>
            <w:vAlign w:val="center"/>
          </w:tcPr>
          <w:p>
            <w:pPr>
              <w:pStyle w:val="TableContents"/>
              <w:spacing w:before="0" w:after="0"/>
              <w:ind w:left="300" w:right="0" w:hanging="0"/>
              <w:jc w:val="left"/>
              <w:rPr>
                <w:rFonts w:ascii="Times New Roman;serif" w:hAnsi="Times New Roman;serif"/>
                <w:b w:val="false"/>
                <w:sz w:val="20"/>
              </w:rPr>
            </w:pPr>
            <w:r>
              <w:rPr>
                <w:rFonts w:ascii="Times New Roman;serif" w:hAnsi="Times New Roman;serif"/>
                <w:b w:val="false"/>
                <w:sz w:val="20"/>
              </w:rPr>
              <w:t>Continuing operations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0.54</w:t>
            </w:r>
          </w:p>
        </w:tc>
        <w:tc>
          <w:tcPr>
            <w:tcW w:w="591" w:type="dxa"/>
            <w:tcBorders/>
            <w:shd w:fill="auto" w:val="clear"/>
            <w:vAlign w:val="center"/>
          </w:tcPr>
          <w:p>
            <w:pPr>
              <w:pStyle w:val="TableContents"/>
              <w:spacing w:before="0" w:after="0"/>
              <w:ind w:left="0" w:right="0" w:firstLine="300"/>
              <w:jc w:val="left"/>
              <w:rPr/>
            </w:pPr>
            <w:r>
              <w:rPr/>
              <w:t> </w:t>
            </w:r>
          </w:p>
        </w:tc>
      </w:tr>
      <w:tr>
        <w:trPr/>
        <w:tc>
          <w:tcPr>
            <w:tcW w:w="6076" w:type="dxa"/>
            <w:tcBorders/>
            <w:shd w:fill="auto" w:val="clear"/>
            <w:vAlign w:val="center"/>
          </w:tcPr>
          <w:p>
            <w:pPr>
              <w:pStyle w:val="TableContents"/>
              <w:spacing w:before="0" w:after="0"/>
              <w:ind w:left="300" w:right="0" w:hanging="0"/>
              <w:jc w:val="left"/>
              <w:rPr>
                <w:rFonts w:ascii="Times New Roman;serif" w:hAnsi="Times New Roman;serif"/>
                <w:b w:val="false"/>
                <w:sz w:val="20"/>
              </w:rPr>
            </w:pPr>
            <w:r>
              <w:rPr>
                <w:rFonts w:ascii="Times New Roman;serif" w:hAnsi="Times New Roman;serif"/>
                <w:b w:val="false"/>
                <w:sz w:val="20"/>
              </w:rPr>
              <w:t>Discontinued operations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(0.30</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300"/>
              <w:jc w:val="left"/>
              <w:rPr>
                <w:rFonts w:ascii="Times New Roman;serif" w:hAnsi="Times New Roman;serif"/>
                <w:b w:val="false"/>
                <w:sz w:val="20"/>
              </w:rPr>
            </w:pPr>
            <w:r>
              <w:rPr>
                <w:rFonts w:ascii="Times New Roman;serif" w:hAnsi="Times New Roman;serif"/>
                <w:b w:val="false"/>
                <w:sz w:val="20"/>
              </w:rPr>
              <w:t>)</w:t>
            </w:r>
          </w:p>
        </w:tc>
      </w:tr>
      <w:tr>
        <w:trPr/>
        <w:tc>
          <w:tcPr>
            <w:tcW w:w="6076" w:type="dxa"/>
            <w:tcBorders/>
            <w:shd w:fill="auto" w:val="clear"/>
            <w:vAlign w:val="center"/>
          </w:tcPr>
          <w:p>
            <w:pPr>
              <w:pStyle w:val="TableContents"/>
              <w:spacing w:before="0" w:after="0"/>
              <w:ind w:left="300" w:right="0" w:hanging="0"/>
              <w:jc w:val="left"/>
              <w:rPr>
                <w:rFonts w:ascii="Times New Roman;serif" w:hAnsi="Times New Roman;serif"/>
                <w:b w:val="false"/>
                <w:sz w:val="20"/>
              </w:rPr>
            </w:pPr>
            <w:r>
              <w:rPr>
                <w:rFonts w:ascii="Times New Roman;serif" w:hAnsi="Times New Roman;serif"/>
                <w:b w:val="false"/>
                <w:sz w:val="20"/>
              </w:rPr>
              <w:t>Net income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0.27</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0.24</w:t>
            </w:r>
          </w:p>
        </w:tc>
        <w:tc>
          <w:tcPr>
            <w:tcW w:w="5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607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Diluted</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firstLine="300"/>
              <w:jc w:val="right"/>
              <w:rPr/>
            </w:pPr>
            <w:r>
              <w:rPr/>
              <w:t> </w:t>
            </w:r>
          </w:p>
        </w:tc>
      </w:tr>
      <w:tr>
        <w:trPr/>
        <w:tc>
          <w:tcPr>
            <w:tcW w:w="6076" w:type="dxa"/>
            <w:tcBorders/>
            <w:shd w:fill="auto" w:val="clear"/>
            <w:vAlign w:val="center"/>
          </w:tcPr>
          <w:p>
            <w:pPr>
              <w:pStyle w:val="TableContents"/>
              <w:spacing w:before="0" w:after="0"/>
              <w:ind w:left="300" w:right="0" w:hanging="0"/>
              <w:jc w:val="left"/>
              <w:rPr>
                <w:rFonts w:ascii="Times New Roman;serif" w:hAnsi="Times New Roman;serif"/>
                <w:b w:val="false"/>
                <w:sz w:val="20"/>
              </w:rPr>
            </w:pPr>
            <w:r>
              <w:rPr>
                <w:rFonts w:ascii="Times New Roman;serif" w:hAnsi="Times New Roman;serif"/>
                <w:b w:val="false"/>
                <w:sz w:val="20"/>
              </w:rPr>
              <w:t>Continuing operations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0.53</w:t>
            </w:r>
          </w:p>
        </w:tc>
        <w:tc>
          <w:tcPr>
            <w:tcW w:w="591" w:type="dxa"/>
            <w:tcBorders/>
            <w:shd w:fill="auto" w:val="clear"/>
            <w:vAlign w:val="center"/>
          </w:tcPr>
          <w:p>
            <w:pPr>
              <w:pStyle w:val="TableContents"/>
              <w:spacing w:before="0" w:after="0"/>
              <w:ind w:left="0" w:right="0" w:firstLine="300"/>
              <w:jc w:val="left"/>
              <w:rPr/>
            </w:pPr>
            <w:r>
              <w:rPr/>
              <w:t> </w:t>
            </w:r>
          </w:p>
        </w:tc>
      </w:tr>
      <w:tr>
        <w:trPr/>
        <w:tc>
          <w:tcPr>
            <w:tcW w:w="6076" w:type="dxa"/>
            <w:tcBorders/>
            <w:shd w:fill="auto" w:val="clear"/>
            <w:vAlign w:val="center"/>
          </w:tcPr>
          <w:p>
            <w:pPr>
              <w:pStyle w:val="TableContents"/>
              <w:spacing w:before="0" w:after="0"/>
              <w:ind w:left="300" w:right="0" w:hanging="0"/>
              <w:jc w:val="left"/>
              <w:rPr>
                <w:rFonts w:ascii="Times New Roman;serif" w:hAnsi="Times New Roman;serif"/>
                <w:b w:val="false"/>
                <w:sz w:val="20"/>
              </w:rPr>
            </w:pPr>
            <w:r>
              <w:rPr>
                <w:rFonts w:ascii="Times New Roman;serif" w:hAnsi="Times New Roman;serif"/>
                <w:b w:val="false"/>
                <w:sz w:val="20"/>
              </w:rPr>
              <w:t>Discontinued operations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(0.29</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300"/>
              <w:jc w:val="left"/>
              <w:rPr>
                <w:rFonts w:ascii="Times New Roman;serif" w:hAnsi="Times New Roman;serif"/>
                <w:b w:val="false"/>
                <w:sz w:val="20"/>
              </w:rPr>
            </w:pPr>
            <w:r>
              <w:rPr>
                <w:rFonts w:ascii="Times New Roman;serif" w:hAnsi="Times New Roman;serif"/>
                <w:b w:val="false"/>
                <w:sz w:val="20"/>
              </w:rPr>
              <w:t>)</w:t>
            </w:r>
          </w:p>
        </w:tc>
      </w:tr>
      <w:tr>
        <w:trPr/>
        <w:tc>
          <w:tcPr>
            <w:tcW w:w="6076" w:type="dxa"/>
            <w:tcBorders/>
            <w:shd w:fill="auto" w:val="clear"/>
            <w:vAlign w:val="center"/>
          </w:tcPr>
          <w:p>
            <w:pPr>
              <w:pStyle w:val="TableContents"/>
              <w:spacing w:before="0" w:after="0"/>
              <w:ind w:left="300" w:right="0" w:hanging="0"/>
              <w:jc w:val="left"/>
              <w:rPr>
                <w:rFonts w:ascii="Times New Roman;serif" w:hAnsi="Times New Roman;serif"/>
                <w:b w:val="false"/>
                <w:sz w:val="20"/>
              </w:rPr>
            </w:pPr>
            <w:r>
              <w:rPr>
                <w:rFonts w:ascii="Times New Roman;serif" w:hAnsi="Times New Roman;serif"/>
                <w:b w:val="false"/>
                <w:sz w:val="20"/>
              </w:rPr>
              <w:t>Net income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0.26</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0.24</w:t>
            </w:r>
          </w:p>
        </w:tc>
        <w:tc>
          <w:tcPr>
            <w:tcW w:w="5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607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Weighted average number of shares used in per share calculations-basic</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105,585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103,679</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607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Weighted average number of shares used in per share calculations-diluted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113,447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105,332</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40" w:after="0"/>
        <w:jc w:val="center"/>
        <w:rPr>
          <w:rFonts w:ascii="Times New Roman;serif" w:hAnsi="Times New Roman;serif"/>
          <w:b w:val="false"/>
          <w:sz w:val="20"/>
        </w:rPr>
      </w:pPr>
      <w:r>
        <w:rPr>
          <w:rFonts w:ascii="Times New Roman;serif" w:hAnsi="Times New Roman;serif"/>
          <w:b w:val="false"/>
          <w:sz w:val="20"/>
        </w:rPr>
        <w:t>The accompanying notes are an integral part of these unaudited condensed consolidated financial statements.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ADEIA INC.</w:t>
      </w:r>
    </w:p>
    <w:p>
      <w:pPr>
        <w:pStyle w:val="TextBody"/>
        <w:spacing w:before="0" w:after="0"/>
        <w:jc w:val="center"/>
        <w:rPr>
          <w:rFonts w:ascii="Times New Roman" w:hAnsi="Times New Roman"/>
          <w:sz w:val="20"/>
        </w:rPr>
      </w:pPr>
      <w:bookmarkStart w:id="5" w:name="comprehensive_income"/>
      <w:bookmarkEnd w:id="5"/>
      <w:r>
        <w:rPr>
          <w:rFonts w:ascii="Times New Roman;serif" w:hAnsi="Times New Roman;serif"/>
          <w:b/>
          <w:sz w:val="20"/>
        </w:rPr>
        <w:t>CONDENSED CONSOLIDATED STATEMENTS OF COMPREHENSIVE INCOME (LOSS)</w:t>
      </w:r>
      <w:r>
        <w:rPr>
          <w:rFonts w:ascii="Times New Roman" w:hAnsi="Times New Roman"/>
          <w:sz w:val="20"/>
        </w:rPr>
        <w:t xml:space="preserve"> </w:t>
      </w:r>
    </w:p>
    <w:p>
      <w:pPr>
        <w:pStyle w:val="TextBody"/>
        <w:spacing w:before="0" w:after="0"/>
        <w:jc w:val="center"/>
        <w:rPr>
          <w:rFonts w:ascii="Times New Roman;serif" w:hAnsi="Times New Roman;serif"/>
          <w:b/>
          <w:sz w:val="20"/>
        </w:rPr>
      </w:pPr>
      <w:r>
        <w:rPr>
          <w:rFonts w:ascii="Times New Roman;serif" w:hAnsi="Times New Roman;serif"/>
          <w:b/>
          <w:sz w:val="20"/>
        </w:rPr>
        <w:t>(in thousands)</w:t>
      </w:r>
    </w:p>
    <w:p>
      <w:pPr>
        <w:pStyle w:val="TextBody"/>
        <w:spacing w:before="0" w:after="0"/>
        <w:jc w:val="center"/>
        <w:rPr>
          <w:rFonts w:ascii="Times New Roman;serif" w:hAnsi="Times New Roman;serif"/>
          <w:b/>
          <w:sz w:val="20"/>
        </w:rPr>
      </w:pPr>
      <w:r>
        <w:rPr>
          <w:rFonts w:ascii="Times New Roman;serif" w:hAnsi="Times New Roman;serif"/>
          <w:b/>
          <w:sz w:val="20"/>
        </w:rPr>
        <w:t>(unaudited)</w:t>
      </w:r>
    </w:p>
    <w:p>
      <w:pPr>
        <w:pStyle w:val="TextBody"/>
        <w:spacing w:before="0" w:after="0"/>
        <w:jc w:val="left"/>
        <w:rPr/>
      </w:pPr>
      <w:r>
        <w:rPr/>
        <w:t> </w:t>
      </w:r>
    </w:p>
    <w:tbl>
      <w:tblPr>
        <w:tblW w:w="7175" w:type="dxa"/>
        <w:jc w:val="left"/>
        <w:tblInd w:w="0" w:type="dxa"/>
        <w:tblCellMar>
          <w:top w:w="28" w:type="dxa"/>
          <w:left w:w="28" w:type="dxa"/>
          <w:bottom w:w="28" w:type="dxa"/>
          <w:right w:w="28" w:type="dxa"/>
        </w:tblCellMar>
      </w:tblPr>
      <w:tblGrid>
        <w:gridCol w:w="4516"/>
        <w:gridCol w:w="146"/>
        <w:gridCol w:w="210"/>
        <w:gridCol w:w="645"/>
        <w:gridCol w:w="166"/>
        <w:gridCol w:w="146"/>
        <w:gridCol w:w="210"/>
        <w:gridCol w:w="645"/>
        <w:gridCol w:w="491"/>
      </w:tblGrid>
      <w:tr>
        <w:trPr/>
        <w:tc>
          <w:tcPr>
            <w:tcW w:w="45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645"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645"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r>
      <w:tr>
        <w:trPr/>
        <w:tc>
          <w:tcPr>
            <w:tcW w:w="451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22"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51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5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b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5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br/>
              <w:t>2022</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51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Net income</w:t>
            </w:r>
          </w:p>
        </w:tc>
        <w:tc>
          <w:tcPr>
            <w:tcW w:w="146" w:type="dxa"/>
            <w:tcBorders/>
            <w:shd w:fill="auto" w:val="clear"/>
            <w:vAlign w:val="center"/>
          </w:tcPr>
          <w:p>
            <w:pPr>
              <w:pStyle w:val="TableContents"/>
              <w:spacing w:before="0" w:after="0"/>
              <w:ind w:left="0" w:right="0" w:hanging="0"/>
              <w:jc w:val="left"/>
              <w:rPr/>
            </w:pPr>
            <w:r>
              <w:rPr/>
              <w:t> </w:t>
            </w:r>
          </w:p>
        </w:tc>
        <w:tc>
          <w:tcPr>
            <w:tcW w:w="210"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4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29,021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0"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4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23,975</w:t>
            </w:r>
          </w:p>
        </w:tc>
        <w:tc>
          <w:tcPr>
            <w:tcW w:w="491" w:type="dxa"/>
            <w:tcBorders/>
            <w:shd w:fill="auto" w:val="clear"/>
            <w:vAlign w:val="center"/>
          </w:tcPr>
          <w:p>
            <w:pPr>
              <w:pStyle w:val="TableContents"/>
              <w:spacing w:before="0" w:after="0"/>
              <w:ind w:left="0" w:right="0" w:hanging="0"/>
              <w:jc w:val="left"/>
              <w:rPr/>
            </w:pPr>
            <w:r>
              <w:rPr/>
              <w:t> </w:t>
            </w:r>
          </w:p>
        </w:tc>
      </w:tr>
      <w:tr>
        <w:trPr/>
        <w:tc>
          <w:tcPr>
            <w:tcW w:w="451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Other comprehensive income (loss), net of tax:</w:t>
            </w:r>
          </w:p>
        </w:tc>
        <w:tc>
          <w:tcPr>
            <w:tcW w:w="146" w:type="dxa"/>
            <w:tcBorders/>
            <w:shd w:fill="auto" w:val="clear"/>
            <w:vAlign w:val="center"/>
          </w:tcPr>
          <w:p>
            <w:pPr>
              <w:pStyle w:val="TableContents"/>
              <w:spacing w:before="0" w:after="0"/>
              <w:ind w:left="0" w:right="0" w:hanging="0"/>
              <w:jc w:val="left"/>
              <w:rPr/>
            </w:pPr>
            <w:r>
              <w:rPr/>
              <w:t> </w:t>
            </w:r>
          </w:p>
        </w:tc>
        <w:tc>
          <w:tcPr>
            <w:tcW w:w="855"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55" w:type="dxa"/>
            <w:gridSpan w:val="2"/>
            <w:tcBorders/>
            <w:shd w:fill="auto" w:val="clear"/>
            <w:vAlign w:val="center"/>
          </w:tcPr>
          <w:p>
            <w:pPr>
              <w:pStyle w:val="TableContents"/>
              <w:spacing w:before="0" w:after="0"/>
              <w:ind w:left="0" w:right="0" w:hanging="0"/>
              <w:jc w:val="right"/>
              <w:rPr/>
            </w:pPr>
            <w:r>
              <w:rPr/>
              <w:t> </w:t>
            </w:r>
          </w:p>
        </w:tc>
        <w:tc>
          <w:tcPr>
            <w:tcW w:w="491" w:type="dxa"/>
            <w:tcBorders/>
            <w:shd w:fill="auto" w:val="clear"/>
            <w:vAlign w:val="center"/>
          </w:tcPr>
          <w:p>
            <w:pPr>
              <w:pStyle w:val="TableContents"/>
              <w:spacing w:before="0" w:after="0"/>
              <w:ind w:left="0" w:right="0" w:firstLine="200"/>
              <w:jc w:val="right"/>
              <w:rPr/>
            </w:pPr>
            <w:r>
              <w:rPr/>
              <w:t> </w:t>
            </w:r>
          </w:p>
        </w:tc>
      </w:tr>
      <w:tr>
        <w:trPr/>
        <w:tc>
          <w:tcPr>
            <w:tcW w:w="4516"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Change in foreign currency translation adjustment</w:t>
            </w:r>
          </w:p>
        </w:tc>
        <w:tc>
          <w:tcPr>
            <w:tcW w:w="146" w:type="dxa"/>
            <w:tcBorders/>
            <w:shd w:fill="auto" w:val="clear"/>
            <w:vAlign w:val="center"/>
          </w:tcPr>
          <w:p>
            <w:pPr>
              <w:pStyle w:val="TableContents"/>
              <w:spacing w:before="0" w:after="0"/>
              <w:ind w:left="0" w:right="0" w:hanging="0"/>
              <w:jc w:val="left"/>
              <w:rPr/>
            </w:pPr>
            <w:r>
              <w:rPr/>
              <w:t> </w:t>
            </w:r>
          </w:p>
        </w:tc>
        <w:tc>
          <w:tcPr>
            <w:tcW w:w="210" w:type="dxa"/>
            <w:tcBorders/>
            <w:shd w:fill="auto" w:val="clear"/>
            <w:vAlign w:val="center"/>
          </w:tcPr>
          <w:p>
            <w:pPr>
              <w:pStyle w:val="TableContents"/>
              <w:spacing w:before="0" w:after="0"/>
              <w:ind w:left="0" w:right="0" w:hanging="0"/>
              <w:jc w:val="left"/>
              <w:rPr/>
            </w:pPr>
            <w:r>
              <w:rPr/>
              <w:t> </w:t>
            </w:r>
          </w:p>
        </w:tc>
        <w:tc>
          <w:tcPr>
            <w:tcW w:w="64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0" w:type="dxa"/>
            <w:tcBorders/>
            <w:shd w:fill="auto" w:val="clear"/>
            <w:vAlign w:val="center"/>
          </w:tcPr>
          <w:p>
            <w:pPr>
              <w:pStyle w:val="TableContents"/>
              <w:spacing w:before="0" w:after="0"/>
              <w:ind w:left="0" w:right="0" w:hanging="0"/>
              <w:jc w:val="left"/>
              <w:rPr/>
            </w:pPr>
            <w:r>
              <w:rPr/>
              <w:t> </w:t>
            </w:r>
          </w:p>
        </w:tc>
        <w:tc>
          <w:tcPr>
            <w:tcW w:w="64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(892</w:t>
            </w:r>
          </w:p>
        </w:tc>
        <w:tc>
          <w:tcPr>
            <w:tcW w:w="491" w:type="dxa"/>
            <w:tcBorders/>
            <w:shd w:fill="auto" w:val="clear"/>
            <w:vAlign w:val="center"/>
          </w:tcPr>
          <w:p>
            <w:pPr>
              <w:pStyle w:val="TableContents"/>
              <w:spacing w:before="0" w:after="0"/>
              <w:ind w:left="0" w:right="0" w:firstLine="200"/>
              <w:jc w:val="left"/>
              <w:rPr>
                <w:rFonts w:ascii="Times New Roman;serif" w:hAnsi="Times New Roman;serif"/>
                <w:b w:val="false"/>
                <w:sz w:val="16"/>
              </w:rPr>
            </w:pPr>
            <w:r>
              <w:rPr>
                <w:rFonts w:ascii="Times New Roman;serif" w:hAnsi="Times New Roman;serif"/>
                <w:b w:val="false"/>
                <w:sz w:val="16"/>
              </w:rPr>
              <w:t>)</w:t>
            </w:r>
          </w:p>
        </w:tc>
      </w:tr>
      <w:tr>
        <w:trPr/>
        <w:tc>
          <w:tcPr>
            <w:tcW w:w="4516"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Net unrealized losses on available-for-sale debt securities</w:t>
            </w:r>
          </w:p>
        </w:tc>
        <w:tc>
          <w:tcPr>
            <w:tcW w:w="146" w:type="dxa"/>
            <w:tcBorders/>
            <w:shd w:fill="auto" w:val="clear"/>
            <w:vAlign w:val="center"/>
          </w:tcPr>
          <w:p>
            <w:pPr>
              <w:pStyle w:val="TableContents"/>
              <w:spacing w:before="0" w:after="0"/>
              <w:ind w:left="0" w:right="0" w:hanging="0"/>
              <w:jc w:val="left"/>
              <w:rPr/>
            </w:pPr>
            <w:r>
              <w:rPr/>
              <w:t> </w:t>
            </w:r>
          </w:p>
        </w:tc>
        <w:tc>
          <w:tcPr>
            <w:tcW w:w="21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21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(122</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451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Other comprehensive income (loss), net of tax</w:t>
            </w:r>
          </w:p>
        </w:tc>
        <w:tc>
          <w:tcPr>
            <w:tcW w:w="146" w:type="dxa"/>
            <w:tcBorders/>
            <w:shd w:fill="auto" w:val="clear"/>
            <w:vAlign w:val="center"/>
          </w:tcPr>
          <w:p>
            <w:pPr>
              <w:pStyle w:val="TableContents"/>
              <w:spacing w:before="0" w:after="0"/>
              <w:ind w:left="0" w:right="0" w:hanging="0"/>
              <w:jc w:val="left"/>
              <w:rPr/>
            </w:pPr>
            <w:r>
              <w:rPr/>
              <w:t> </w:t>
            </w:r>
          </w:p>
        </w:tc>
        <w:tc>
          <w:tcPr>
            <w:tcW w:w="21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(1,014</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451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Comprehensive income</w:t>
            </w:r>
          </w:p>
        </w:tc>
        <w:tc>
          <w:tcPr>
            <w:tcW w:w="146" w:type="dxa"/>
            <w:tcBorders/>
            <w:shd w:fill="auto" w:val="clear"/>
            <w:vAlign w:val="center"/>
          </w:tcPr>
          <w:p>
            <w:pPr>
              <w:pStyle w:val="TableContents"/>
              <w:spacing w:before="0" w:after="0"/>
              <w:ind w:left="0" w:right="0" w:hanging="0"/>
              <w:jc w:val="left"/>
              <w:rPr/>
            </w:pPr>
            <w:r>
              <w:rPr/>
              <w:t> </w:t>
            </w:r>
          </w:p>
        </w:tc>
        <w:tc>
          <w:tcPr>
            <w:tcW w:w="210" w:type="dxa"/>
            <w:tcBorders/>
            <w:shd w:fill="auto" w:val="clear"/>
            <w:vAlign w:val="center"/>
          </w:tcPr>
          <w:p>
            <w:pPr>
              <w:pStyle w:val="TableContents"/>
              <w:spacing w:before="0" w:after="0"/>
              <w:ind w:left="0" w:right="0" w:hanging="0"/>
              <w:jc w:val="left"/>
              <w:rPr/>
            </w:pPr>
            <w:r>
              <w:rPr/>
              <w:t> </w:t>
            </w:r>
          </w:p>
        </w:tc>
        <w:tc>
          <w:tcPr>
            <w:tcW w:w="64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29,025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0" w:type="dxa"/>
            <w:tcBorders/>
            <w:shd w:fill="auto" w:val="clear"/>
            <w:vAlign w:val="center"/>
          </w:tcPr>
          <w:p>
            <w:pPr>
              <w:pStyle w:val="TableContents"/>
              <w:spacing w:before="0" w:after="0"/>
              <w:ind w:left="0" w:right="0" w:hanging="0"/>
              <w:jc w:val="left"/>
              <w:rPr/>
            </w:pPr>
            <w:r>
              <w:rPr/>
              <w:t> </w:t>
            </w:r>
          </w:p>
        </w:tc>
        <w:tc>
          <w:tcPr>
            <w:tcW w:w="64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22,961</w:t>
            </w:r>
          </w:p>
        </w:tc>
        <w:tc>
          <w:tcPr>
            <w:tcW w:w="491" w:type="dxa"/>
            <w:tcBorders/>
            <w:shd w:fill="auto" w:val="clear"/>
            <w:vAlign w:val="center"/>
          </w:tcPr>
          <w:p>
            <w:pPr>
              <w:pStyle w:val="TableContents"/>
              <w:spacing w:before="0" w:after="0"/>
              <w:ind w:left="0" w:right="0" w:firstLine="300"/>
              <w:jc w:val="left"/>
              <w:rPr/>
            </w:pPr>
            <w:r>
              <w:rPr/>
              <w:t> </w:t>
            </w:r>
          </w:p>
        </w:tc>
      </w:tr>
      <w:tr>
        <w:trPr/>
        <w:tc>
          <w:tcPr>
            <w:tcW w:w="4516" w:type="dxa"/>
            <w:tcBorders/>
            <w:shd w:fill="auto" w:val="clear"/>
            <w:vAlign w:val="center"/>
          </w:tcPr>
          <w:p>
            <w:pPr>
              <w:pStyle w:val="TableContents"/>
              <w:spacing w:before="0" w:after="0"/>
              <w:ind w:left="300" w:right="0" w:hanging="0"/>
              <w:jc w:val="left"/>
              <w:rPr>
                <w:rFonts w:ascii="Times New Roman;serif" w:hAnsi="Times New Roman;serif"/>
                <w:b w:val="false"/>
                <w:sz w:val="16"/>
              </w:rPr>
            </w:pPr>
            <w:r>
              <w:rPr>
                <w:rFonts w:ascii="Times New Roman;serif" w:hAnsi="Times New Roman;serif"/>
                <w:b w:val="false"/>
                <w:sz w:val="16"/>
              </w:rPr>
              <w:t>Less: Comprehensive loss attributable to noncontrolling interest</w:t>
            </w:r>
          </w:p>
        </w:tc>
        <w:tc>
          <w:tcPr>
            <w:tcW w:w="146" w:type="dxa"/>
            <w:tcBorders/>
            <w:shd w:fill="auto" w:val="clear"/>
            <w:vAlign w:val="center"/>
          </w:tcPr>
          <w:p>
            <w:pPr>
              <w:pStyle w:val="TableContents"/>
              <w:spacing w:before="0" w:after="0"/>
              <w:ind w:left="0" w:right="0" w:hanging="0"/>
              <w:jc w:val="left"/>
              <w:rPr/>
            </w:pPr>
            <w:r>
              <w:rPr/>
              <w:t> </w:t>
            </w:r>
          </w:p>
        </w:tc>
        <w:tc>
          <w:tcPr>
            <w:tcW w:w="21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(968</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451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Comprehensive income attributable to the Company</w:t>
            </w:r>
          </w:p>
        </w:tc>
        <w:tc>
          <w:tcPr>
            <w:tcW w:w="146" w:type="dxa"/>
            <w:tcBorders/>
            <w:shd w:fill="auto" w:val="clear"/>
            <w:vAlign w:val="center"/>
          </w:tcPr>
          <w:p>
            <w:pPr>
              <w:pStyle w:val="TableContents"/>
              <w:spacing w:before="0" w:after="0"/>
              <w:ind w:left="0" w:right="0" w:hanging="0"/>
              <w:jc w:val="left"/>
              <w:rPr/>
            </w:pPr>
            <w:r>
              <w:rPr/>
              <w:t> </w:t>
            </w:r>
          </w:p>
        </w:tc>
        <w:tc>
          <w:tcPr>
            <w:tcW w:w="21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4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29,025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4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23,929</w:t>
            </w:r>
          </w:p>
        </w:tc>
        <w:tc>
          <w:tcPr>
            <w:tcW w:w="4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40" w:after="0"/>
        <w:jc w:val="center"/>
        <w:rPr>
          <w:rFonts w:ascii="Times New Roman;serif" w:hAnsi="Times New Roman;serif"/>
          <w:b w:val="false"/>
          <w:sz w:val="20"/>
        </w:rPr>
      </w:pPr>
      <w:r>
        <w:rPr>
          <w:rFonts w:ascii="Times New Roman;serif" w:hAnsi="Times New Roman;serif"/>
          <w:b w:val="false"/>
          <w:sz w:val="20"/>
        </w:rPr>
        <w:t>The accompanying notes are an integral part of these unaudited condensed consolidated financial statements.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ADEIA INC.</w:t>
      </w:r>
    </w:p>
    <w:p>
      <w:pPr>
        <w:pStyle w:val="TextBody"/>
        <w:spacing w:before="0" w:after="0"/>
        <w:jc w:val="center"/>
        <w:rPr>
          <w:rFonts w:ascii="Times New Roman;serif" w:hAnsi="Times New Roman;serif"/>
          <w:b/>
          <w:sz w:val="20"/>
        </w:rPr>
      </w:pPr>
      <w:bookmarkStart w:id="6" w:name="condensed_consolidated_balance_sheets"/>
      <w:bookmarkEnd w:id="6"/>
      <w:r>
        <w:rPr>
          <w:rFonts w:ascii="Times New Roman;serif" w:hAnsi="Times New Roman;serif"/>
          <w:b/>
          <w:sz w:val="20"/>
        </w:rPr>
        <w:t>CONDENSED CONSOLIDATED BALANCE SHEETS</w:t>
      </w:r>
    </w:p>
    <w:p>
      <w:pPr>
        <w:pStyle w:val="TextBody"/>
        <w:spacing w:before="0" w:after="0"/>
        <w:jc w:val="center"/>
        <w:rPr>
          <w:rFonts w:ascii="Times New Roman;serif" w:hAnsi="Times New Roman;serif"/>
          <w:b/>
          <w:sz w:val="20"/>
        </w:rPr>
      </w:pPr>
      <w:r>
        <w:rPr>
          <w:rFonts w:ascii="Times New Roman;serif" w:hAnsi="Times New Roman;serif"/>
          <w:b/>
          <w:sz w:val="20"/>
        </w:rPr>
        <w:t>(in thousands, except for par value)</w:t>
      </w:r>
    </w:p>
    <w:p>
      <w:pPr>
        <w:pStyle w:val="TextBody"/>
        <w:spacing w:before="0" w:after="0"/>
        <w:jc w:val="center"/>
        <w:rPr>
          <w:rFonts w:ascii="Times New Roman;serif" w:hAnsi="Times New Roman;serif"/>
          <w:b/>
          <w:sz w:val="20"/>
        </w:rPr>
      </w:pPr>
      <w:r>
        <w:rPr>
          <w:rFonts w:ascii="Times New Roman;serif" w:hAnsi="Times New Roman;serif"/>
          <w:b/>
          <w:sz w:val="20"/>
        </w:rPr>
        <w:t>(unaudited)</w:t>
      </w:r>
    </w:p>
    <w:p>
      <w:pPr>
        <w:pStyle w:val="TextBody"/>
        <w:spacing w:before="0" w:after="0"/>
        <w:jc w:val="left"/>
        <w:rPr/>
      </w:pPr>
      <w:r>
        <w:rPr/>
        <w:t> </w:t>
      </w:r>
    </w:p>
    <w:tbl>
      <w:tblPr>
        <w:tblW w:w="10539" w:type="dxa"/>
        <w:jc w:val="left"/>
        <w:tblInd w:w="0" w:type="dxa"/>
        <w:tblCellMar>
          <w:top w:w="28" w:type="dxa"/>
          <w:left w:w="28" w:type="dxa"/>
          <w:bottom w:w="28" w:type="dxa"/>
          <w:right w:w="28" w:type="dxa"/>
        </w:tblCellMar>
      </w:tblPr>
      <w:tblGrid>
        <w:gridCol w:w="6963"/>
        <w:gridCol w:w="146"/>
        <w:gridCol w:w="211"/>
        <w:gridCol w:w="931"/>
        <w:gridCol w:w="166"/>
        <w:gridCol w:w="146"/>
        <w:gridCol w:w="218"/>
        <w:gridCol w:w="965"/>
        <w:gridCol w:w="793"/>
      </w:tblGrid>
      <w:tr>
        <w:trPr/>
        <w:tc>
          <w:tcPr>
            <w:tcW w:w="696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965" w:type="dxa"/>
            <w:tcBorders/>
            <w:shd w:fill="auto" w:val="clear"/>
            <w:vAlign w:val="center"/>
          </w:tcPr>
          <w:p>
            <w:pPr>
              <w:pStyle w:val="TableContents"/>
              <w:spacing w:before="0" w:after="283"/>
              <w:rPr>
                <w:sz w:val="4"/>
                <w:szCs w:val="4"/>
              </w:rPr>
            </w:pPr>
            <w:r>
              <w:rPr>
                <w:sz w:val="4"/>
                <w:szCs w:val="4"/>
              </w:rPr>
            </w:r>
          </w:p>
        </w:tc>
        <w:tc>
          <w:tcPr>
            <w:tcW w:w="793" w:type="dxa"/>
            <w:tcBorders/>
            <w:shd w:fill="auto" w:val="clear"/>
            <w:vAlign w:val="center"/>
          </w:tcPr>
          <w:p>
            <w:pPr>
              <w:pStyle w:val="TableContents"/>
              <w:spacing w:before="0" w:after="283"/>
              <w:rPr>
                <w:sz w:val="4"/>
                <w:szCs w:val="4"/>
              </w:rPr>
            </w:pPr>
            <w:r>
              <w:rPr>
                <w:sz w:val="4"/>
                <w:szCs w:val="4"/>
              </w:rPr>
            </w:r>
          </w:p>
        </w:tc>
      </w:tr>
      <w:tr>
        <w:trPr/>
        <w:tc>
          <w:tcPr>
            <w:tcW w:w="6963"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March 31,</w:t>
              <w:b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8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December 31,</w:t>
              <w:br/>
              <w:t>2022</w:t>
            </w:r>
          </w:p>
        </w:tc>
        <w:tc>
          <w:tcPr>
            <w:tcW w:w="7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963"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ASSETS</w:t>
            </w:r>
          </w:p>
        </w:tc>
        <w:tc>
          <w:tcPr>
            <w:tcW w:w="146" w:type="dxa"/>
            <w:tcBorders/>
            <w:shd w:fill="auto" w:val="clear"/>
            <w:vAlign w:val="center"/>
          </w:tcPr>
          <w:p>
            <w:pPr>
              <w:pStyle w:val="TableContents"/>
              <w:spacing w:before="0" w:after="0"/>
              <w:ind w:left="0" w:right="0" w:hanging="0"/>
              <w:jc w:val="left"/>
              <w:rPr/>
            </w:pPr>
            <w:r>
              <w:rPr/>
              <w:t> </w:t>
            </w:r>
          </w:p>
        </w:tc>
        <w:tc>
          <w:tcPr>
            <w:tcW w:w="114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83" w:type="dxa"/>
            <w:gridSpan w:val="2"/>
            <w:tcBorders/>
            <w:shd w:fill="auto" w:val="clear"/>
            <w:vAlign w:val="center"/>
          </w:tcPr>
          <w:p>
            <w:pPr>
              <w:pStyle w:val="TableContents"/>
              <w:spacing w:before="0" w:after="0"/>
              <w:ind w:left="0" w:right="0" w:hanging="0"/>
              <w:jc w:val="right"/>
              <w:rPr/>
            </w:pPr>
            <w:r>
              <w:rPr/>
              <w:t> </w:t>
            </w:r>
          </w:p>
        </w:tc>
        <w:tc>
          <w:tcPr>
            <w:tcW w:w="793" w:type="dxa"/>
            <w:tcBorders/>
            <w:shd w:fill="auto" w:val="clear"/>
            <w:vAlign w:val="center"/>
          </w:tcPr>
          <w:p>
            <w:pPr>
              <w:pStyle w:val="TableContents"/>
              <w:spacing w:before="0" w:after="0"/>
              <w:ind w:left="0" w:right="0" w:hanging="0"/>
              <w:jc w:val="right"/>
              <w:rPr/>
            </w:pPr>
            <w:r>
              <w:rPr/>
              <w:t> </w:t>
            </w:r>
          </w:p>
        </w:tc>
      </w:tr>
      <w:tr>
        <w:trPr/>
        <w:tc>
          <w:tcPr>
            <w:tcW w:w="696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assets:</w:t>
            </w:r>
          </w:p>
        </w:tc>
        <w:tc>
          <w:tcPr>
            <w:tcW w:w="146" w:type="dxa"/>
            <w:tcBorders/>
            <w:shd w:fill="auto" w:val="clear"/>
            <w:vAlign w:val="center"/>
          </w:tcPr>
          <w:p>
            <w:pPr>
              <w:pStyle w:val="TableContents"/>
              <w:spacing w:before="0" w:after="0"/>
              <w:ind w:left="0" w:right="0" w:hanging="0"/>
              <w:jc w:val="left"/>
              <w:rPr/>
            </w:pPr>
            <w:r>
              <w:rPr/>
              <w:t> </w:t>
            </w:r>
          </w:p>
        </w:tc>
        <w:tc>
          <w:tcPr>
            <w:tcW w:w="114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83" w:type="dxa"/>
            <w:gridSpan w:val="2"/>
            <w:tcBorders/>
            <w:shd w:fill="auto" w:val="clear"/>
            <w:vAlign w:val="center"/>
          </w:tcPr>
          <w:p>
            <w:pPr>
              <w:pStyle w:val="TableContents"/>
              <w:spacing w:before="0" w:after="0"/>
              <w:ind w:left="0" w:right="0" w:hanging="0"/>
              <w:jc w:val="right"/>
              <w:rPr/>
            </w:pPr>
            <w:r>
              <w:rPr/>
              <w:t> </w:t>
            </w:r>
          </w:p>
        </w:tc>
        <w:tc>
          <w:tcPr>
            <w:tcW w:w="793" w:type="dxa"/>
            <w:tcBorders/>
            <w:shd w:fill="auto" w:val="clear"/>
            <w:vAlign w:val="center"/>
          </w:tcPr>
          <w:p>
            <w:pPr>
              <w:pStyle w:val="TableContents"/>
              <w:spacing w:before="0" w:after="0"/>
              <w:ind w:left="0" w:right="0" w:firstLine="200"/>
              <w:jc w:val="right"/>
              <w:rPr/>
            </w:pPr>
            <w:r>
              <w:rPr/>
              <w:t> </w:t>
            </w:r>
          </w:p>
        </w:tc>
      </w:tr>
      <w:tr>
        <w:trPr/>
        <w:tc>
          <w:tcPr>
            <w:tcW w:w="6963"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82,429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114,555</w:t>
            </w:r>
          </w:p>
        </w:tc>
        <w:tc>
          <w:tcPr>
            <w:tcW w:w="793" w:type="dxa"/>
            <w:tcBorders/>
            <w:shd w:fill="auto" w:val="clear"/>
            <w:vAlign w:val="center"/>
          </w:tcPr>
          <w:p>
            <w:pPr>
              <w:pStyle w:val="TableContents"/>
              <w:spacing w:before="0" w:after="0"/>
              <w:ind w:left="0" w:right="0" w:firstLine="200"/>
              <w:jc w:val="left"/>
              <w:rPr/>
            </w:pPr>
            <w:r>
              <w:rPr/>
              <w:t> </w:t>
            </w:r>
          </w:p>
        </w:tc>
      </w:tr>
      <w:tr>
        <w:trPr/>
        <w:tc>
          <w:tcPr>
            <w:tcW w:w="6963"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20"/>
              </w:rPr>
              <w:t>Accounts receivable, net of allowance for credit losses of $1,463</w:t>
            </w:r>
            <w:r>
              <w:rPr>
                <w:rFonts w:ascii="Times New Roman" w:hAnsi="Times New Roman"/>
                <w:sz w:val="20"/>
              </w:rPr>
              <w:t> </w:t>
            </w:r>
            <w:r>
              <w:rPr>
                <w:rFonts w:ascii="Times New Roman;serif" w:hAnsi="Times New Roman;serif"/>
                <w:b w:val="false"/>
                <w:sz w:val="20"/>
              </w:rPr>
              <w:t>and $713, respectively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36,933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96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58,480</w:t>
            </w:r>
          </w:p>
        </w:tc>
        <w:tc>
          <w:tcPr>
            <w:tcW w:w="793" w:type="dxa"/>
            <w:tcBorders/>
            <w:shd w:fill="auto" w:val="clear"/>
            <w:vAlign w:val="center"/>
          </w:tcPr>
          <w:p>
            <w:pPr>
              <w:pStyle w:val="TableContents"/>
              <w:spacing w:before="0" w:after="0"/>
              <w:ind w:left="0" w:right="0" w:firstLine="200"/>
              <w:jc w:val="left"/>
              <w:rPr/>
            </w:pPr>
            <w:r>
              <w:rPr/>
              <w:t> </w:t>
            </w:r>
          </w:p>
        </w:tc>
      </w:tr>
      <w:tr>
        <w:trPr/>
        <w:tc>
          <w:tcPr>
            <w:tcW w:w="6963"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Unbilled contracts receivable,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77,948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96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73,754</w:t>
            </w:r>
          </w:p>
        </w:tc>
        <w:tc>
          <w:tcPr>
            <w:tcW w:w="793" w:type="dxa"/>
            <w:tcBorders/>
            <w:shd w:fill="auto" w:val="clear"/>
            <w:vAlign w:val="center"/>
          </w:tcPr>
          <w:p>
            <w:pPr>
              <w:pStyle w:val="TableContents"/>
              <w:spacing w:before="0" w:after="0"/>
              <w:ind w:left="0" w:right="0" w:firstLine="200"/>
              <w:jc w:val="left"/>
              <w:rPr/>
            </w:pPr>
            <w:r>
              <w:rPr/>
              <w:t> </w:t>
            </w:r>
          </w:p>
        </w:tc>
      </w:tr>
      <w:tr>
        <w:trPr/>
        <w:tc>
          <w:tcPr>
            <w:tcW w:w="6963"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current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11,493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11,924</w:t>
            </w:r>
          </w:p>
        </w:tc>
        <w:tc>
          <w:tcPr>
            <w:tcW w:w="7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6963"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current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208,803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258,713</w:t>
            </w:r>
          </w:p>
        </w:tc>
        <w:tc>
          <w:tcPr>
            <w:tcW w:w="7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96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Long-term unbilled contracts receivable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64,124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96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40,705</w:t>
            </w:r>
          </w:p>
        </w:tc>
        <w:tc>
          <w:tcPr>
            <w:tcW w:w="793" w:type="dxa"/>
            <w:tcBorders/>
            <w:shd w:fill="auto" w:val="clear"/>
            <w:vAlign w:val="center"/>
          </w:tcPr>
          <w:p>
            <w:pPr>
              <w:pStyle w:val="TableContents"/>
              <w:spacing w:before="0" w:after="0"/>
              <w:ind w:left="0" w:right="0" w:hanging="0"/>
              <w:jc w:val="left"/>
              <w:rPr/>
            </w:pPr>
            <w:r>
              <w:rPr/>
              <w:t> </w:t>
            </w:r>
          </w:p>
        </w:tc>
      </w:tr>
      <w:tr>
        <w:trPr/>
        <w:tc>
          <w:tcPr>
            <w:tcW w:w="696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Property and equipment,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4,556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96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4,550</w:t>
            </w:r>
          </w:p>
        </w:tc>
        <w:tc>
          <w:tcPr>
            <w:tcW w:w="793" w:type="dxa"/>
            <w:tcBorders/>
            <w:shd w:fill="auto" w:val="clear"/>
            <w:vAlign w:val="center"/>
          </w:tcPr>
          <w:p>
            <w:pPr>
              <w:pStyle w:val="TableContents"/>
              <w:spacing w:before="0" w:after="0"/>
              <w:ind w:left="0" w:right="0" w:hanging="0"/>
              <w:jc w:val="left"/>
              <w:rPr/>
            </w:pPr>
            <w:r>
              <w:rPr/>
              <w:t> </w:t>
            </w:r>
          </w:p>
        </w:tc>
      </w:tr>
      <w:tr>
        <w:trPr/>
        <w:tc>
          <w:tcPr>
            <w:tcW w:w="696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right-of-use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5,524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96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5,993</w:t>
            </w:r>
          </w:p>
        </w:tc>
        <w:tc>
          <w:tcPr>
            <w:tcW w:w="793" w:type="dxa"/>
            <w:tcBorders/>
            <w:shd w:fill="auto" w:val="clear"/>
            <w:vAlign w:val="center"/>
          </w:tcPr>
          <w:p>
            <w:pPr>
              <w:pStyle w:val="TableContents"/>
              <w:spacing w:before="0" w:after="0"/>
              <w:ind w:left="0" w:right="0" w:hanging="0"/>
              <w:jc w:val="left"/>
              <w:rPr/>
            </w:pPr>
            <w:r>
              <w:rPr/>
              <w:t> </w:t>
            </w:r>
          </w:p>
        </w:tc>
      </w:tr>
      <w:tr>
        <w:trPr/>
        <w:tc>
          <w:tcPr>
            <w:tcW w:w="696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Intangible assets,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408,787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96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432,476</w:t>
            </w:r>
          </w:p>
        </w:tc>
        <w:tc>
          <w:tcPr>
            <w:tcW w:w="793" w:type="dxa"/>
            <w:tcBorders/>
            <w:shd w:fill="auto" w:val="clear"/>
            <w:vAlign w:val="center"/>
          </w:tcPr>
          <w:p>
            <w:pPr>
              <w:pStyle w:val="TableContents"/>
              <w:spacing w:before="0" w:after="0"/>
              <w:ind w:left="0" w:right="0" w:hanging="0"/>
              <w:jc w:val="left"/>
              <w:rPr/>
            </w:pPr>
            <w:r>
              <w:rPr/>
              <w:t> </w:t>
            </w:r>
          </w:p>
        </w:tc>
      </w:tr>
      <w:tr>
        <w:trPr/>
        <w:tc>
          <w:tcPr>
            <w:tcW w:w="696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Goodwill</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313,660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96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313,660</w:t>
            </w:r>
          </w:p>
        </w:tc>
        <w:tc>
          <w:tcPr>
            <w:tcW w:w="793" w:type="dxa"/>
            <w:tcBorders/>
            <w:shd w:fill="auto" w:val="clear"/>
            <w:vAlign w:val="center"/>
          </w:tcPr>
          <w:p>
            <w:pPr>
              <w:pStyle w:val="TableContents"/>
              <w:spacing w:before="0" w:after="0"/>
              <w:ind w:left="0" w:right="0" w:hanging="0"/>
              <w:jc w:val="left"/>
              <w:rPr/>
            </w:pPr>
            <w:r>
              <w:rPr/>
              <w:t> </w:t>
            </w:r>
          </w:p>
        </w:tc>
      </w:tr>
      <w:tr>
        <w:trPr/>
        <w:tc>
          <w:tcPr>
            <w:tcW w:w="696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Long-term income tax receivable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110,513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96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113,679</w:t>
            </w:r>
          </w:p>
        </w:tc>
        <w:tc>
          <w:tcPr>
            <w:tcW w:w="793" w:type="dxa"/>
            <w:tcBorders/>
            <w:shd w:fill="auto" w:val="clear"/>
            <w:vAlign w:val="center"/>
          </w:tcPr>
          <w:p>
            <w:pPr>
              <w:pStyle w:val="TableContents"/>
              <w:spacing w:before="0" w:after="0"/>
              <w:ind w:left="0" w:right="0" w:hanging="0"/>
              <w:jc w:val="left"/>
              <w:rPr/>
            </w:pPr>
            <w:r>
              <w:rPr/>
              <w:t> </w:t>
            </w:r>
          </w:p>
        </w:tc>
      </w:tr>
      <w:tr>
        <w:trPr/>
        <w:tc>
          <w:tcPr>
            <w:tcW w:w="696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long-term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37,851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40,750</w:t>
            </w:r>
          </w:p>
        </w:tc>
        <w:tc>
          <w:tcPr>
            <w:tcW w:w="7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600"/>
              <w:jc w:val="left"/>
              <w:rPr/>
            </w:pPr>
            <w:r>
              <w:rPr/>
              <w:t> </w:t>
            </w:r>
          </w:p>
        </w:tc>
      </w:tr>
      <w:tr>
        <w:trPr/>
        <w:tc>
          <w:tcPr>
            <w:tcW w:w="6963" w:type="dxa"/>
            <w:tcBorders/>
            <w:shd w:fill="auto" w:val="clear"/>
            <w:vAlign w:val="center"/>
          </w:tcPr>
          <w:p>
            <w:pPr>
              <w:pStyle w:val="TableContents"/>
              <w:spacing w:before="0" w:after="0"/>
              <w:ind w:left="600" w:right="0" w:hanging="0"/>
              <w:jc w:val="left"/>
              <w:rPr>
                <w:rFonts w:ascii="Times New Roman;serif" w:hAnsi="Times New Roman;serif"/>
                <w:b w:val="false"/>
                <w:sz w:val="20"/>
              </w:rPr>
            </w:pPr>
            <w:r>
              <w:rPr>
                <w:rFonts w:ascii="Times New Roman;serif" w:hAnsi="Times New Roman;serif"/>
                <w:b w:val="false"/>
                <w:sz w:val="20"/>
              </w:rPr>
              <w:t>Total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1,153,818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1,210,526</w:t>
            </w:r>
          </w:p>
        </w:tc>
        <w:tc>
          <w:tcPr>
            <w:tcW w:w="7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963"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LIABILITIES AND EQUITY</w:t>
            </w:r>
          </w:p>
        </w:tc>
        <w:tc>
          <w:tcPr>
            <w:tcW w:w="146" w:type="dxa"/>
            <w:tcBorders/>
            <w:shd w:fill="auto" w:val="clear"/>
            <w:vAlign w:val="center"/>
          </w:tcPr>
          <w:p>
            <w:pPr>
              <w:pStyle w:val="TableContents"/>
              <w:spacing w:before="0" w:after="0"/>
              <w:ind w:left="0" w:right="0" w:hanging="0"/>
              <w:jc w:val="left"/>
              <w:rPr/>
            </w:pPr>
            <w:r>
              <w:rPr/>
              <w:t> </w:t>
            </w:r>
          </w:p>
        </w:tc>
        <w:tc>
          <w:tcPr>
            <w:tcW w:w="114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83" w:type="dxa"/>
            <w:gridSpan w:val="2"/>
            <w:tcBorders/>
            <w:shd w:fill="auto" w:val="clear"/>
            <w:vAlign w:val="center"/>
          </w:tcPr>
          <w:p>
            <w:pPr>
              <w:pStyle w:val="TableContents"/>
              <w:spacing w:before="0" w:after="0"/>
              <w:ind w:left="0" w:right="0" w:hanging="0"/>
              <w:jc w:val="right"/>
              <w:rPr/>
            </w:pPr>
            <w:r>
              <w:rPr/>
              <w:t> </w:t>
            </w:r>
          </w:p>
        </w:tc>
        <w:tc>
          <w:tcPr>
            <w:tcW w:w="793" w:type="dxa"/>
            <w:tcBorders/>
            <w:shd w:fill="auto" w:val="clear"/>
            <w:vAlign w:val="center"/>
          </w:tcPr>
          <w:p>
            <w:pPr>
              <w:pStyle w:val="TableContents"/>
              <w:spacing w:before="0" w:after="0"/>
              <w:ind w:left="0" w:right="0" w:hanging="0"/>
              <w:jc w:val="right"/>
              <w:rPr/>
            </w:pPr>
            <w:r>
              <w:rPr/>
              <w:t> </w:t>
            </w:r>
          </w:p>
        </w:tc>
      </w:tr>
      <w:tr>
        <w:trPr/>
        <w:tc>
          <w:tcPr>
            <w:tcW w:w="696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liabilities:</w:t>
            </w:r>
          </w:p>
        </w:tc>
        <w:tc>
          <w:tcPr>
            <w:tcW w:w="146" w:type="dxa"/>
            <w:tcBorders/>
            <w:shd w:fill="auto" w:val="clear"/>
            <w:vAlign w:val="center"/>
          </w:tcPr>
          <w:p>
            <w:pPr>
              <w:pStyle w:val="TableContents"/>
              <w:spacing w:before="0" w:after="0"/>
              <w:ind w:left="0" w:right="0" w:hanging="0"/>
              <w:jc w:val="left"/>
              <w:rPr/>
            </w:pPr>
            <w:r>
              <w:rPr/>
              <w:t> </w:t>
            </w:r>
          </w:p>
        </w:tc>
        <w:tc>
          <w:tcPr>
            <w:tcW w:w="114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83" w:type="dxa"/>
            <w:gridSpan w:val="2"/>
            <w:tcBorders/>
            <w:shd w:fill="auto" w:val="clear"/>
            <w:vAlign w:val="center"/>
          </w:tcPr>
          <w:p>
            <w:pPr>
              <w:pStyle w:val="TableContents"/>
              <w:spacing w:before="0" w:after="0"/>
              <w:ind w:left="0" w:right="0" w:hanging="0"/>
              <w:jc w:val="right"/>
              <w:rPr/>
            </w:pPr>
            <w:r>
              <w:rPr/>
              <w:t> </w:t>
            </w:r>
          </w:p>
        </w:tc>
        <w:tc>
          <w:tcPr>
            <w:tcW w:w="793" w:type="dxa"/>
            <w:tcBorders/>
            <w:shd w:fill="auto" w:val="clear"/>
            <w:vAlign w:val="center"/>
          </w:tcPr>
          <w:p>
            <w:pPr>
              <w:pStyle w:val="TableContents"/>
              <w:spacing w:before="0" w:after="0"/>
              <w:ind w:left="0" w:right="0" w:firstLine="200"/>
              <w:jc w:val="right"/>
              <w:rPr/>
            </w:pPr>
            <w:r>
              <w:rPr/>
              <w:t> </w:t>
            </w:r>
          </w:p>
        </w:tc>
      </w:tr>
      <w:tr>
        <w:trPr/>
        <w:tc>
          <w:tcPr>
            <w:tcW w:w="6963"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4,079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8,546</w:t>
            </w:r>
          </w:p>
        </w:tc>
        <w:tc>
          <w:tcPr>
            <w:tcW w:w="793" w:type="dxa"/>
            <w:tcBorders/>
            <w:shd w:fill="auto" w:val="clear"/>
            <w:vAlign w:val="center"/>
          </w:tcPr>
          <w:p>
            <w:pPr>
              <w:pStyle w:val="TableContents"/>
              <w:spacing w:before="0" w:after="0"/>
              <w:ind w:left="0" w:right="0" w:firstLine="200"/>
              <w:jc w:val="left"/>
              <w:rPr/>
            </w:pPr>
            <w:r>
              <w:rPr/>
              <w:t> </w:t>
            </w:r>
          </w:p>
        </w:tc>
      </w:tr>
      <w:tr>
        <w:trPr/>
        <w:tc>
          <w:tcPr>
            <w:tcW w:w="6963"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Accrued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29,427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96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31,277</w:t>
            </w:r>
          </w:p>
        </w:tc>
        <w:tc>
          <w:tcPr>
            <w:tcW w:w="793" w:type="dxa"/>
            <w:tcBorders/>
            <w:shd w:fill="auto" w:val="clear"/>
            <w:vAlign w:val="center"/>
          </w:tcPr>
          <w:p>
            <w:pPr>
              <w:pStyle w:val="TableContents"/>
              <w:spacing w:before="0" w:after="0"/>
              <w:ind w:left="0" w:right="0" w:firstLine="200"/>
              <w:jc w:val="left"/>
              <w:rPr/>
            </w:pPr>
            <w:r>
              <w:rPr/>
              <w:t> </w:t>
            </w:r>
          </w:p>
        </w:tc>
      </w:tr>
      <w:tr>
        <w:trPr/>
        <w:tc>
          <w:tcPr>
            <w:tcW w:w="6963"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Current portion of long-term debt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36,344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96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109,813</w:t>
            </w:r>
          </w:p>
        </w:tc>
        <w:tc>
          <w:tcPr>
            <w:tcW w:w="793" w:type="dxa"/>
            <w:tcBorders/>
            <w:shd w:fill="auto" w:val="clear"/>
            <w:vAlign w:val="center"/>
          </w:tcPr>
          <w:p>
            <w:pPr>
              <w:pStyle w:val="TableContents"/>
              <w:spacing w:before="0" w:after="0"/>
              <w:ind w:left="0" w:right="0" w:firstLine="200"/>
              <w:jc w:val="left"/>
              <w:rPr/>
            </w:pPr>
            <w:r>
              <w:rPr/>
              <w:t> </w:t>
            </w:r>
          </w:p>
        </w:tc>
      </w:tr>
      <w:tr>
        <w:trPr/>
        <w:tc>
          <w:tcPr>
            <w:tcW w:w="6963"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Deferred revenue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28,708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17,076</w:t>
            </w:r>
          </w:p>
        </w:tc>
        <w:tc>
          <w:tcPr>
            <w:tcW w:w="7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6963"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current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98,558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96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166,712</w:t>
            </w:r>
          </w:p>
        </w:tc>
        <w:tc>
          <w:tcPr>
            <w:tcW w:w="793" w:type="dxa"/>
            <w:tcBorders/>
            <w:shd w:fill="auto" w:val="clear"/>
            <w:vAlign w:val="center"/>
          </w:tcPr>
          <w:p>
            <w:pPr>
              <w:pStyle w:val="TableContents"/>
              <w:spacing w:before="0" w:after="0"/>
              <w:ind w:left="0" w:right="0" w:hanging="0"/>
              <w:jc w:val="left"/>
              <w:rPr/>
            </w:pPr>
            <w:r>
              <w:rPr/>
              <w:t> </w:t>
            </w:r>
          </w:p>
        </w:tc>
      </w:tr>
      <w:tr>
        <w:trPr/>
        <w:tc>
          <w:tcPr>
            <w:tcW w:w="696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revenue, less current portion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9,884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96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10,683</w:t>
            </w:r>
          </w:p>
        </w:tc>
        <w:tc>
          <w:tcPr>
            <w:tcW w:w="793" w:type="dxa"/>
            <w:tcBorders/>
            <w:shd w:fill="auto" w:val="clear"/>
            <w:vAlign w:val="center"/>
          </w:tcPr>
          <w:p>
            <w:pPr>
              <w:pStyle w:val="TableContents"/>
              <w:spacing w:before="0" w:after="0"/>
              <w:ind w:left="0" w:right="0" w:hanging="0"/>
              <w:jc w:val="left"/>
              <w:rPr/>
            </w:pPr>
            <w:r>
              <w:rPr/>
              <w:t> </w:t>
            </w:r>
          </w:p>
        </w:tc>
      </w:tr>
      <w:tr>
        <w:trPr/>
        <w:tc>
          <w:tcPr>
            <w:tcW w:w="696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Long-term debt,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610,594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96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619,580</w:t>
            </w:r>
          </w:p>
        </w:tc>
        <w:tc>
          <w:tcPr>
            <w:tcW w:w="793" w:type="dxa"/>
            <w:tcBorders/>
            <w:shd w:fill="auto" w:val="clear"/>
            <w:vAlign w:val="center"/>
          </w:tcPr>
          <w:p>
            <w:pPr>
              <w:pStyle w:val="TableContents"/>
              <w:spacing w:before="0" w:after="0"/>
              <w:ind w:left="0" w:right="0" w:hanging="0"/>
              <w:jc w:val="left"/>
              <w:rPr/>
            </w:pPr>
            <w:r>
              <w:rPr/>
              <w:t> </w:t>
            </w:r>
          </w:p>
        </w:tc>
      </w:tr>
      <w:tr>
        <w:trPr/>
        <w:tc>
          <w:tcPr>
            <w:tcW w:w="696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Noncurrent operating lease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4,229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96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4,794</w:t>
            </w:r>
          </w:p>
        </w:tc>
        <w:tc>
          <w:tcPr>
            <w:tcW w:w="793" w:type="dxa"/>
            <w:tcBorders/>
            <w:shd w:fill="auto" w:val="clear"/>
            <w:vAlign w:val="center"/>
          </w:tcPr>
          <w:p>
            <w:pPr>
              <w:pStyle w:val="TableContents"/>
              <w:spacing w:before="0" w:after="0"/>
              <w:ind w:left="0" w:right="0" w:hanging="0"/>
              <w:jc w:val="left"/>
              <w:rPr/>
            </w:pPr>
            <w:r>
              <w:rPr/>
              <w:t> </w:t>
            </w:r>
          </w:p>
        </w:tc>
      </w:tr>
      <w:tr>
        <w:trPr/>
        <w:tc>
          <w:tcPr>
            <w:tcW w:w="696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Long-term income tax payable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87,917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96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87,302</w:t>
            </w:r>
          </w:p>
        </w:tc>
        <w:tc>
          <w:tcPr>
            <w:tcW w:w="793" w:type="dxa"/>
            <w:tcBorders/>
            <w:shd w:fill="auto" w:val="clear"/>
            <w:vAlign w:val="center"/>
          </w:tcPr>
          <w:p>
            <w:pPr>
              <w:pStyle w:val="TableContents"/>
              <w:spacing w:before="0" w:after="0"/>
              <w:ind w:left="0" w:right="0" w:hanging="0"/>
              <w:jc w:val="left"/>
              <w:rPr/>
            </w:pPr>
            <w:r>
              <w:rPr/>
              <w:t> </w:t>
            </w:r>
          </w:p>
        </w:tc>
      </w:tr>
      <w:tr>
        <w:trPr/>
        <w:tc>
          <w:tcPr>
            <w:tcW w:w="696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long-term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20,043</w:t>
            </w:r>
          </w:p>
        </w:tc>
        <w:tc>
          <w:tcPr>
            <w:tcW w:w="7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6963"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831,204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909,114</w:t>
            </w:r>
          </w:p>
        </w:tc>
        <w:tc>
          <w:tcPr>
            <w:tcW w:w="7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96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Commitments and contingencies (Note 15)</w:t>
            </w:r>
          </w:p>
        </w:tc>
        <w:tc>
          <w:tcPr>
            <w:tcW w:w="146" w:type="dxa"/>
            <w:tcBorders/>
            <w:shd w:fill="auto" w:val="clear"/>
            <w:vAlign w:val="center"/>
          </w:tcPr>
          <w:p>
            <w:pPr>
              <w:pStyle w:val="TableContents"/>
              <w:spacing w:before="0" w:after="0"/>
              <w:ind w:left="0" w:right="0" w:hanging="0"/>
              <w:jc w:val="left"/>
              <w:rPr/>
            </w:pPr>
            <w:r>
              <w:rPr/>
              <w:t> </w:t>
            </w:r>
          </w:p>
        </w:tc>
        <w:tc>
          <w:tcPr>
            <w:tcW w:w="114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83" w:type="dxa"/>
            <w:gridSpan w:val="2"/>
            <w:tcBorders/>
            <w:shd w:fill="auto" w:val="clear"/>
            <w:vAlign w:val="center"/>
          </w:tcPr>
          <w:p>
            <w:pPr>
              <w:pStyle w:val="TableContents"/>
              <w:spacing w:before="0" w:after="0"/>
              <w:ind w:left="0" w:right="0" w:hanging="0"/>
              <w:jc w:val="right"/>
              <w:rPr/>
            </w:pPr>
            <w:r>
              <w:rPr/>
              <w:t> </w:t>
            </w:r>
          </w:p>
        </w:tc>
        <w:tc>
          <w:tcPr>
            <w:tcW w:w="793" w:type="dxa"/>
            <w:tcBorders/>
            <w:shd w:fill="auto" w:val="clear"/>
            <w:vAlign w:val="center"/>
          </w:tcPr>
          <w:p>
            <w:pPr>
              <w:pStyle w:val="TableContents"/>
              <w:spacing w:before="0" w:after="0"/>
              <w:ind w:left="0" w:right="0" w:hanging="0"/>
              <w:jc w:val="right"/>
              <w:rPr/>
            </w:pPr>
            <w:r>
              <w:rPr/>
              <w:t> </w:t>
            </w:r>
          </w:p>
        </w:tc>
      </w:tr>
      <w:tr>
        <w:trPr/>
        <w:tc>
          <w:tcPr>
            <w:tcW w:w="696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Stockholders’ equity:</w:t>
            </w:r>
          </w:p>
        </w:tc>
        <w:tc>
          <w:tcPr>
            <w:tcW w:w="146" w:type="dxa"/>
            <w:tcBorders/>
            <w:shd w:fill="auto" w:val="clear"/>
            <w:vAlign w:val="center"/>
          </w:tcPr>
          <w:p>
            <w:pPr>
              <w:pStyle w:val="TableContents"/>
              <w:spacing w:before="0" w:after="0"/>
              <w:ind w:left="0" w:right="0" w:hanging="0"/>
              <w:jc w:val="left"/>
              <w:rPr/>
            </w:pPr>
            <w:r>
              <w:rPr/>
              <w:t> </w:t>
            </w:r>
          </w:p>
        </w:tc>
        <w:tc>
          <w:tcPr>
            <w:tcW w:w="114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83" w:type="dxa"/>
            <w:gridSpan w:val="2"/>
            <w:tcBorders/>
            <w:shd w:fill="auto" w:val="clear"/>
            <w:vAlign w:val="center"/>
          </w:tcPr>
          <w:p>
            <w:pPr>
              <w:pStyle w:val="TableContents"/>
              <w:spacing w:before="0" w:after="0"/>
              <w:ind w:left="0" w:right="0" w:hanging="0"/>
              <w:jc w:val="right"/>
              <w:rPr/>
            </w:pPr>
            <w:r>
              <w:rPr/>
              <w:t> </w:t>
            </w:r>
          </w:p>
        </w:tc>
        <w:tc>
          <w:tcPr>
            <w:tcW w:w="793" w:type="dxa"/>
            <w:tcBorders/>
            <w:shd w:fill="auto" w:val="clear"/>
            <w:vAlign w:val="center"/>
          </w:tcPr>
          <w:p>
            <w:pPr>
              <w:pStyle w:val="TableContents"/>
              <w:spacing w:before="0" w:after="0"/>
              <w:ind w:left="0" w:right="0" w:firstLine="200"/>
              <w:jc w:val="right"/>
              <w:rPr/>
            </w:pPr>
            <w:r>
              <w:rPr/>
              <w:t> </w:t>
            </w:r>
          </w:p>
        </w:tc>
      </w:tr>
      <w:tr>
        <w:trPr/>
        <w:tc>
          <w:tcPr>
            <w:tcW w:w="6963"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20"/>
              </w:rPr>
              <w:t>Preferred stock: $0.001</w:t>
            </w:r>
            <w:r>
              <w:rPr>
                <w:rFonts w:ascii="Times New Roman" w:hAnsi="Times New Roman"/>
                <w:sz w:val="20"/>
              </w:rPr>
              <w:t> </w:t>
            </w:r>
            <w:r>
              <w:rPr>
                <w:rFonts w:ascii="Times New Roman;serif" w:hAnsi="Times New Roman;serif"/>
                <w:b w:val="false"/>
                <w:sz w:val="20"/>
              </w:rPr>
              <w:t>par value; (2023: authorized 15,000</w:t>
            </w:r>
            <w:r>
              <w:rPr>
                <w:rFonts w:ascii="Times New Roman" w:hAnsi="Times New Roman"/>
                <w:sz w:val="20"/>
              </w:rPr>
              <w:t> </w:t>
            </w:r>
            <w:r>
              <w:rPr>
                <w:rFonts w:ascii="Times New Roman;serif" w:hAnsi="Times New Roman;serif"/>
                <w:b w:val="false"/>
                <w:sz w:val="20"/>
              </w:rPr>
              <w:t>shares; 2022: authorized 15,000</w:t>
            </w:r>
            <w:r>
              <w:rPr>
                <w:rFonts w:ascii="Times New Roman" w:hAnsi="Times New Roman"/>
                <w:sz w:val="20"/>
              </w:rPr>
              <w:t> </w:t>
            </w:r>
            <w:r>
              <w:rPr>
                <w:rFonts w:ascii="Times New Roman;serif" w:hAnsi="Times New Roman;serif"/>
                <w:b w:val="false"/>
                <w:sz w:val="20"/>
              </w:rPr>
              <w:t>shares and no</w:t>
            </w:r>
            <w:r>
              <w:rPr>
                <w:rFonts w:ascii="Times New Roman" w:hAnsi="Times New Roman"/>
                <w:sz w:val="20"/>
              </w:rPr>
              <w:t> </w:t>
            </w:r>
            <w:r>
              <w:rPr>
                <w:rFonts w:ascii="Times New Roman;serif" w:hAnsi="Times New Roman;serif"/>
                <w:b w:val="false"/>
                <w:sz w:val="20"/>
              </w:rPr>
              <w:t>shares issued and outstanding)</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83" w:type="dxa"/>
            <w:gridSpan w:val="2"/>
            <w:tcBorders/>
            <w:shd w:fill="auto" w:val="clear"/>
            <w:vAlign w:val="center"/>
          </w:tcPr>
          <w:p>
            <w:pPr>
              <w:pStyle w:val="TableContents"/>
              <w:spacing w:before="0" w:after="0"/>
              <w:ind w:left="0" w:right="0" w:hanging="0"/>
              <w:jc w:val="right"/>
              <w:rPr/>
            </w:pPr>
            <w:r>
              <w:rPr/>
              <w:t>—</w:t>
            </w:r>
          </w:p>
        </w:tc>
        <w:tc>
          <w:tcPr>
            <w:tcW w:w="793" w:type="dxa"/>
            <w:tcBorders/>
            <w:shd w:fill="auto" w:val="clear"/>
            <w:vAlign w:val="center"/>
          </w:tcPr>
          <w:p>
            <w:pPr>
              <w:pStyle w:val="TableContents"/>
              <w:spacing w:before="0" w:after="0"/>
              <w:ind w:left="0" w:right="0" w:firstLine="200"/>
              <w:jc w:val="right"/>
              <w:rPr/>
            </w:pPr>
            <w:r>
              <w:rPr/>
              <w:t> </w:t>
            </w:r>
          </w:p>
        </w:tc>
      </w:tr>
      <w:tr>
        <w:trPr/>
        <w:tc>
          <w:tcPr>
            <w:tcW w:w="6963"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20"/>
              </w:rPr>
              <w:t>Common stock: $0.001</w:t>
            </w:r>
            <w:r>
              <w:rPr>
                <w:rFonts w:ascii="Times New Roman" w:hAnsi="Times New Roman"/>
                <w:sz w:val="20"/>
              </w:rPr>
              <w:t> </w:t>
            </w:r>
            <w:r>
              <w:rPr>
                <w:rFonts w:ascii="Times New Roman;serif" w:hAnsi="Times New Roman;serif"/>
                <w:b w:val="false"/>
                <w:sz w:val="20"/>
              </w:rPr>
              <w:t>par value; (2023: authorized 350,000</w:t>
            </w:r>
            <w:r>
              <w:rPr>
                <w:rFonts w:ascii="Times New Roman" w:hAnsi="Times New Roman"/>
                <w:sz w:val="20"/>
              </w:rPr>
              <w:t> </w:t>
            </w:r>
            <w:r>
              <w:rPr>
                <w:rFonts w:ascii="Times New Roman;serif" w:hAnsi="Times New Roman;serif"/>
                <w:b w:val="false"/>
                <w:sz w:val="20"/>
              </w:rPr>
              <w:t>shares, issued 119,174</w:t>
            </w:r>
            <w:r>
              <w:rPr>
                <w:rFonts w:ascii="Times New Roman" w:hAnsi="Times New Roman"/>
                <w:sz w:val="20"/>
              </w:rPr>
              <w:t> </w:t>
            </w:r>
            <w:r>
              <w:rPr>
                <w:rFonts w:ascii="Times New Roman;serif" w:hAnsi="Times New Roman;serif"/>
                <w:b w:val="false"/>
                <w:sz w:val="20"/>
              </w:rPr>
              <w:t>shares, outstanding 106,285</w:t>
            </w:r>
            <w:r>
              <w:rPr>
                <w:rFonts w:ascii="Times New Roman" w:hAnsi="Times New Roman"/>
                <w:sz w:val="20"/>
              </w:rPr>
              <w:t> </w:t>
            </w:r>
            <w:r>
              <w:rPr>
                <w:rFonts w:ascii="Times New Roman;serif" w:hAnsi="Times New Roman;serif"/>
                <w:b w:val="false"/>
                <w:sz w:val="20"/>
              </w:rPr>
              <w:t>shares; 2022: authorized 350,000</w:t>
            </w:r>
            <w:r>
              <w:rPr>
                <w:rFonts w:ascii="Times New Roman" w:hAnsi="Times New Roman"/>
                <w:sz w:val="20"/>
              </w:rPr>
              <w:t> </w:t>
            </w:r>
            <w:r>
              <w:rPr>
                <w:rFonts w:ascii="Times New Roman;serif" w:hAnsi="Times New Roman;serif"/>
                <w:b w:val="false"/>
                <w:sz w:val="20"/>
              </w:rPr>
              <w:t>shares, issued 117,392</w:t>
            </w:r>
            <w:r>
              <w:rPr>
                <w:rFonts w:ascii="Times New Roman" w:hAnsi="Times New Roman"/>
                <w:sz w:val="20"/>
              </w:rPr>
              <w:t> </w:t>
            </w:r>
            <w:r>
              <w:rPr>
                <w:rFonts w:ascii="Times New Roman;serif" w:hAnsi="Times New Roman;serif"/>
                <w:b w:val="false"/>
                <w:sz w:val="20"/>
              </w:rPr>
              <w:t>shares, outstanding 105,167</w:t>
            </w:r>
            <w:r>
              <w:rPr>
                <w:rFonts w:ascii="Times New Roman" w:hAnsi="Times New Roman"/>
                <w:sz w:val="20"/>
              </w:rPr>
              <w:t> </w:t>
            </w:r>
            <w:r>
              <w:rPr>
                <w:rFonts w:ascii="Times New Roman;serif" w:hAnsi="Times New Roman;serif"/>
                <w:b w:val="false"/>
                <w:sz w:val="20"/>
              </w:rPr>
              <w:t>shares)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96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117</w:t>
            </w:r>
          </w:p>
        </w:tc>
        <w:tc>
          <w:tcPr>
            <w:tcW w:w="793" w:type="dxa"/>
            <w:tcBorders/>
            <w:shd w:fill="auto" w:val="clear"/>
            <w:vAlign w:val="center"/>
          </w:tcPr>
          <w:p>
            <w:pPr>
              <w:pStyle w:val="TableContents"/>
              <w:spacing w:before="0" w:after="0"/>
              <w:ind w:left="0" w:right="0" w:firstLine="200"/>
              <w:jc w:val="left"/>
              <w:rPr/>
            </w:pPr>
            <w:r>
              <w:rPr/>
              <w:t> </w:t>
            </w:r>
          </w:p>
        </w:tc>
      </w:tr>
      <w:tr>
        <w:trPr/>
        <w:tc>
          <w:tcPr>
            <w:tcW w:w="6963"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Additional paid-in capital</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635,001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96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636,266</w:t>
            </w:r>
          </w:p>
        </w:tc>
        <w:tc>
          <w:tcPr>
            <w:tcW w:w="793" w:type="dxa"/>
            <w:tcBorders/>
            <w:shd w:fill="auto" w:val="clear"/>
            <w:vAlign w:val="center"/>
          </w:tcPr>
          <w:p>
            <w:pPr>
              <w:pStyle w:val="TableContents"/>
              <w:spacing w:before="0" w:after="0"/>
              <w:ind w:left="0" w:right="0" w:firstLine="200"/>
              <w:jc w:val="left"/>
              <w:rPr/>
            </w:pPr>
            <w:r>
              <w:rPr/>
              <w:t> </w:t>
            </w:r>
          </w:p>
        </w:tc>
      </w:tr>
      <w:tr>
        <w:trPr/>
        <w:tc>
          <w:tcPr>
            <w:tcW w:w="6963"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20"/>
              </w:rPr>
              <w:t>Treasury stock at cost (2023: 12,889</w:t>
            </w:r>
            <w:r>
              <w:rPr>
                <w:rFonts w:ascii="Times New Roman" w:hAnsi="Times New Roman"/>
                <w:sz w:val="20"/>
              </w:rPr>
              <w:t> </w:t>
            </w:r>
            <w:r>
              <w:rPr>
                <w:rFonts w:ascii="Times New Roman;serif" w:hAnsi="Times New Roman;serif"/>
                <w:b w:val="false"/>
                <w:sz w:val="20"/>
              </w:rPr>
              <w:t>shares; 2022: 12,225</w:t>
            </w:r>
            <w:r>
              <w:rPr>
                <w:rFonts w:ascii="Times New Roman" w:hAnsi="Times New Roman"/>
                <w:sz w:val="20"/>
              </w:rPr>
              <w:t> </w:t>
            </w:r>
            <w:r>
              <w:rPr>
                <w:rFonts w:ascii="Times New Roman;serif" w:hAnsi="Times New Roman;serif"/>
                <w:b w:val="false"/>
                <w:sz w:val="20"/>
              </w:rPr>
              <w:t>shares)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(217,783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96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(211,223</w:t>
            </w:r>
          </w:p>
        </w:tc>
        <w:tc>
          <w:tcPr>
            <w:tcW w:w="793"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963"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Accumulated other comprehensive loss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96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w:t>
            </w:r>
          </w:p>
        </w:tc>
        <w:tc>
          <w:tcPr>
            <w:tcW w:w="793"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963"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Accumulated deficit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(94,676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(123,697</w:t>
            </w:r>
          </w:p>
        </w:tc>
        <w:tc>
          <w:tcPr>
            <w:tcW w:w="7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6963"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stockholders’ equity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322,614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301,412</w:t>
            </w:r>
          </w:p>
        </w:tc>
        <w:tc>
          <w:tcPr>
            <w:tcW w:w="7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600"/>
              <w:jc w:val="left"/>
              <w:rPr/>
            </w:pPr>
            <w:r>
              <w:rPr/>
              <w:t> </w:t>
            </w:r>
          </w:p>
        </w:tc>
      </w:tr>
      <w:tr>
        <w:trPr/>
        <w:tc>
          <w:tcPr>
            <w:tcW w:w="6963" w:type="dxa"/>
            <w:tcBorders/>
            <w:shd w:fill="auto" w:val="clear"/>
            <w:vAlign w:val="center"/>
          </w:tcPr>
          <w:p>
            <w:pPr>
              <w:pStyle w:val="TableContents"/>
              <w:spacing w:before="0" w:after="0"/>
              <w:ind w:left="600" w:right="0" w:hanging="0"/>
              <w:jc w:val="left"/>
              <w:rPr>
                <w:rFonts w:ascii="Times New Roman;serif" w:hAnsi="Times New Roman;serif"/>
                <w:b w:val="false"/>
                <w:sz w:val="20"/>
              </w:rPr>
            </w:pPr>
            <w:r>
              <w:rPr>
                <w:rFonts w:ascii="Times New Roman;serif" w:hAnsi="Times New Roman;serif"/>
                <w:b w:val="false"/>
                <w:sz w:val="20"/>
              </w:rPr>
              <w:t>Total liabilities and equity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1,153,818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1,210,526</w:t>
            </w:r>
          </w:p>
        </w:tc>
        <w:tc>
          <w:tcPr>
            <w:tcW w:w="7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40" w:after="0"/>
        <w:jc w:val="center"/>
        <w:rPr>
          <w:rFonts w:ascii="Times New Roman;serif" w:hAnsi="Times New Roman;serif"/>
          <w:b w:val="false"/>
          <w:sz w:val="20"/>
        </w:rPr>
      </w:pPr>
      <w:r>
        <w:rPr>
          <w:rFonts w:ascii="Times New Roman;serif" w:hAnsi="Times New Roman;serif"/>
          <w:b w:val="false"/>
          <w:sz w:val="20"/>
        </w:rPr>
        <w:t>The accompanying notes are an integral part of these unaudited condensed consolidated financial statements.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ADEIA INC.</w:t>
      </w:r>
    </w:p>
    <w:p>
      <w:pPr>
        <w:pStyle w:val="TextBody"/>
        <w:spacing w:before="0" w:after="0"/>
        <w:jc w:val="center"/>
        <w:rPr>
          <w:rFonts w:ascii="Times New Roman" w:hAnsi="Times New Roman"/>
          <w:sz w:val="20"/>
        </w:rPr>
      </w:pPr>
      <w:bookmarkStart w:id="7" w:name="cash_flows"/>
      <w:bookmarkEnd w:id="7"/>
      <w:r>
        <w:rPr>
          <w:rFonts w:ascii="Times New Roman;serif" w:hAnsi="Times New Roman;serif"/>
          <w:b/>
          <w:sz w:val="20"/>
        </w:rPr>
        <w:t>CONDENSED CONSOLIDATED STATEMENTS OF CASH</w:t>
      </w:r>
      <w:r>
        <w:rPr>
          <w:rFonts w:ascii="Times New Roman" w:hAnsi="Times New Roman"/>
          <w:sz w:val="20"/>
        </w:rPr>
        <w:t xml:space="preserve"> </w:t>
      </w:r>
      <w:r>
        <w:rPr>
          <w:rFonts w:ascii="Times New Roman;serif" w:hAnsi="Times New Roman;serif"/>
          <w:b/>
          <w:sz w:val="20"/>
        </w:rPr>
        <w:t>FLOWS</w:t>
      </w:r>
    </w:p>
    <w:p>
      <w:pPr>
        <w:pStyle w:val="TextBody"/>
        <w:spacing w:before="0" w:after="0"/>
        <w:jc w:val="center"/>
        <w:rPr>
          <w:rFonts w:ascii="Times New Roman;serif" w:hAnsi="Times New Roman;serif"/>
          <w:b/>
          <w:sz w:val="20"/>
        </w:rPr>
      </w:pPr>
      <w:r>
        <w:rPr>
          <w:rFonts w:ascii="Times New Roman;serif" w:hAnsi="Times New Roman;serif"/>
          <w:b/>
          <w:sz w:val="20"/>
        </w:rPr>
        <w:t>(in thousands)</w:t>
      </w:r>
    </w:p>
    <w:p>
      <w:pPr>
        <w:pStyle w:val="TextBody"/>
        <w:spacing w:before="0" w:after="0"/>
        <w:jc w:val="center"/>
        <w:rPr>
          <w:rFonts w:ascii="Times New Roman;serif" w:hAnsi="Times New Roman;serif"/>
          <w:b/>
          <w:sz w:val="20"/>
        </w:rPr>
      </w:pPr>
      <w:r>
        <w:rPr>
          <w:rFonts w:ascii="Times New Roman;serif" w:hAnsi="Times New Roman;serif"/>
          <w:b/>
          <w:sz w:val="20"/>
        </w:rPr>
        <w:t>(unaudited)</w:t>
      </w:r>
    </w:p>
    <w:p>
      <w:pPr>
        <w:pStyle w:val="TextBody"/>
        <w:spacing w:before="0" w:after="0"/>
        <w:jc w:val="left"/>
        <w:rPr/>
      </w:pPr>
      <w:r>
        <w:rPr/>
        <w:t> </w:t>
      </w:r>
    </w:p>
    <w:tbl>
      <w:tblPr>
        <w:tblW w:w="10539" w:type="dxa"/>
        <w:jc w:val="left"/>
        <w:tblInd w:w="0" w:type="dxa"/>
        <w:tblCellMar>
          <w:top w:w="28" w:type="dxa"/>
          <w:left w:w="28" w:type="dxa"/>
          <w:bottom w:w="28" w:type="dxa"/>
          <w:right w:w="28" w:type="dxa"/>
        </w:tblCellMar>
      </w:tblPr>
      <w:tblGrid>
        <w:gridCol w:w="6230"/>
        <w:gridCol w:w="146"/>
        <w:gridCol w:w="301"/>
        <w:gridCol w:w="1117"/>
        <w:gridCol w:w="166"/>
        <w:gridCol w:w="146"/>
        <w:gridCol w:w="301"/>
        <w:gridCol w:w="1117"/>
        <w:gridCol w:w="1015"/>
      </w:tblGrid>
      <w:tr>
        <w:trPr/>
        <w:tc>
          <w:tcPr>
            <w:tcW w:w="623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1117"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1117" w:type="dxa"/>
            <w:tcBorders/>
            <w:shd w:fill="auto" w:val="clear"/>
            <w:vAlign w:val="center"/>
          </w:tcPr>
          <w:p>
            <w:pPr>
              <w:pStyle w:val="TableContents"/>
              <w:spacing w:before="0" w:after="283"/>
              <w:rPr>
                <w:sz w:val="4"/>
                <w:szCs w:val="4"/>
              </w:rPr>
            </w:pPr>
            <w:r>
              <w:rPr>
                <w:sz w:val="4"/>
                <w:szCs w:val="4"/>
              </w:rPr>
            </w:r>
          </w:p>
        </w:tc>
        <w:tc>
          <w:tcPr>
            <w:tcW w:w="1015" w:type="dxa"/>
            <w:tcBorders/>
            <w:shd w:fill="auto" w:val="clear"/>
            <w:vAlign w:val="center"/>
          </w:tcPr>
          <w:p>
            <w:pPr>
              <w:pStyle w:val="TableContents"/>
              <w:spacing w:before="0" w:after="283"/>
              <w:rPr>
                <w:sz w:val="4"/>
                <w:szCs w:val="4"/>
              </w:rPr>
            </w:pPr>
            <w:r>
              <w:rPr>
                <w:sz w:val="4"/>
                <w:szCs w:val="4"/>
              </w:rPr>
            </w:r>
          </w:p>
        </w:tc>
      </w:tr>
      <w:tr>
        <w:trPr/>
        <w:tc>
          <w:tcPr>
            <w:tcW w:w="623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4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Three Months Ended</w:t>
            </w:r>
          </w:p>
        </w:tc>
        <w:tc>
          <w:tcPr>
            <w:tcW w:w="10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23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1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March 31, 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1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March 31, 2022</w:t>
            </w:r>
          </w:p>
        </w:tc>
        <w:tc>
          <w:tcPr>
            <w:tcW w:w="10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230"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Cash flows from operating activities:</w:t>
            </w:r>
          </w:p>
        </w:tc>
        <w:tc>
          <w:tcPr>
            <w:tcW w:w="146" w:type="dxa"/>
            <w:tcBorders/>
            <w:shd w:fill="auto" w:val="clear"/>
            <w:vAlign w:val="center"/>
          </w:tcPr>
          <w:p>
            <w:pPr>
              <w:pStyle w:val="TableContents"/>
              <w:spacing w:before="0" w:after="0"/>
              <w:ind w:left="0" w:right="0" w:hanging="0"/>
              <w:jc w:val="left"/>
              <w:rPr/>
            </w:pPr>
            <w:r>
              <w:rPr/>
              <w:t> </w:t>
            </w:r>
          </w:p>
        </w:tc>
        <w:tc>
          <w:tcPr>
            <w:tcW w:w="1418"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18" w:type="dxa"/>
            <w:gridSpan w:val="2"/>
            <w:tcBorders/>
            <w:shd w:fill="auto" w:val="clear"/>
            <w:vAlign w:val="center"/>
          </w:tcPr>
          <w:p>
            <w:pPr>
              <w:pStyle w:val="TableContents"/>
              <w:spacing w:before="0" w:after="0"/>
              <w:ind w:left="0" w:right="0" w:hanging="0"/>
              <w:jc w:val="right"/>
              <w:rPr/>
            </w:pPr>
            <w:r>
              <w:rPr/>
              <w:t> </w:t>
            </w:r>
          </w:p>
        </w:tc>
        <w:tc>
          <w:tcPr>
            <w:tcW w:w="1015" w:type="dxa"/>
            <w:tcBorders/>
            <w:shd w:fill="auto" w:val="clear"/>
            <w:vAlign w:val="center"/>
          </w:tcPr>
          <w:p>
            <w:pPr>
              <w:pStyle w:val="TableContents"/>
              <w:spacing w:before="0" w:after="0"/>
              <w:ind w:left="0" w:right="0" w:firstLine="200"/>
              <w:jc w:val="right"/>
              <w:rPr/>
            </w:pPr>
            <w:r>
              <w:rPr/>
              <w:t> </w:t>
            </w:r>
          </w:p>
        </w:tc>
      </w:tr>
      <w:tr>
        <w:trPr/>
        <w:tc>
          <w:tcPr>
            <w:tcW w:w="623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Net income</w:t>
            </w:r>
          </w:p>
        </w:tc>
        <w:tc>
          <w:tcPr>
            <w:tcW w:w="146" w:type="dxa"/>
            <w:tcBorders/>
            <w:shd w:fill="auto" w:val="clear"/>
            <w:vAlign w:val="center"/>
          </w:tcPr>
          <w:p>
            <w:pPr>
              <w:pStyle w:val="TableContents"/>
              <w:spacing w:before="0" w:after="0"/>
              <w:ind w:left="0" w:right="0" w:hanging="0"/>
              <w:jc w:val="left"/>
              <w:rPr/>
            </w:pPr>
            <w:r>
              <w:rPr/>
              <w:t> </w:t>
            </w:r>
          </w:p>
        </w:tc>
        <w:tc>
          <w:tcPr>
            <w:tcW w:w="3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29,021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23,975</w:t>
            </w:r>
          </w:p>
        </w:tc>
        <w:tc>
          <w:tcPr>
            <w:tcW w:w="1015" w:type="dxa"/>
            <w:tcBorders/>
            <w:shd w:fill="auto" w:val="clear"/>
            <w:vAlign w:val="center"/>
          </w:tcPr>
          <w:p>
            <w:pPr>
              <w:pStyle w:val="TableContents"/>
              <w:spacing w:before="0" w:after="0"/>
              <w:ind w:left="0" w:right="0" w:firstLine="200"/>
              <w:jc w:val="left"/>
              <w:rPr/>
            </w:pPr>
            <w:r>
              <w:rPr/>
              <w:t> </w:t>
            </w:r>
          </w:p>
        </w:tc>
      </w:tr>
      <w:tr>
        <w:trPr/>
        <w:tc>
          <w:tcPr>
            <w:tcW w:w="623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Adjustments to reconcile net income to net cash from operating activities:</w:t>
            </w:r>
          </w:p>
        </w:tc>
        <w:tc>
          <w:tcPr>
            <w:tcW w:w="146" w:type="dxa"/>
            <w:tcBorders/>
            <w:shd w:fill="auto" w:val="clear"/>
            <w:vAlign w:val="center"/>
          </w:tcPr>
          <w:p>
            <w:pPr>
              <w:pStyle w:val="TableContents"/>
              <w:spacing w:before="0" w:after="0"/>
              <w:ind w:left="0" w:right="0" w:hanging="0"/>
              <w:jc w:val="left"/>
              <w:rPr/>
            </w:pPr>
            <w:r>
              <w:rPr/>
              <w:t> </w:t>
            </w:r>
          </w:p>
        </w:tc>
        <w:tc>
          <w:tcPr>
            <w:tcW w:w="1418"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18" w:type="dxa"/>
            <w:gridSpan w:val="2"/>
            <w:tcBorders/>
            <w:shd w:fill="auto" w:val="clear"/>
            <w:vAlign w:val="center"/>
          </w:tcPr>
          <w:p>
            <w:pPr>
              <w:pStyle w:val="TableContents"/>
              <w:spacing w:before="0" w:after="0"/>
              <w:ind w:left="0" w:right="0" w:hanging="0"/>
              <w:jc w:val="right"/>
              <w:rPr/>
            </w:pPr>
            <w:r>
              <w:rPr/>
              <w:t> </w:t>
            </w:r>
          </w:p>
        </w:tc>
        <w:tc>
          <w:tcPr>
            <w:tcW w:w="1015" w:type="dxa"/>
            <w:tcBorders/>
            <w:shd w:fill="auto" w:val="clear"/>
            <w:vAlign w:val="center"/>
          </w:tcPr>
          <w:p>
            <w:pPr>
              <w:pStyle w:val="TableContents"/>
              <w:spacing w:before="0" w:after="0"/>
              <w:ind w:left="0" w:right="0" w:firstLine="400"/>
              <w:jc w:val="right"/>
              <w:rPr/>
            </w:pPr>
            <w:r>
              <w:rPr/>
              <w:t> </w:t>
            </w:r>
          </w:p>
        </w:tc>
      </w:tr>
      <w:tr>
        <w:trPr/>
        <w:tc>
          <w:tcPr>
            <w:tcW w:w="6230"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Depreciation of property and equipment</w:t>
            </w:r>
          </w:p>
        </w:tc>
        <w:tc>
          <w:tcPr>
            <w:tcW w:w="146" w:type="dxa"/>
            <w:tcBorders/>
            <w:shd w:fill="auto" w:val="clear"/>
            <w:vAlign w:val="center"/>
          </w:tcPr>
          <w:p>
            <w:pPr>
              <w:pStyle w:val="TableContents"/>
              <w:spacing w:before="0" w:after="0"/>
              <w:ind w:left="0" w:right="0" w:hanging="0"/>
              <w:jc w:val="left"/>
              <w:rPr/>
            </w:pPr>
            <w:r>
              <w:rPr/>
              <w:t> </w:t>
            </w:r>
          </w:p>
        </w:tc>
        <w:tc>
          <w:tcPr>
            <w:tcW w:w="301" w:type="dxa"/>
            <w:tcBorders/>
            <w:shd w:fill="auto" w:val="clear"/>
            <w:vAlign w:val="center"/>
          </w:tcPr>
          <w:p>
            <w:pPr>
              <w:pStyle w:val="TableContents"/>
              <w:spacing w:before="0" w:after="0"/>
              <w:ind w:left="0" w:right="0" w:hanging="0"/>
              <w:jc w:val="left"/>
              <w:rPr/>
            </w:pPr>
            <w:r>
              <w:rPr/>
              <w:t> </w:t>
            </w:r>
          </w:p>
        </w:tc>
        <w:tc>
          <w:tcPr>
            <w:tcW w:w="11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1" w:type="dxa"/>
            <w:tcBorders/>
            <w:shd w:fill="auto" w:val="clear"/>
            <w:vAlign w:val="center"/>
          </w:tcPr>
          <w:p>
            <w:pPr>
              <w:pStyle w:val="TableContents"/>
              <w:spacing w:before="0" w:after="0"/>
              <w:ind w:left="0" w:right="0" w:hanging="0"/>
              <w:jc w:val="left"/>
              <w:rPr/>
            </w:pPr>
            <w:r>
              <w:rPr/>
              <w:t> </w:t>
            </w:r>
          </w:p>
        </w:tc>
        <w:tc>
          <w:tcPr>
            <w:tcW w:w="11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5,866</w:t>
            </w:r>
          </w:p>
        </w:tc>
        <w:tc>
          <w:tcPr>
            <w:tcW w:w="1015" w:type="dxa"/>
            <w:tcBorders/>
            <w:shd w:fill="auto" w:val="clear"/>
            <w:vAlign w:val="center"/>
          </w:tcPr>
          <w:p>
            <w:pPr>
              <w:pStyle w:val="TableContents"/>
              <w:spacing w:before="0" w:after="0"/>
              <w:ind w:left="0" w:right="0" w:firstLine="400"/>
              <w:jc w:val="left"/>
              <w:rPr/>
            </w:pPr>
            <w:r>
              <w:rPr/>
              <w:t> </w:t>
            </w:r>
          </w:p>
        </w:tc>
      </w:tr>
      <w:tr>
        <w:trPr/>
        <w:tc>
          <w:tcPr>
            <w:tcW w:w="6230"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Amortization of intangible assets</w:t>
            </w:r>
          </w:p>
        </w:tc>
        <w:tc>
          <w:tcPr>
            <w:tcW w:w="146" w:type="dxa"/>
            <w:tcBorders/>
            <w:shd w:fill="auto" w:val="clear"/>
            <w:vAlign w:val="center"/>
          </w:tcPr>
          <w:p>
            <w:pPr>
              <w:pStyle w:val="TableContents"/>
              <w:spacing w:before="0" w:after="0"/>
              <w:ind w:left="0" w:right="0" w:hanging="0"/>
              <w:jc w:val="left"/>
              <w:rPr/>
            </w:pPr>
            <w:r>
              <w:rPr/>
              <w:t> </w:t>
            </w:r>
          </w:p>
        </w:tc>
        <w:tc>
          <w:tcPr>
            <w:tcW w:w="301" w:type="dxa"/>
            <w:tcBorders/>
            <w:shd w:fill="auto" w:val="clear"/>
            <w:vAlign w:val="center"/>
          </w:tcPr>
          <w:p>
            <w:pPr>
              <w:pStyle w:val="TableContents"/>
              <w:spacing w:before="0" w:after="0"/>
              <w:ind w:left="0" w:right="0" w:hanging="0"/>
              <w:jc w:val="left"/>
              <w:rPr/>
            </w:pPr>
            <w:r>
              <w:rPr/>
              <w:t> </w:t>
            </w:r>
          </w:p>
        </w:tc>
        <w:tc>
          <w:tcPr>
            <w:tcW w:w="11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23,689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1" w:type="dxa"/>
            <w:tcBorders/>
            <w:shd w:fill="auto" w:val="clear"/>
            <w:vAlign w:val="center"/>
          </w:tcPr>
          <w:p>
            <w:pPr>
              <w:pStyle w:val="TableContents"/>
              <w:spacing w:before="0" w:after="0"/>
              <w:ind w:left="0" w:right="0" w:hanging="0"/>
              <w:jc w:val="left"/>
              <w:rPr/>
            </w:pPr>
            <w:r>
              <w:rPr/>
              <w:t> </w:t>
            </w:r>
          </w:p>
        </w:tc>
        <w:tc>
          <w:tcPr>
            <w:tcW w:w="11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39,319</w:t>
            </w:r>
          </w:p>
        </w:tc>
        <w:tc>
          <w:tcPr>
            <w:tcW w:w="1015" w:type="dxa"/>
            <w:tcBorders/>
            <w:shd w:fill="auto" w:val="clear"/>
            <w:vAlign w:val="center"/>
          </w:tcPr>
          <w:p>
            <w:pPr>
              <w:pStyle w:val="TableContents"/>
              <w:spacing w:before="0" w:after="0"/>
              <w:ind w:left="0" w:right="0" w:firstLine="400"/>
              <w:jc w:val="left"/>
              <w:rPr/>
            </w:pPr>
            <w:r>
              <w:rPr/>
              <w:t> </w:t>
            </w:r>
          </w:p>
        </w:tc>
      </w:tr>
      <w:tr>
        <w:trPr/>
        <w:tc>
          <w:tcPr>
            <w:tcW w:w="6230"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Stock-based compensation expense</w:t>
            </w:r>
          </w:p>
        </w:tc>
        <w:tc>
          <w:tcPr>
            <w:tcW w:w="146" w:type="dxa"/>
            <w:tcBorders/>
            <w:shd w:fill="auto" w:val="clear"/>
            <w:vAlign w:val="center"/>
          </w:tcPr>
          <w:p>
            <w:pPr>
              <w:pStyle w:val="TableContents"/>
              <w:spacing w:before="0" w:after="0"/>
              <w:ind w:left="0" w:right="0" w:hanging="0"/>
              <w:jc w:val="left"/>
              <w:rPr/>
            </w:pPr>
            <w:r>
              <w:rPr/>
              <w:t> </w:t>
            </w:r>
          </w:p>
        </w:tc>
        <w:tc>
          <w:tcPr>
            <w:tcW w:w="301" w:type="dxa"/>
            <w:tcBorders/>
            <w:shd w:fill="auto" w:val="clear"/>
            <w:vAlign w:val="center"/>
          </w:tcPr>
          <w:p>
            <w:pPr>
              <w:pStyle w:val="TableContents"/>
              <w:spacing w:before="0" w:after="0"/>
              <w:ind w:left="0" w:right="0" w:hanging="0"/>
              <w:jc w:val="left"/>
              <w:rPr/>
            </w:pPr>
            <w:r>
              <w:rPr/>
              <w:t> </w:t>
            </w:r>
          </w:p>
        </w:tc>
        <w:tc>
          <w:tcPr>
            <w:tcW w:w="11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3,640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1" w:type="dxa"/>
            <w:tcBorders/>
            <w:shd w:fill="auto" w:val="clear"/>
            <w:vAlign w:val="center"/>
          </w:tcPr>
          <w:p>
            <w:pPr>
              <w:pStyle w:val="TableContents"/>
              <w:spacing w:before="0" w:after="0"/>
              <w:ind w:left="0" w:right="0" w:hanging="0"/>
              <w:jc w:val="left"/>
              <w:rPr/>
            </w:pPr>
            <w:r>
              <w:rPr/>
              <w:t> </w:t>
            </w:r>
          </w:p>
        </w:tc>
        <w:tc>
          <w:tcPr>
            <w:tcW w:w="11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16,804</w:t>
            </w:r>
          </w:p>
        </w:tc>
        <w:tc>
          <w:tcPr>
            <w:tcW w:w="1015" w:type="dxa"/>
            <w:tcBorders/>
            <w:shd w:fill="auto" w:val="clear"/>
            <w:vAlign w:val="center"/>
          </w:tcPr>
          <w:p>
            <w:pPr>
              <w:pStyle w:val="TableContents"/>
              <w:spacing w:before="0" w:after="0"/>
              <w:ind w:left="0" w:right="0" w:firstLine="400"/>
              <w:jc w:val="left"/>
              <w:rPr/>
            </w:pPr>
            <w:r>
              <w:rPr/>
              <w:t> </w:t>
            </w:r>
          </w:p>
        </w:tc>
      </w:tr>
      <w:tr>
        <w:trPr/>
        <w:tc>
          <w:tcPr>
            <w:tcW w:w="6230"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Deferred income taxes</w:t>
            </w:r>
          </w:p>
        </w:tc>
        <w:tc>
          <w:tcPr>
            <w:tcW w:w="146" w:type="dxa"/>
            <w:tcBorders/>
            <w:shd w:fill="auto" w:val="clear"/>
            <w:vAlign w:val="center"/>
          </w:tcPr>
          <w:p>
            <w:pPr>
              <w:pStyle w:val="TableContents"/>
              <w:spacing w:before="0" w:after="0"/>
              <w:ind w:left="0" w:right="0" w:hanging="0"/>
              <w:jc w:val="left"/>
              <w:rPr/>
            </w:pPr>
            <w:r>
              <w:rPr/>
              <w:t> </w:t>
            </w:r>
          </w:p>
        </w:tc>
        <w:tc>
          <w:tcPr>
            <w:tcW w:w="301" w:type="dxa"/>
            <w:tcBorders/>
            <w:shd w:fill="auto" w:val="clear"/>
            <w:vAlign w:val="center"/>
          </w:tcPr>
          <w:p>
            <w:pPr>
              <w:pStyle w:val="TableContents"/>
              <w:spacing w:before="0" w:after="0"/>
              <w:ind w:left="0" w:right="0" w:hanging="0"/>
              <w:jc w:val="left"/>
              <w:rPr/>
            </w:pPr>
            <w:r>
              <w:rPr/>
              <w:t> </w:t>
            </w:r>
          </w:p>
        </w:tc>
        <w:tc>
          <w:tcPr>
            <w:tcW w:w="11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2,373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1" w:type="dxa"/>
            <w:tcBorders/>
            <w:shd w:fill="auto" w:val="clear"/>
            <w:vAlign w:val="center"/>
          </w:tcPr>
          <w:p>
            <w:pPr>
              <w:pStyle w:val="TableContents"/>
              <w:spacing w:before="0" w:after="0"/>
              <w:ind w:left="0" w:right="0" w:hanging="0"/>
              <w:jc w:val="left"/>
              <w:rPr/>
            </w:pPr>
            <w:r>
              <w:rPr/>
              <w:t> </w:t>
            </w:r>
          </w:p>
        </w:tc>
        <w:tc>
          <w:tcPr>
            <w:tcW w:w="11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(911</w:t>
            </w:r>
          </w:p>
        </w:tc>
        <w:tc>
          <w:tcPr>
            <w:tcW w:w="1015" w:type="dxa"/>
            <w:tcBorders/>
            <w:shd w:fill="auto" w:val="clear"/>
            <w:vAlign w:val="center"/>
          </w:tcPr>
          <w:p>
            <w:pPr>
              <w:pStyle w:val="TableContents"/>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6230"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Amortization of debt issuance costs</w:t>
            </w:r>
          </w:p>
        </w:tc>
        <w:tc>
          <w:tcPr>
            <w:tcW w:w="146" w:type="dxa"/>
            <w:tcBorders/>
            <w:shd w:fill="auto" w:val="clear"/>
            <w:vAlign w:val="center"/>
          </w:tcPr>
          <w:p>
            <w:pPr>
              <w:pStyle w:val="TableContents"/>
              <w:spacing w:before="0" w:after="0"/>
              <w:ind w:left="0" w:right="0" w:hanging="0"/>
              <w:jc w:val="left"/>
              <w:rPr/>
            </w:pPr>
            <w:r>
              <w:rPr/>
              <w:t> </w:t>
            </w:r>
          </w:p>
        </w:tc>
        <w:tc>
          <w:tcPr>
            <w:tcW w:w="301" w:type="dxa"/>
            <w:tcBorders/>
            <w:shd w:fill="auto" w:val="clear"/>
            <w:vAlign w:val="center"/>
          </w:tcPr>
          <w:p>
            <w:pPr>
              <w:pStyle w:val="TableContents"/>
              <w:spacing w:before="0" w:after="0"/>
              <w:ind w:left="0" w:right="0" w:hanging="0"/>
              <w:jc w:val="left"/>
              <w:rPr/>
            </w:pPr>
            <w:r>
              <w:rPr/>
              <w:t> </w:t>
            </w:r>
          </w:p>
        </w:tc>
        <w:tc>
          <w:tcPr>
            <w:tcW w:w="11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1,170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1" w:type="dxa"/>
            <w:tcBorders/>
            <w:shd w:fill="auto" w:val="clear"/>
            <w:vAlign w:val="center"/>
          </w:tcPr>
          <w:p>
            <w:pPr>
              <w:pStyle w:val="TableContents"/>
              <w:spacing w:before="0" w:after="0"/>
              <w:ind w:left="0" w:right="0" w:hanging="0"/>
              <w:jc w:val="left"/>
              <w:rPr/>
            </w:pPr>
            <w:r>
              <w:rPr/>
              <w:t> </w:t>
            </w:r>
          </w:p>
        </w:tc>
        <w:tc>
          <w:tcPr>
            <w:tcW w:w="11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1,123</w:t>
            </w:r>
          </w:p>
        </w:tc>
        <w:tc>
          <w:tcPr>
            <w:tcW w:w="1015" w:type="dxa"/>
            <w:tcBorders/>
            <w:shd w:fill="auto" w:val="clear"/>
            <w:vAlign w:val="center"/>
          </w:tcPr>
          <w:p>
            <w:pPr>
              <w:pStyle w:val="TableContents"/>
              <w:spacing w:before="0" w:after="0"/>
              <w:ind w:left="0" w:right="0" w:firstLine="400"/>
              <w:jc w:val="left"/>
              <w:rPr/>
            </w:pPr>
            <w:r>
              <w:rPr/>
              <w:t> </w:t>
            </w:r>
          </w:p>
        </w:tc>
      </w:tr>
      <w:tr>
        <w:trPr/>
        <w:tc>
          <w:tcPr>
            <w:tcW w:w="6230"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shd w:fill="auto" w:val="clear"/>
            <w:vAlign w:val="center"/>
          </w:tcPr>
          <w:p>
            <w:pPr>
              <w:pStyle w:val="TableContents"/>
              <w:spacing w:before="0" w:after="0"/>
              <w:ind w:left="0" w:right="0" w:hanging="0"/>
              <w:jc w:val="left"/>
              <w:rPr/>
            </w:pPr>
            <w:r>
              <w:rPr/>
              <w:t> </w:t>
            </w:r>
          </w:p>
        </w:tc>
        <w:tc>
          <w:tcPr>
            <w:tcW w:w="301" w:type="dxa"/>
            <w:tcBorders/>
            <w:shd w:fill="auto" w:val="clear"/>
            <w:vAlign w:val="center"/>
          </w:tcPr>
          <w:p>
            <w:pPr>
              <w:pStyle w:val="TableContents"/>
              <w:spacing w:before="0" w:after="0"/>
              <w:ind w:left="0" w:right="0" w:hanging="0"/>
              <w:jc w:val="left"/>
              <w:rPr/>
            </w:pPr>
            <w:r>
              <w:rPr/>
              <w:t> </w:t>
            </w:r>
          </w:p>
        </w:tc>
        <w:tc>
          <w:tcPr>
            <w:tcW w:w="11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1" w:type="dxa"/>
            <w:tcBorders/>
            <w:shd w:fill="auto" w:val="clear"/>
            <w:vAlign w:val="center"/>
          </w:tcPr>
          <w:p>
            <w:pPr>
              <w:pStyle w:val="TableContents"/>
              <w:spacing w:before="0" w:after="0"/>
              <w:ind w:left="0" w:right="0" w:hanging="0"/>
              <w:jc w:val="left"/>
              <w:rPr/>
            </w:pPr>
            <w:r>
              <w:rPr/>
              <w:t> </w:t>
            </w:r>
          </w:p>
        </w:tc>
        <w:tc>
          <w:tcPr>
            <w:tcW w:w="11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861</w:t>
            </w:r>
          </w:p>
        </w:tc>
        <w:tc>
          <w:tcPr>
            <w:tcW w:w="1015" w:type="dxa"/>
            <w:tcBorders/>
            <w:shd w:fill="auto" w:val="clear"/>
            <w:vAlign w:val="center"/>
          </w:tcPr>
          <w:p>
            <w:pPr>
              <w:pStyle w:val="TableContents"/>
              <w:spacing w:before="0" w:after="0"/>
              <w:ind w:left="0" w:right="0" w:firstLine="400"/>
              <w:jc w:val="left"/>
              <w:rPr/>
            </w:pPr>
            <w:r>
              <w:rPr/>
              <w:t> </w:t>
            </w:r>
          </w:p>
        </w:tc>
      </w:tr>
      <w:tr>
        <w:trPr/>
        <w:tc>
          <w:tcPr>
            <w:tcW w:w="6230"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Changes in operating assets and liabilities:</w:t>
            </w:r>
          </w:p>
        </w:tc>
        <w:tc>
          <w:tcPr>
            <w:tcW w:w="146" w:type="dxa"/>
            <w:tcBorders/>
            <w:shd w:fill="auto" w:val="clear"/>
            <w:vAlign w:val="center"/>
          </w:tcPr>
          <w:p>
            <w:pPr>
              <w:pStyle w:val="TableContents"/>
              <w:spacing w:before="0" w:after="0"/>
              <w:ind w:left="0" w:right="0" w:hanging="0"/>
              <w:jc w:val="left"/>
              <w:rPr/>
            </w:pPr>
            <w:r>
              <w:rPr/>
              <w:t> </w:t>
            </w:r>
          </w:p>
        </w:tc>
        <w:tc>
          <w:tcPr>
            <w:tcW w:w="1418"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18" w:type="dxa"/>
            <w:gridSpan w:val="2"/>
            <w:tcBorders/>
            <w:shd w:fill="auto" w:val="clear"/>
            <w:vAlign w:val="center"/>
          </w:tcPr>
          <w:p>
            <w:pPr>
              <w:pStyle w:val="TableContents"/>
              <w:spacing w:before="0" w:after="0"/>
              <w:ind w:left="0" w:right="0" w:hanging="0"/>
              <w:jc w:val="right"/>
              <w:rPr/>
            </w:pPr>
            <w:r>
              <w:rPr/>
              <w:t> </w:t>
            </w:r>
          </w:p>
        </w:tc>
        <w:tc>
          <w:tcPr>
            <w:tcW w:w="1015" w:type="dxa"/>
            <w:tcBorders/>
            <w:shd w:fill="auto" w:val="clear"/>
            <w:vAlign w:val="center"/>
          </w:tcPr>
          <w:p>
            <w:pPr>
              <w:pStyle w:val="TableContents"/>
              <w:spacing w:before="0" w:after="0"/>
              <w:ind w:left="0" w:right="0" w:firstLine="600"/>
              <w:jc w:val="right"/>
              <w:rPr/>
            </w:pPr>
            <w:r>
              <w:rPr/>
              <w:t> </w:t>
            </w:r>
          </w:p>
        </w:tc>
      </w:tr>
      <w:tr>
        <w:trPr/>
        <w:tc>
          <w:tcPr>
            <w:tcW w:w="6230" w:type="dxa"/>
            <w:tcBorders/>
            <w:shd w:fill="auto" w:val="clear"/>
            <w:vAlign w:val="center"/>
          </w:tcPr>
          <w:p>
            <w:pPr>
              <w:pStyle w:val="TableContents"/>
              <w:spacing w:before="0" w:after="0"/>
              <w:ind w:left="600" w:right="0" w:hanging="0"/>
              <w:jc w:val="left"/>
              <w:rPr>
                <w:rFonts w:ascii="Times New Roman;serif" w:hAnsi="Times New Roman;serif"/>
                <w:b w:val="false"/>
                <w:sz w:val="20"/>
              </w:rPr>
            </w:pPr>
            <w:r>
              <w:rPr>
                <w:rFonts w:ascii="Times New Roman;serif" w:hAnsi="Times New Roman;serif"/>
                <w:b w:val="false"/>
                <w:sz w:val="20"/>
              </w:rPr>
              <w:t>Accounts receivable</w:t>
            </w:r>
          </w:p>
        </w:tc>
        <w:tc>
          <w:tcPr>
            <w:tcW w:w="146" w:type="dxa"/>
            <w:tcBorders/>
            <w:shd w:fill="auto" w:val="clear"/>
            <w:vAlign w:val="center"/>
          </w:tcPr>
          <w:p>
            <w:pPr>
              <w:pStyle w:val="TableContents"/>
              <w:spacing w:before="0" w:after="0"/>
              <w:ind w:left="0" w:right="0" w:hanging="0"/>
              <w:jc w:val="left"/>
              <w:rPr/>
            </w:pPr>
            <w:r>
              <w:rPr/>
              <w:t> </w:t>
            </w:r>
          </w:p>
        </w:tc>
        <w:tc>
          <w:tcPr>
            <w:tcW w:w="301" w:type="dxa"/>
            <w:tcBorders/>
            <w:shd w:fill="auto" w:val="clear"/>
            <w:vAlign w:val="center"/>
          </w:tcPr>
          <w:p>
            <w:pPr>
              <w:pStyle w:val="TableContents"/>
              <w:spacing w:before="0" w:after="0"/>
              <w:ind w:left="0" w:right="0" w:hanging="0"/>
              <w:jc w:val="left"/>
              <w:rPr/>
            </w:pPr>
            <w:r>
              <w:rPr/>
              <w:t> </w:t>
            </w:r>
          </w:p>
        </w:tc>
        <w:tc>
          <w:tcPr>
            <w:tcW w:w="11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20,951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1" w:type="dxa"/>
            <w:tcBorders/>
            <w:shd w:fill="auto" w:val="clear"/>
            <w:vAlign w:val="center"/>
          </w:tcPr>
          <w:p>
            <w:pPr>
              <w:pStyle w:val="TableContents"/>
              <w:spacing w:before="0" w:after="0"/>
              <w:ind w:left="0" w:right="0" w:hanging="0"/>
              <w:jc w:val="left"/>
              <w:rPr/>
            </w:pPr>
            <w:r>
              <w:rPr/>
              <w:t> </w:t>
            </w:r>
          </w:p>
        </w:tc>
        <w:tc>
          <w:tcPr>
            <w:tcW w:w="11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43,698</w:t>
            </w:r>
          </w:p>
        </w:tc>
        <w:tc>
          <w:tcPr>
            <w:tcW w:w="1015" w:type="dxa"/>
            <w:tcBorders/>
            <w:shd w:fill="auto" w:val="clear"/>
            <w:vAlign w:val="center"/>
          </w:tcPr>
          <w:p>
            <w:pPr>
              <w:pStyle w:val="TableContents"/>
              <w:spacing w:before="0" w:after="0"/>
              <w:ind w:left="0" w:right="0" w:firstLine="600"/>
              <w:jc w:val="left"/>
              <w:rPr/>
            </w:pPr>
            <w:r>
              <w:rPr/>
              <w:t> </w:t>
            </w:r>
          </w:p>
        </w:tc>
      </w:tr>
      <w:tr>
        <w:trPr/>
        <w:tc>
          <w:tcPr>
            <w:tcW w:w="6230" w:type="dxa"/>
            <w:tcBorders/>
            <w:shd w:fill="auto" w:val="clear"/>
            <w:vAlign w:val="center"/>
          </w:tcPr>
          <w:p>
            <w:pPr>
              <w:pStyle w:val="TableContents"/>
              <w:spacing w:before="0" w:after="0"/>
              <w:ind w:left="600" w:right="0" w:hanging="0"/>
              <w:jc w:val="left"/>
              <w:rPr>
                <w:rFonts w:ascii="Times New Roman;serif" w:hAnsi="Times New Roman;serif"/>
                <w:b w:val="false"/>
                <w:sz w:val="20"/>
              </w:rPr>
            </w:pPr>
            <w:r>
              <w:rPr>
                <w:rFonts w:ascii="Times New Roman;serif" w:hAnsi="Times New Roman;serif"/>
                <w:b w:val="false"/>
                <w:sz w:val="20"/>
              </w:rPr>
              <w:t>Unbilled contracts receivable</w:t>
            </w:r>
          </w:p>
        </w:tc>
        <w:tc>
          <w:tcPr>
            <w:tcW w:w="146" w:type="dxa"/>
            <w:tcBorders/>
            <w:shd w:fill="auto" w:val="clear"/>
            <w:vAlign w:val="center"/>
          </w:tcPr>
          <w:p>
            <w:pPr>
              <w:pStyle w:val="TableContents"/>
              <w:spacing w:before="0" w:after="0"/>
              <w:ind w:left="0" w:right="0" w:hanging="0"/>
              <w:jc w:val="left"/>
              <w:rPr/>
            </w:pPr>
            <w:r>
              <w:rPr/>
              <w:t> </w:t>
            </w:r>
          </w:p>
        </w:tc>
        <w:tc>
          <w:tcPr>
            <w:tcW w:w="301" w:type="dxa"/>
            <w:tcBorders/>
            <w:shd w:fill="auto" w:val="clear"/>
            <w:vAlign w:val="center"/>
          </w:tcPr>
          <w:p>
            <w:pPr>
              <w:pStyle w:val="TableContents"/>
              <w:spacing w:before="0" w:after="0"/>
              <w:ind w:left="0" w:right="0" w:hanging="0"/>
              <w:jc w:val="left"/>
              <w:rPr/>
            </w:pPr>
            <w:r>
              <w:rPr/>
              <w:t> </w:t>
            </w:r>
          </w:p>
        </w:tc>
        <w:tc>
          <w:tcPr>
            <w:tcW w:w="11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(27,612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01" w:type="dxa"/>
            <w:tcBorders/>
            <w:shd w:fill="auto" w:val="clear"/>
            <w:vAlign w:val="center"/>
          </w:tcPr>
          <w:p>
            <w:pPr>
              <w:pStyle w:val="TableContents"/>
              <w:spacing w:before="0" w:after="0"/>
              <w:ind w:left="0" w:right="0" w:hanging="0"/>
              <w:jc w:val="left"/>
              <w:rPr/>
            </w:pPr>
            <w:r>
              <w:rPr/>
              <w:t> </w:t>
            </w:r>
          </w:p>
        </w:tc>
        <w:tc>
          <w:tcPr>
            <w:tcW w:w="11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(82,995</w:t>
            </w:r>
          </w:p>
        </w:tc>
        <w:tc>
          <w:tcPr>
            <w:tcW w:w="1015" w:type="dxa"/>
            <w:tcBorders/>
            <w:shd w:fill="auto" w:val="clear"/>
            <w:vAlign w:val="center"/>
          </w:tcPr>
          <w:p>
            <w:pPr>
              <w:pStyle w:val="TableContents"/>
              <w:spacing w:before="0" w:after="0"/>
              <w:ind w:left="0" w:right="0" w:firstLine="600"/>
              <w:jc w:val="left"/>
              <w:rPr>
                <w:rFonts w:ascii="Times New Roman;serif" w:hAnsi="Times New Roman;serif"/>
                <w:b w:val="false"/>
                <w:sz w:val="20"/>
              </w:rPr>
            </w:pPr>
            <w:r>
              <w:rPr>
                <w:rFonts w:ascii="Times New Roman;serif" w:hAnsi="Times New Roman;serif"/>
                <w:b w:val="false"/>
                <w:sz w:val="20"/>
              </w:rPr>
              <w:t>)</w:t>
            </w:r>
          </w:p>
        </w:tc>
      </w:tr>
      <w:tr>
        <w:trPr/>
        <w:tc>
          <w:tcPr>
            <w:tcW w:w="6230" w:type="dxa"/>
            <w:tcBorders/>
            <w:shd w:fill="auto" w:val="clear"/>
            <w:vAlign w:val="center"/>
          </w:tcPr>
          <w:p>
            <w:pPr>
              <w:pStyle w:val="TableContents"/>
              <w:spacing w:before="0" w:after="0"/>
              <w:ind w:left="600" w:right="0" w:hanging="0"/>
              <w:jc w:val="left"/>
              <w:rPr>
                <w:rFonts w:ascii="Times New Roman;serif" w:hAnsi="Times New Roman;serif"/>
                <w:b w:val="false"/>
                <w:sz w:val="20"/>
              </w:rPr>
            </w:pPr>
            <w:r>
              <w:rPr>
                <w:rFonts w:ascii="Times New Roman;serif" w:hAnsi="Times New Roman;serif"/>
                <w:b w:val="false"/>
                <w:sz w:val="20"/>
              </w:rPr>
              <w:t>Other assets</w:t>
            </w:r>
          </w:p>
        </w:tc>
        <w:tc>
          <w:tcPr>
            <w:tcW w:w="146" w:type="dxa"/>
            <w:tcBorders/>
            <w:shd w:fill="auto" w:val="clear"/>
            <w:vAlign w:val="center"/>
          </w:tcPr>
          <w:p>
            <w:pPr>
              <w:pStyle w:val="TableContents"/>
              <w:spacing w:before="0" w:after="0"/>
              <w:ind w:left="0" w:right="0" w:hanging="0"/>
              <w:jc w:val="left"/>
              <w:rPr/>
            </w:pPr>
            <w:r>
              <w:rPr/>
              <w:t> </w:t>
            </w:r>
          </w:p>
        </w:tc>
        <w:tc>
          <w:tcPr>
            <w:tcW w:w="301" w:type="dxa"/>
            <w:tcBorders/>
            <w:shd w:fill="auto" w:val="clear"/>
            <w:vAlign w:val="center"/>
          </w:tcPr>
          <w:p>
            <w:pPr>
              <w:pStyle w:val="TableContents"/>
              <w:spacing w:before="0" w:after="0"/>
              <w:ind w:left="0" w:right="0" w:hanging="0"/>
              <w:jc w:val="left"/>
              <w:rPr/>
            </w:pPr>
            <w:r>
              <w:rPr/>
              <w:t> </w:t>
            </w:r>
          </w:p>
        </w:tc>
        <w:tc>
          <w:tcPr>
            <w:tcW w:w="11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4,592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1" w:type="dxa"/>
            <w:tcBorders/>
            <w:shd w:fill="auto" w:val="clear"/>
            <w:vAlign w:val="center"/>
          </w:tcPr>
          <w:p>
            <w:pPr>
              <w:pStyle w:val="TableContents"/>
              <w:spacing w:before="0" w:after="0"/>
              <w:ind w:left="0" w:right="0" w:hanging="0"/>
              <w:jc w:val="left"/>
              <w:rPr/>
            </w:pPr>
            <w:r>
              <w:rPr/>
              <w:t> </w:t>
            </w:r>
          </w:p>
        </w:tc>
        <w:tc>
          <w:tcPr>
            <w:tcW w:w="11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(8,806</w:t>
            </w:r>
          </w:p>
        </w:tc>
        <w:tc>
          <w:tcPr>
            <w:tcW w:w="1015" w:type="dxa"/>
            <w:tcBorders/>
            <w:shd w:fill="auto" w:val="clear"/>
            <w:vAlign w:val="center"/>
          </w:tcPr>
          <w:p>
            <w:pPr>
              <w:pStyle w:val="TableContents"/>
              <w:spacing w:before="0" w:after="0"/>
              <w:ind w:left="0" w:right="0" w:firstLine="600"/>
              <w:jc w:val="left"/>
              <w:rPr>
                <w:rFonts w:ascii="Times New Roman;serif" w:hAnsi="Times New Roman;serif"/>
                <w:b w:val="false"/>
                <w:sz w:val="20"/>
              </w:rPr>
            </w:pPr>
            <w:r>
              <w:rPr>
                <w:rFonts w:ascii="Times New Roman;serif" w:hAnsi="Times New Roman;serif"/>
                <w:b w:val="false"/>
                <w:sz w:val="20"/>
              </w:rPr>
              <w:t>)</w:t>
            </w:r>
          </w:p>
        </w:tc>
      </w:tr>
      <w:tr>
        <w:trPr/>
        <w:tc>
          <w:tcPr>
            <w:tcW w:w="6230" w:type="dxa"/>
            <w:tcBorders/>
            <w:shd w:fill="auto" w:val="clear"/>
            <w:vAlign w:val="center"/>
          </w:tcPr>
          <w:p>
            <w:pPr>
              <w:pStyle w:val="TableContents"/>
              <w:spacing w:before="0" w:after="0"/>
              <w:ind w:left="60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146" w:type="dxa"/>
            <w:tcBorders/>
            <w:shd w:fill="auto" w:val="clear"/>
            <w:vAlign w:val="center"/>
          </w:tcPr>
          <w:p>
            <w:pPr>
              <w:pStyle w:val="TableContents"/>
              <w:spacing w:before="0" w:after="0"/>
              <w:ind w:left="0" w:right="0" w:hanging="0"/>
              <w:jc w:val="left"/>
              <w:rPr/>
            </w:pPr>
            <w:r>
              <w:rPr/>
              <w:t> </w:t>
            </w:r>
          </w:p>
        </w:tc>
        <w:tc>
          <w:tcPr>
            <w:tcW w:w="301" w:type="dxa"/>
            <w:tcBorders/>
            <w:shd w:fill="auto" w:val="clear"/>
            <w:vAlign w:val="center"/>
          </w:tcPr>
          <w:p>
            <w:pPr>
              <w:pStyle w:val="TableContents"/>
              <w:spacing w:before="0" w:after="0"/>
              <w:ind w:left="0" w:right="0" w:hanging="0"/>
              <w:jc w:val="left"/>
              <w:rPr/>
            </w:pPr>
            <w:r>
              <w:rPr/>
              <w:t> </w:t>
            </w:r>
          </w:p>
        </w:tc>
        <w:tc>
          <w:tcPr>
            <w:tcW w:w="11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(4,468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01" w:type="dxa"/>
            <w:tcBorders/>
            <w:shd w:fill="auto" w:val="clear"/>
            <w:vAlign w:val="center"/>
          </w:tcPr>
          <w:p>
            <w:pPr>
              <w:pStyle w:val="TableContents"/>
              <w:spacing w:before="0" w:after="0"/>
              <w:ind w:left="0" w:right="0" w:hanging="0"/>
              <w:jc w:val="left"/>
              <w:rPr/>
            </w:pPr>
            <w:r>
              <w:rPr/>
              <w:t> </w:t>
            </w:r>
          </w:p>
        </w:tc>
        <w:tc>
          <w:tcPr>
            <w:tcW w:w="11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4,024</w:t>
            </w:r>
          </w:p>
        </w:tc>
        <w:tc>
          <w:tcPr>
            <w:tcW w:w="1015" w:type="dxa"/>
            <w:tcBorders/>
            <w:shd w:fill="auto" w:val="clear"/>
            <w:vAlign w:val="center"/>
          </w:tcPr>
          <w:p>
            <w:pPr>
              <w:pStyle w:val="TableContents"/>
              <w:spacing w:before="0" w:after="0"/>
              <w:ind w:left="0" w:right="0" w:firstLine="600"/>
              <w:jc w:val="left"/>
              <w:rPr/>
            </w:pPr>
            <w:r>
              <w:rPr/>
              <w:t> </w:t>
            </w:r>
          </w:p>
        </w:tc>
      </w:tr>
      <w:tr>
        <w:trPr/>
        <w:tc>
          <w:tcPr>
            <w:tcW w:w="6230" w:type="dxa"/>
            <w:tcBorders/>
            <w:shd w:fill="auto" w:val="clear"/>
            <w:vAlign w:val="center"/>
          </w:tcPr>
          <w:p>
            <w:pPr>
              <w:pStyle w:val="TableContents"/>
              <w:spacing w:before="0" w:after="0"/>
              <w:ind w:left="600" w:right="0" w:hanging="0"/>
              <w:jc w:val="left"/>
              <w:rPr>
                <w:rFonts w:ascii="Times New Roman;serif" w:hAnsi="Times New Roman;serif"/>
                <w:b w:val="false"/>
                <w:sz w:val="20"/>
              </w:rPr>
            </w:pPr>
            <w:r>
              <w:rPr>
                <w:rFonts w:ascii="Times New Roman;serif" w:hAnsi="Times New Roman;serif"/>
                <w:b w:val="false"/>
                <w:sz w:val="20"/>
              </w:rPr>
              <w:t>Accrued and other liabilities</w:t>
            </w:r>
          </w:p>
        </w:tc>
        <w:tc>
          <w:tcPr>
            <w:tcW w:w="146" w:type="dxa"/>
            <w:tcBorders/>
            <w:shd w:fill="auto" w:val="clear"/>
            <w:vAlign w:val="center"/>
          </w:tcPr>
          <w:p>
            <w:pPr>
              <w:pStyle w:val="TableContents"/>
              <w:spacing w:before="0" w:after="0"/>
              <w:ind w:left="0" w:right="0" w:hanging="0"/>
              <w:jc w:val="left"/>
              <w:rPr/>
            </w:pPr>
            <w:r>
              <w:rPr/>
              <w:t> </w:t>
            </w:r>
          </w:p>
        </w:tc>
        <w:tc>
          <w:tcPr>
            <w:tcW w:w="301" w:type="dxa"/>
            <w:tcBorders/>
            <w:shd w:fill="auto" w:val="clear"/>
            <w:vAlign w:val="center"/>
          </w:tcPr>
          <w:p>
            <w:pPr>
              <w:pStyle w:val="TableContents"/>
              <w:spacing w:before="0" w:after="0"/>
              <w:ind w:left="0" w:right="0" w:hanging="0"/>
              <w:jc w:val="left"/>
              <w:rPr/>
            </w:pPr>
            <w:r>
              <w:rPr/>
              <w:t> </w:t>
            </w:r>
          </w:p>
        </w:tc>
        <w:tc>
          <w:tcPr>
            <w:tcW w:w="11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(1,821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01" w:type="dxa"/>
            <w:tcBorders/>
            <w:shd w:fill="auto" w:val="clear"/>
            <w:vAlign w:val="center"/>
          </w:tcPr>
          <w:p>
            <w:pPr>
              <w:pStyle w:val="TableContents"/>
              <w:spacing w:before="0" w:after="0"/>
              <w:ind w:left="0" w:right="0" w:hanging="0"/>
              <w:jc w:val="left"/>
              <w:rPr/>
            </w:pPr>
            <w:r>
              <w:rPr/>
              <w:t> </w:t>
            </w:r>
          </w:p>
        </w:tc>
        <w:tc>
          <w:tcPr>
            <w:tcW w:w="11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(7,483</w:t>
            </w:r>
          </w:p>
        </w:tc>
        <w:tc>
          <w:tcPr>
            <w:tcW w:w="1015" w:type="dxa"/>
            <w:tcBorders/>
            <w:shd w:fill="auto" w:val="clear"/>
            <w:vAlign w:val="center"/>
          </w:tcPr>
          <w:p>
            <w:pPr>
              <w:pStyle w:val="TableContents"/>
              <w:spacing w:before="0" w:after="0"/>
              <w:ind w:left="0" w:right="0" w:firstLine="600"/>
              <w:jc w:val="left"/>
              <w:rPr>
                <w:rFonts w:ascii="Times New Roman;serif" w:hAnsi="Times New Roman;serif"/>
                <w:b w:val="false"/>
                <w:sz w:val="20"/>
              </w:rPr>
            </w:pPr>
            <w:r>
              <w:rPr>
                <w:rFonts w:ascii="Times New Roman;serif" w:hAnsi="Times New Roman;serif"/>
                <w:b w:val="false"/>
                <w:sz w:val="20"/>
              </w:rPr>
              <w:t>)</w:t>
            </w:r>
          </w:p>
        </w:tc>
      </w:tr>
      <w:tr>
        <w:trPr/>
        <w:tc>
          <w:tcPr>
            <w:tcW w:w="6230" w:type="dxa"/>
            <w:tcBorders/>
            <w:shd w:fill="auto" w:val="clear"/>
            <w:vAlign w:val="center"/>
          </w:tcPr>
          <w:p>
            <w:pPr>
              <w:pStyle w:val="TableContents"/>
              <w:spacing w:before="0" w:after="0"/>
              <w:ind w:left="600" w:right="0" w:hanging="0"/>
              <w:jc w:val="left"/>
              <w:rPr>
                <w:rFonts w:ascii="Times New Roman;serif" w:hAnsi="Times New Roman;serif"/>
                <w:b w:val="false"/>
                <w:sz w:val="20"/>
              </w:rPr>
            </w:pPr>
            <w:r>
              <w:rPr>
                <w:rFonts w:ascii="Times New Roman;serif" w:hAnsi="Times New Roman;serif"/>
                <w:b w:val="false"/>
                <w:sz w:val="20"/>
              </w:rPr>
              <w:t>Deferred revenue</w:t>
            </w:r>
          </w:p>
        </w:tc>
        <w:tc>
          <w:tcPr>
            <w:tcW w:w="146" w:type="dxa"/>
            <w:tcBorders/>
            <w:shd w:fill="auto" w:val="clear"/>
            <w:vAlign w:val="center"/>
          </w:tcPr>
          <w:p>
            <w:pPr>
              <w:pStyle w:val="TableContents"/>
              <w:spacing w:before="0" w:after="0"/>
              <w:ind w:left="0" w:right="0" w:hanging="0"/>
              <w:jc w:val="left"/>
              <w:rPr/>
            </w:pPr>
            <w:r>
              <w:rPr/>
              <w:t> </w:t>
            </w:r>
          </w:p>
        </w:tc>
        <w:tc>
          <w:tcPr>
            <w:tcW w:w="3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10,833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10,798</w:t>
            </w:r>
          </w:p>
        </w:tc>
        <w:tc>
          <w:tcPr>
            <w:tcW w:w="10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800"/>
              <w:jc w:val="left"/>
              <w:rPr/>
            </w:pPr>
            <w:r>
              <w:rPr/>
              <w:t> </w:t>
            </w:r>
          </w:p>
        </w:tc>
      </w:tr>
      <w:tr>
        <w:trPr/>
        <w:tc>
          <w:tcPr>
            <w:tcW w:w="6230" w:type="dxa"/>
            <w:tcBorders/>
            <w:shd w:fill="auto" w:val="clear"/>
            <w:vAlign w:val="center"/>
          </w:tcPr>
          <w:p>
            <w:pPr>
              <w:pStyle w:val="TableContents"/>
              <w:spacing w:before="0" w:after="0"/>
              <w:ind w:left="800" w:right="0" w:hanging="0"/>
              <w:jc w:val="left"/>
              <w:rPr>
                <w:rFonts w:ascii="Times New Roman;serif" w:hAnsi="Times New Roman;serif"/>
                <w:b w:val="false"/>
                <w:sz w:val="20"/>
              </w:rPr>
            </w:pPr>
            <w:r>
              <w:rPr>
                <w:rFonts w:ascii="Times New Roman;serif" w:hAnsi="Times New Roman;serif"/>
                <w:b w:val="false"/>
                <w:sz w:val="20"/>
              </w:rPr>
              <w:t>Net cash from operating activities</w:t>
            </w:r>
          </w:p>
        </w:tc>
        <w:tc>
          <w:tcPr>
            <w:tcW w:w="146" w:type="dxa"/>
            <w:tcBorders/>
            <w:shd w:fill="auto" w:val="clear"/>
            <w:vAlign w:val="center"/>
          </w:tcPr>
          <w:p>
            <w:pPr>
              <w:pStyle w:val="TableContents"/>
              <w:spacing w:before="0" w:after="0"/>
              <w:ind w:left="0" w:right="0" w:hanging="0"/>
              <w:jc w:val="left"/>
              <w:rPr/>
            </w:pPr>
            <w:r>
              <w:rPr/>
              <w:t> </w:t>
            </w:r>
          </w:p>
        </w:tc>
        <w:tc>
          <w:tcPr>
            <w:tcW w:w="3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63,352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46,273</w:t>
            </w:r>
          </w:p>
        </w:tc>
        <w:tc>
          <w:tcPr>
            <w:tcW w:w="10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230"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Cash flows from investing activities:</w:t>
            </w:r>
          </w:p>
        </w:tc>
        <w:tc>
          <w:tcPr>
            <w:tcW w:w="146" w:type="dxa"/>
            <w:tcBorders/>
            <w:shd w:fill="auto" w:val="clear"/>
            <w:vAlign w:val="center"/>
          </w:tcPr>
          <w:p>
            <w:pPr>
              <w:pStyle w:val="TableContents"/>
              <w:spacing w:before="0" w:after="0"/>
              <w:ind w:left="0" w:right="0" w:hanging="0"/>
              <w:jc w:val="left"/>
              <w:rPr/>
            </w:pPr>
            <w:r>
              <w:rPr/>
              <w:t> </w:t>
            </w:r>
          </w:p>
        </w:tc>
        <w:tc>
          <w:tcPr>
            <w:tcW w:w="1418"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18" w:type="dxa"/>
            <w:gridSpan w:val="2"/>
            <w:tcBorders/>
            <w:shd w:fill="auto" w:val="clear"/>
            <w:vAlign w:val="center"/>
          </w:tcPr>
          <w:p>
            <w:pPr>
              <w:pStyle w:val="TableContents"/>
              <w:spacing w:before="0" w:after="0"/>
              <w:ind w:left="0" w:right="0" w:hanging="0"/>
              <w:jc w:val="right"/>
              <w:rPr/>
            </w:pPr>
            <w:r>
              <w:rPr/>
              <w:t> </w:t>
            </w:r>
          </w:p>
        </w:tc>
        <w:tc>
          <w:tcPr>
            <w:tcW w:w="1015" w:type="dxa"/>
            <w:tcBorders/>
            <w:shd w:fill="auto" w:val="clear"/>
            <w:vAlign w:val="center"/>
          </w:tcPr>
          <w:p>
            <w:pPr>
              <w:pStyle w:val="TableContents"/>
              <w:spacing w:before="0" w:after="0"/>
              <w:ind w:left="0" w:right="0" w:firstLine="200"/>
              <w:jc w:val="right"/>
              <w:rPr/>
            </w:pPr>
            <w:r>
              <w:rPr/>
              <w:t> </w:t>
            </w:r>
          </w:p>
        </w:tc>
      </w:tr>
      <w:tr>
        <w:trPr/>
        <w:tc>
          <w:tcPr>
            <w:tcW w:w="623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Purchases of property and equipment</w:t>
            </w:r>
          </w:p>
        </w:tc>
        <w:tc>
          <w:tcPr>
            <w:tcW w:w="146" w:type="dxa"/>
            <w:tcBorders/>
            <w:shd w:fill="auto" w:val="clear"/>
            <w:vAlign w:val="center"/>
          </w:tcPr>
          <w:p>
            <w:pPr>
              <w:pStyle w:val="TableContents"/>
              <w:spacing w:before="0" w:after="0"/>
              <w:ind w:left="0" w:right="0" w:hanging="0"/>
              <w:jc w:val="left"/>
              <w:rPr/>
            </w:pPr>
            <w:r>
              <w:rPr/>
              <w:t> </w:t>
            </w:r>
          </w:p>
        </w:tc>
        <w:tc>
          <w:tcPr>
            <w:tcW w:w="301" w:type="dxa"/>
            <w:tcBorders/>
            <w:shd w:fill="auto" w:val="clear"/>
            <w:vAlign w:val="center"/>
          </w:tcPr>
          <w:p>
            <w:pPr>
              <w:pStyle w:val="TableContents"/>
              <w:spacing w:before="0" w:after="0"/>
              <w:ind w:left="0" w:right="0" w:hanging="0"/>
              <w:jc w:val="left"/>
              <w:rPr/>
            </w:pPr>
            <w:r>
              <w:rPr/>
              <w:t> </w:t>
            </w:r>
          </w:p>
        </w:tc>
        <w:tc>
          <w:tcPr>
            <w:tcW w:w="11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01" w:type="dxa"/>
            <w:tcBorders/>
            <w:shd w:fill="auto" w:val="clear"/>
            <w:vAlign w:val="center"/>
          </w:tcPr>
          <w:p>
            <w:pPr>
              <w:pStyle w:val="TableContents"/>
              <w:spacing w:before="0" w:after="0"/>
              <w:ind w:left="0" w:right="0" w:hanging="0"/>
              <w:jc w:val="left"/>
              <w:rPr/>
            </w:pPr>
            <w:r>
              <w:rPr/>
              <w:t> </w:t>
            </w:r>
          </w:p>
        </w:tc>
        <w:tc>
          <w:tcPr>
            <w:tcW w:w="11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(4,289</w:t>
            </w:r>
          </w:p>
        </w:tc>
        <w:tc>
          <w:tcPr>
            <w:tcW w:w="1015"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23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Purchases of intangible assets</w:t>
            </w:r>
          </w:p>
        </w:tc>
        <w:tc>
          <w:tcPr>
            <w:tcW w:w="146" w:type="dxa"/>
            <w:tcBorders/>
            <w:shd w:fill="auto" w:val="clear"/>
            <w:vAlign w:val="center"/>
          </w:tcPr>
          <w:p>
            <w:pPr>
              <w:pStyle w:val="TableContents"/>
              <w:spacing w:before="0" w:after="0"/>
              <w:ind w:left="0" w:right="0" w:hanging="0"/>
              <w:jc w:val="left"/>
              <w:rPr/>
            </w:pPr>
            <w:r>
              <w:rPr/>
              <w:t> </w:t>
            </w:r>
          </w:p>
        </w:tc>
        <w:tc>
          <w:tcPr>
            <w:tcW w:w="301" w:type="dxa"/>
            <w:tcBorders/>
            <w:shd w:fill="auto" w:val="clear"/>
            <w:vAlign w:val="center"/>
          </w:tcPr>
          <w:p>
            <w:pPr>
              <w:pStyle w:val="TableContents"/>
              <w:spacing w:before="0" w:after="0"/>
              <w:ind w:left="0" w:right="0" w:hanging="0"/>
              <w:jc w:val="left"/>
              <w:rPr/>
            </w:pPr>
            <w:r>
              <w:rPr/>
              <w:t> </w:t>
            </w:r>
          </w:p>
        </w:tc>
        <w:tc>
          <w:tcPr>
            <w:tcW w:w="1117"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1" w:type="dxa"/>
            <w:tcBorders/>
            <w:shd w:fill="auto" w:val="clear"/>
            <w:vAlign w:val="center"/>
          </w:tcPr>
          <w:p>
            <w:pPr>
              <w:pStyle w:val="TableContents"/>
              <w:spacing w:before="0" w:after="0"/>
              <w:ind w:left="0" w:right="0" w:hanging="0"/>
              <w:jc w:val="left"/>
              <w:rPr/>
            </w:pPr>
            <w:r>
              <w:rPr/>
              <w:t> </w:t>
            </w:r>
          </w:p>
        </w:tc>
        <w:tc>
          <w:tcPr>
            <w:tcW w:w="11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(180</w:t>
            </w:r>
          </w:p>
        </w:tc>
        <w:tc>
          <w:tcPr>
            <w:tcW w:w="1015"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23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Purchases of short-term investments</w:t>
            </w:r>
          </w:p>
        </w:tc>
        <w:tc>
          <w:tcPr>
            <w:tcW w:w="146" w:type="dxa"/>
            <w:tcBorders/>
            <w:shd w:fill="auto" w:val="clear"/>
            <w:vAlign w:val="center"/>
          </w:tcPr>
          <w:p>
            <w:pPr>
              <w:pStyle w:val="TableContents"/>
              <w:spacing w:before="0" w:after="0"/>
              <w:ind w:left="0" w:right="0" w:hanging="0"/>
              <w:jc w:val="left"/>
              <w:rPr/>
            </w:pPr>
            <w:r>
              <w:rPr/>
              <w:t> </w:t>
            </w:r>
          </w:p>
        </w:tc>
        <w:tc>
          <w:tcPr>
            <w:tcW w:w="301" w:type="dxa"/>
            <w:tcBorders/>
            <w:shd w:fill="auto" w:val="clear"/>
            <w:vAlign w:val="center"/>
          </w:tcPr>
          <w:p>
            <w:pPr>
              <w:pStyle w:val="TableContents"/>
              <w:spacing w:before="0" w:after="0"/>
              <w:ind w:left="0" w:right="0" w:hanging="0"/>
              <w:jc w:val="left"/>
              <w:rPr/>
            </w:pPr>
            <w:r>
              <w:rPr/>
              <w:t> </w:t>
            </w:r>
          </w:p>
        </w:tc>
        <w:tc>
          <w:tcPr>
            <w:tcW w:w="1117"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1" w:type="dxa"/>
            <w:tcBorders/>
            <w:shd w:fill="auto" w:val="clear"/>
            <w:vAlign w:val="center"/>
          </w:tcPr>
          <w:p>
            <w:pPr>
              <w:pStyle w:val="TableContents"/>
              <w:spacing w:before="0" w:after="0"/>
              <w:ind w:left="0" w:right="0" w:hanging="0"/>
              <w:jc w:val="left"/>
              <w:rPr/>
            </w:pPr>
            <w:r>
              <w:rPr/>
              <w:t> </w:t>
            </w:r>
          </w:p>
        </w:tc>
        <w:tc>
          <w:tcPr>
            <w:tcW w:w="11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(4,490</w:t>
            </w:r>
          </w:p>
        </w:tc>
        <w:tc>
          <w:tcPr>
            <w:tcW w:w="1015"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23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Proceeds from sales of investments</w:t>
            </w:r>
          </w:p>
        </w:tc>
        <w:tc>
          <w:tcPr>
            <w:tcW w:w="146" w:type="dxa"/>
            <w:tcBorders/>
            <w:shd w:fill="auto" w:val="clear"/>
            <w:vAlign w:val="center"/>
          </w:tcPr>
          <w:p>
            <w:pPr>
              <w:pStyle w:val="TableContents"/>
              <w:spacing w:before="0" w:after="0"/>
              <w:ind w:left="0" w:right="0" w:hanging="0"/>
              <w:jc w:val="left"/>
              <w:rPr/>
            </w:pPr>
            <w:r>
              <w:rPr/>
              <w:t> </w:t>
            </w:r>
          </w:p>
        </w:tc>
        <w:tc>
          <w:tcPr>
            <w:tcW w:w="301" w:type="dxa"/>
            <w:tcBorders/>
            <w:shd w:fill="auto" w:val="clear"/>
            <w:vAlign w:val="center"/>
          </w:tcPr>
          <w:p>
            <w:pPr>
              <w:pStyle w:val="TableContents"/>
              <w:spacing w:before="0" w:after="0"/>
              <w:ind w:left="0" w:right="0" w:hanging="0"/>
              <w:jc w:val="left"/>
              <w:rPr/>
            </w:pPr>
            <w:r>
              <w:rPr/>
              <w:t> </w:t>
            </w:r>
          </w:p>
        </w:tc>
        <w:tc>
          <w:tcPr>
            <w:tcW w:w="1117"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1" w:type="dxa"/>
            <w:tcBorders/>
            <w:shd w:fill="auto" w:val="clear"/>
            <w:vAlign w:val="center"/>
          </w:tcPr>
          <w:p>
            <w:pPr>
              <w:pStyle w:val="TableContents"/>
              <w:spacing w:before="0" w:after="0"/>
              <w:ind w:left="0" w:right="0" w:hanging="0"/>
              <w:jc w:val="left"/>
              <w:rPr/>
            </w:pPr>
            <w:r>
              <w:rPr/>
              <w:t> </w:t>
            </w:r>
          </w:p>
        </w:tc>
        <w:tc>
          <w:tcPr>
            <w:tcW w:w="11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2,000</w:t>
            </w:r>
          </w:p>
        </w:tc>
        <w:tc>
          <w:tcPr>
            <w:tcW w:w="1015" w:type="dxa"/>
            <w:tcBorders/>
            <w:shd w:fill="auto" w:val="clear"/>
            <w:vAlign w:val="center"/>
          </w:tcPr>
          <w:p>
            <w:pPr>
              <w:pStyle w:val="TableContents"/>
              <w:spacing w:before="0" w:after="0"/>
              <w:ind w:left="0" w:right="0" w:firstLine="200"/>
              <w:jc w:val="left"/>
              <w:rPr/>
            </w:pPr>
            <w:r>
              <w:rPr/>
              <w:t> </w:t>
            </w:r>
          </w:p>
        </w:tc>
      </w:tr>
      <w:tr>
        <w:trPr/>
        <w:tc>
          <w:tcPr>
            <w:tcW w:w="623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Proceeds from maturities of investments</w:t>
            </w:r>
          </w:p>
        </w:tc>
        <w:tc>
          <w:tcPr>
            <w:tcW w:w="146" w:type="dxa"/>
            <w:tcBorders/>
            <w:shd w:fill="auto" w:val="clear"/>
            <w:vAlign w:val="center"/>
          </w:tcPr>
          <w:p>
            <w:pPr>
              <w:pStyle w:val="TableContents"/>
              <w:spacing w:before="0" w:after="0"/>
              <w:ind w:left="0" w:right="0" w:hanging="0"/>
              <w:jc w:val="left"/>
              <w:rPr/>
            </w:pPr>
            <w:r>
              <w:rPr/>
              <w:t> </w:t>
            </w:r>
          </w:p>
        </w:tc>
        <w:tc>
          <w:tcPr>
            <w:tcW w:w="3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10,023</w:t>
            </w:r>
          </w:p>
        </w:tc>
        <w:tc>
          <w:tcPr>
            <w:tcW w:w="10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800"/>
              <w:jc w:val="left"/>
              <w:rPr/>
            </w:pPr>
            <w:r>
              <w:rPr/>
              <w:t> </w:t>
            </w:r>
          </w:p>
        </w:tc>
      </w:tr>
      <w:tr>
        <w:trPr/>
        <w:tc>
          <w:tcPr>
            <w:tcW w:w="6230" w:type="dxa"/>
            <w:tcBorders/>
            <w:shd w:fill="auto" w:val="clear"/>
            <w:vAlign w:val="center"/>
          </w:tcPr>
          <w:p>
            <w:pPr>
              <w:pStyle w:val="TableContents"/>
              <w:spacing w:before="0" w:after="0"/>
              <w:ind w:left="800" w:right="0" w:hanging="0"/>
              <w:jc w:val="left"/>
              <w:rPr>
                <w:rFonts w:ascii="Times New Roman;serif" w:hAnsi="Times New Roman;serif"/>
                <w:b w:val="false"/>
                <w:sz w:val="20"/>
              </w:rPr>
            </w:pPr>
            <w:r>
              <w:rPr>
                <w:rFonts w:ascii="Times New Roman;serif" w:hAnsi="Times New Roman;serif"/>
                <w:b w:val="false"/>
                <w:sz w:val="20"/>
              </w:rPr>
              <w:t>Net cash from investing activities</w:t>
            </w:r>
          </w:p>
        </w:tc>
        <w:tc>
          <w:tcPr>
            <w:tcW w:w="146" w:type="dxa"/>
            <w:tcBorders/>
            <w:shd w:fill="auto" w:val="clear"/>
            <w:vAlign w:val="center"/>
          </w:tcPr>
          <w:p>
            <w:pPr>
              <w:pStyle w:val="TableContents"/>
              <w:spacing w:before="0" w:after="0"/>
              <w:ind w:left="0" w:right="0" w:hanging="0"/>
              <w:jc w:val="left"/>
              <w:rPr/>
            </w:pPr>
            <w:r>
              <w:rPr/>
              <w:t> </w:t>
            </w:r>
          </w:p>
        </w:tc>
        <w:tc>
          <w:tcPr>
            <w:tcW w:w="3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3,064</w:t>
            </w:r>
          </w:p>
        </w:tc>
        <w:tc>
          <w:tcPr>
            <w:tcW w:w="10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230"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Cash flows from financing activities:</w:t>
            </w:r>
          </w:p>
        </w:tc>
        <w:tc>
          <w:tcPr>
            <w:tcW w:w="146" w:type="dxa"/>
            <w:tcBorders/>
            <w:shd w:fill="auto" w:val="clear"/>
            <w:vAlign w:val="center"/>
          </w:tcPr>
          <w:p>
            <w:pPr>
              <w:pStyle w:val="TableContents"/>
              <w:spacing w:before="0" w:after="0"/>
              <w:ind w:left="0" w:right="0" w:hanging="0"/>
              <w:jc w:val="left"/>
              <w:rPr/>
            </w:pPr>
            <w:r>
              <w:rPr/>
              <w:t> </w:t>
            </w:r>
          </w:p>
        </w:tc>
        <w:tc>
          <w:tcPr>
            <w:tcW w:w="1418"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18" w:type="dxa"/>
            <w:gridSpan w:val="2"/>
            <w:tcBorders/>
            <w:shd w:fill="auto" w:val="clear"/>
            <w:vAlign w:val="center"/>
          </w:tcPr>
          <w:p>
            <w:pPr>
              <w:pStyle w:val="TableContents"/>
              <w:spacing w:before="0" w:after="0"/>
              <w:ind w:left="0" w:right="0" w:hanging="0"/>
              <w:jc w:val="right"/>
              <w:rPr/>
            </w:pPr>
            <w:r>
              <w:rPr/>
              <w:t> </w:t>
            </w:r>
          </w:p>
        </w:tc>
        <w:tc>
          <w:tcPr>
            <w:tcW w:w="1015" w:type="dxa"/>
            <w:tcBorders/>
            <w:shd w:fill="auto" w:val="clear"/>
            <w:vAlign w:val="center"/>
          </w:tcPr>
          <w:p>
            <w:pPr>
              <w:pStyle w:val="TableContents"/>
              <w:spacing w:before="0" w:after="0"/>
              <w:ind w:left="0" w:right="0" w:firstLine="200"/>
              <w:jc w:val="right"/>
              <w:rPr/>
            </w:pPr>
            <w:r>
              <w:rPr/>
              <w:t> </w:t>
            </w:r>
          </w:p>
        </w:tc>
      </w:tr>
      <w:tr>
        <w:trPr/>
        <w:tc>
          <w:tcPr>
            <w:tcW w:w="623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Dividends paid</w:t>
            </w:r>
          </w:p>
        </w:tc>
        <w:tc>
          <w:tcPr>
            <w:tcW w:w="146" w:type="dxa"/>
            <w:tcBorders/>
            <w:shd w:fill="auto" w:val="clear"/>
            <w:vAlign w:val="center"/>
          </w:tcPr>
          <w:p>
            <w:pPr>
              <w:pStyle w:val="TableContents"/>
              <w:spacing w:before="0" w:after="0"/>
              <w:ind w:left="0" w:right="0" w:hanging="0"/>
              <w:jc w:val="left"/>
              <w:rPr/>
            </w:pPr>
            <w:r>
              <w:rPr/>
              <w:t> </w:t>
            </w:r>
          </w:p>
        </w:tc>
        <w:tc>
          <w:tcPr>
            <w:tcW w:w="301" w:type="dxa"/>
            <w:tcBorders/>
            <w:shd w:fill="auto" w:val="clear"/>
            <w:vAlign w:val="center"/>
          </w:tcPr>
          <w:p>
            <w:pPr>
              <w:pStyle w:val="TableContents"/>
              <w:spacing w:before="0" w:after="0"/>
              <w:ind w:left="0" w:right="0" w:hanging="0"/>
              <w:jc w:val="left"/>
              <w:rPr/>
            </w:pPr>
            <w:r>
              <w:rPr/>
              <w:t> </w:t>
            </w:r>
          </w:p>
        </w:tc>
        <w:tc>
          <w:tcPr>
            <w:tcW w:w="11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(5,314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01" w:type="dxa"/>
            <w:tcBorders/>
            <w:shd w:fill="auto" w:val="clear"/>
            <w:vAlign w:val="center"/>
          </w:tcPr>
          <w:p>
            <w:pPr>
              <w:pStyle w:val="TableContents"/>
              <w:spacing w:before="0" w:after="0"/>
              <w:ind w:left="0" w:right="0" w:hanging="0"/>
              <w:jc w:val="left"/>
              <w:rPr/>
            </w:pPr>
            <w:r>
              <w:rPr/>
              <w:t> </w:t>
            </w:r>
          </w:p>
        </w:tc>
        <w:tc>
          <w:tcPr>
            <w:tcW w:w="11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(5,218</w:t>
            </w:r>
          </w:p>
        </w:tc>
        <w:tc>
          <w:tcPr>
            <w:tcW w:w="1015"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23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Repayment of debt</w:t>
            </w:r>
          </w:p>
        </w:tc>
        <w:tc>
          <w:tcPr>
            <w:tcW w:w="146" w:type="dxa"/>
            <w:tcBorders/>
            <w:shd w:fill="auto" w:val="clear"/>
            <w:vAlign w:val="center"/>
          </w:tcPr>
          <w:p>
            <w:pPr>
              <w:pStyle w:val="TableContents"/>
              <w:spacing w:before="0" w:after="0"/>
              <w:ind w:left="0" w:right="0" w:hanging="0"/>
              <w:jc w:val="left"/>
              <w:rPr/>
            </w:pPr>
            <w:r>
              <w:rPr/>
              <w:t> </w:t>
            </w:r>
          </w:p>
        </w:tc>
        <w:tc>
          <w:tcPr>
            <w:tcW w:w="301" w:type="dxa"/>
            <w:tcBorders/>
            <w:shd w:fill="auto" w:val="clear"/>
            <w:vAlign w:val="center"/>
          </w:tcPr>
          <w:p>
            <w:pPr>
              <w:pStyle w:val="TableContents"/>
              <w:spacing w:before="0" w:after="0"/>
              <w:ind w:left="0" w:right="0" w:hanging="0"/>
              <w:jc w:val="left"/>
              <w:rPr/>
            </w:pPr>
            <w:r>
              <w:rPr/>
              <w:t> </w:t>
            </w:r>
          </w:p>
        </w:tc>
        <w:tc>
          <w:tcPr>
            <w:tcW w:w="11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(83,625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01" w:type="dxa"/>
            <w:tcBorders/>
            <w:shd w:fill="auto" w:val="clear"/>
            <w:vAlign w:val="center"/>
          </w:tcPr>
          <w:p>
            <w:pPr>
              <w:pStyle w:val="TableContents"/>
              <w:spacing w:before="0" w:after="0"/>
              <w:ind w:left="0" w:right="0" w:hanging="0"/>
              <w:jc w:val="left"/>
              <w:rPr/>
            </w:pPr>
            <w:r>
              <w:rPr/>
              <w:t> </w:t>
            </w:r>
          </w:p>
        </w:tc>
        <w:tc>
          <w:tcPr>
            <w:tcW w:w="11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(10,125</w:t>
            </w:r>
          </w:p>
        </w:tc>
        <w:tc>
          <w:tcPr>
            <w:tcW w:w="1015"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23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Proceeds from employee stock purchase program and exercise of stock options</w:t>
            </w:r>
          </w:p>
        </w:tc>
        <w:tc>
          <w:tcPr>
            <w:tcW w:w="146" w:type="dxa"/>
            <w:tcBorders/>
            <w:shd w:fill="auto" w:val="clear"/>
            <w:vAlign w:val="center"/>
          </w:tcPr>
          <w:p>
            <w:pPr>
              <w:pStyle w:val="TableContents"/>
              <w:spacing w:before="0" w:after="0"/>
              <w:ind w:left="0" w:right="0" w:hanging="0"/>
              <w:jc w:val="left"/>
              <w:rPr/>
            </w:pPr>
            <w:r>
              <w:rPr/>
              <w:t> </w:t>
            </w:r>
          </w:p>
        </w:tc>
        <w:tc>
          <w:tcPr>
            <w:tcW w:w="301" w:type="dxa"/>
            <w:tcBorders/>
            <w:shd w:fill="auto" w:val="clear"/>
            <w:vAlign w:val="center"/>
          </w:tcPr>
          <w:p>
            <w:pPr>
              <w:pStyle w:val="TableContents"/>
              <w:spacing w:before="0" w:after="0"/>
              <w:ind w:left="0" w:right="0" w:hanging="0"/>
              <w:jc w:val="left"/>
              <w:rPr/>
            </w:pPr>
            <w:r>
              <w:rPr/>
              <w:t> </w:t>
            </w:r>
          </w:p>
        </w:tc>
        <w:tc>
          <w:tcPr>
            <w:tcW w:w="11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1" w:type="dxa"/>
            <w:tcBorders/>
            <w:shd w:fill="auto" w:val="clear"/>
            <w:vAlign w:val="center"/>
          </w:tcPr>
          <w:p>
            <w:pPr>
              <w:pStyle w:val="TableContents"/>
              <w:spacing w:before="0" w:after="0"/>
              <w:ind w:left="0" w:right="0" w:hanging="0"/>
              <w:jc w:val="left"/>
              <w:rPr/>
            </w:pPr>
            <w:r>
              <w:rPr/>
              <w:t> </w:t>
            </w:r>
          </w:p>
        </w:tc>
        <w:tc>
          <w:tcPr>
            <w:tcW w:w="11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8,000</w:t>
            </w:r>
          </w:p>
        </w:tc>
        <w:tc>
          <w:tcPr>
            <w:tcW w:w="1015" w:type="dxa"/>
            <w:tcBorders/>
            <w:shd w:fill="auto" w:val="clear"/>
            <w:vAlign w:val="center"/>
          </w:tcPr>
          <w:p>
            <w:pPr>
              <w:pStyle w:val="TableContents"/>
              <w:spacing w:before="0" w:after="0"/>
              <w:ind w:left="0" w:right="0" w:firstLine="200"/>
              <w:jc w:val="left"/>
              <w:rPr/>
            </w:pPr>
            <w:r>
              <w:rPr/>
              <w:t> </w:t>
            </w:r>
          </w:p>
        </w:tc>
      </w:tr>
      <w:tr>
        <w:trPr/>
        <w:tc>
          <w:tcPr>
            <w:tcW w:w="623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Repurchases of common stock</w:t>
            </w:r>
          </w:p>
        </w:tc>
        <w:tc>
          <w:tcPr>
            <w:tcW w:w="146" w:type="dxa"/>
            <w:tcBorders/>
            <w:shd w:fill="auto" w:val="clear"/>
            <w:vAlign w:val="center"/>
          </w:tcPr>
          <w:p>
            <w:pPr>
              <w:pStyle w:val="TableContents"/>
              <w:spacing w:before="0" w:after="0"/>
              <w:ind w:left="0" w:right="0" w:hanging="0"/>
              <w:jc w:val="left"/>
              <w:rPr/>
            </w:pPr>
            <w:r>
              <w:rPr/>
              <w:t> </w:t>
            </w:r>
          </w:p>
        </w:tc>
        <w:tc>
          <w:tcPr>
            <w:tcW w:w="301" w:type="dxa"/>
            <w:tcBorders/>
            <w:shd w:fill="auto" w:val="clear"/>
            <w:vAlign w:val="center"/>
          </w:tcPr>
          <w:p>
            <w:pPr>
              <w:pStyle w:val="TableContents"/>
              <w:spacing w:before="0" w:after="0"/>
              <w:ind w:left="0" w:right="0" w:hanging="0"/>
              <w:jc w:val="left"/>
              <w:rPr/>
            </w:pPr>
            <w:r>
              <w:rPr/>
              <w:t> </w:t>
            </w:r>
          </w:p>
        </w:tc>
        <w:tc>
          <w:tcPr>
            <w:tcW w:w="1117"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1" w:type="dxa"/>
            <w:tcBorders/>
            <w:shd w:fill="auto" w:val="clear"/>
            <w:vAlign w:val="center"/>
          </w:tcPr>
          <w:p>
            <w:pPr>
              <w:pStyle w:val="TableContents"/>
              <w:spacing w:before="0" w:after="0"/>
              <w:ind w:left="0" w:right="0" w:hanging="0"/>
              <w:jc w:val="left"/>
              <w:rPr/>
            </w:pPr>
            <w:r>
              <w:rPr/>
              <w:t> </w:t>
            </w:r>
          </w:p>
        </w:tc>
        <w:tc>
          <w:tcPr>
            <w:tcW w:w="11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(17,260</w:t>
            </w:r>
          </w:p>
        </w:tc>
        <w:tc>
          <w:tcPr>
            <w:tcW w:w="1015"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23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Repurchases of common stock for tax withholdings on equity awards</w:t>
            </w:r>
          </w:p>
        </w:tc>
        <w:tc>
          <w:tcPr>
            <w:tcW w:w="146" w:type="dxa"/>
            <w:tcBorders/>
            <w:shd w:fill="auto" w:val="clear"/>
            <w:vAlign w:val="center"/>
          </w:tcPr>
          <w:p>
            <w:pPr>
              <w:pStyle w:val="TableContents"/>
              <w:spacing w:before="0" w:after="0"/>
              <w:ind w:left="0" w:right="0" w:hanging="0"/>
              <w:jc w:val="left"/>
              <w:rPr/>
            </w:pPr>
            <w:r>
              <w:rPr/>
              <w:t> </w:t>
            </w:r>
          </w:p>
        </w:tc>
        <w:tc>
          <w:tcPr>
            <w:tcW w:w="3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(6,560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(11,068</w:t>
            </w:r>
          </w:p>
        </w:tc>
        <w:tc>
          <w:tcPr>
            <w:tcW w:w="10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800"/>
              <w:jc w:val="left"/>
              <w:rPr>
                <w:rFonts w:ascii="Times New Roman;serif" w:hAnsi="Times New Roman;serif"/>
                <w:b w:val="false"/>
                <w:sz w:val="20"/>
              </w:rPr>
            </w:pPr>
            <w:r>
              <w:rPr>
                <w:rFonts w:ascii="Times New Roman;serif" w:hAnsi="Times New Roman;serif"/>
                <w:b w:val="false"/>
                <w:sz w:val="20"/>
              </w:rPr>
              <w:t>)</w:t>
            </w:r>
          </w:p>
        </w:tc>
      </w:tr>
      <w:tr>
        <w:trPr/>
        <w:tc>
          <w:tcPr>
            <w:tcW w:w="6230" w:type="dxa"/>
            <w:tcBorders/>
            <w:shd w:fill="auto" w:val="clear"/>
            <w:vAlign w:val="center"/>
          </w:tcPr>
          <w:p>
            <w:pPr>
              <w:pStyle w:val="TableContents"/>
              <w:spacing w:before="0" w:after="0"/>
              <w:ind w:left="800" w:right="0" w:hanging="0"/>
              <w:jc w:val="left"/>
              <w:rPr>
                <w:rFonts w:ascii="Times New Roman;serif" w:hAnsi="Times New Roman;serif"/>
                <w:b w:val="false"/>
                <w:sz w:val="20"/>
              </w:rPr>
            </w:pPr>
            <w:r>
              <w:rPr>
                <w:rFonts w:ascii="Times New Roman;serif" w:hAnsi="Times New Roman;serif"/>
                <w:b w:val="false"/>
                <w:sz w:val="20"/>
              </w:rPr>
              <w:t>Net cash from financing activities</w:t>
            </w:r>
          </w:p>
        </w:tc>
        <w:tc>
          <w:tcPr>
            <w:tcW w:w="146" w:type="dxa"/>
            <w:tcBorders/>
            <w:shd w:fill="auto" w:val="clear"/>
            <w:vAlign w:val="center"/>
          </w:tcPr>
          <w:p>
            <w:pPr>
              <w:pStyle w:val="TableContents"/>
              <w:spacing w:before="0" w:after="0"/>
              <w:ind w:left="0" w:right="0" w:hanging="0"/>
              <w:jc w:val="left"/>
              <w:rPr/>
            </w:pPr>
            <w:r>
              <w:rPr/>
              <w:t> </w:t>
            </w:r>
          </w:p>
        </w:tc>
        <w:tc>
          <w:tcPr>
            <w:tcW w:w="3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(95,088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(35,671</w:t>
            </w:r>
          </w:p>
        </w:tc>
        <w:tc>
          <w:tcPr>
            <w:tcW w:w="10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23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Effect of exchange rate changes on cash and cash equivalents</w:t>
            </w:r>
          </w:p>
        </w:tc>
        <w:tc>
          <w:tcPr>
            <w:tcW w:w="146" w:type="dxa"/>
            <w:tcBorders/>
            <w:shd w:fill="auto" w:val="clear"/>
            <w:vAlign w:val="center"/>
          </w:tcPr>
          <w:p>
            <w:pPr>
              <w:pStyle w:val="TableContents"/>
              <w:spacing w:before="0" w:after="0"/>
              <w:ind w:left="0" w:right="0" w:hanging="0"/>
              <w:jc w:val="left"/>
              <w:rPr/>
            </w:pPr>
            <w:r>
              <w:rPr/>
              <w:t> </w:t>
            </w:r>
          </w:p>
        </w:tc>
        <w:tc>
          <w:tcPr>
            <w:tcW w:w="3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(692</w:t>
            </w:r>
          </w:p>
        </w:tc>
        <w:tc>
          <w:tcPr>
            <w:tcW w:w="10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23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increase (decrease) in cash and cash equivalents</w:t>
            </w:r>
          </w:p>
        </w:tc>
        <w:tc>
          <w:tcPr>
            <w:tcW w:w="146" w:type="dxa"/>
            <w:tcBorders/>
            <w:shd w:fill="auto" w:val="clear"/>
            <w:vAlign w:val="center"/>
          </w:tcPr>
          <w:p>
            <w:pPr>
              <w:pStyle w:val="TableContents"/>
              <w:spacing w:before="0" w:after="0"/>
              <w:ind w:left="0" w:right="0" w:hanging="0"/>
              <w:jc w:val="left"/>
              <w:rPr/>
            </w:pPr>
            <w:r>
              <w:rPr/>
              <w:t> </w:t>
            </w:r>
          </w:p>
        </w:tc>
        <w:tc>
          <w:tcPr>
            <w:tcW w:w="301" w:type="dxa"/>
            <w:tcBorders/>
            <w:shd w:fill="auto" w:val="clear"/>
            <w:vAlign w:val="center"/>
          </w:tcPr>
          <w:p>
            <w:pPr>
              <w:pStyle w:val="TableContents"/>
              <w:spacing w:before="0" w:after="0"/>
              <w:ind w:left="0" w:right="0" w:hanging="0"/>
              <w:jc w:val="left"/>
              <w:rPr/>
            </w:pPr>
            <w:r>
              <w:rPr/>
              <w:t> </w:t>
            </w:r>
          </w:p>
        </w:tc>
        <w:tc>
          <w:tcPr>
            <w:tcW w:w="11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(32,126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01" w:type="dxa"/>
            <w:tcBorders/>
            <w:shd w:fill="auto" w:val="clear"/>
            <w:vAlign w:val="center"/>
          </w:tcPr>
          <w:p>
            <w:pPr>
              <w:pStyle w:val="TableContents"/>
              <w:spacing w:before="0" w:after="0"/>
              <w:ind w:left="0" w:right="0" w:hanging="0"/>
              <w:jc w:val="left"/>
              <w:rPr/>
            </w:pPr>
            <w:r>
              <w:rPr/>
              <w:t> </w:t>
            </w:r>
          </w:p>
        </w:tc>
        <w:tc>
          <w:tcPr>
            <w:tcW w:w="11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12,974</w:t>
            </w:r>
          </w:p>
        </w:tc>
        <w:tc>
          <w:tcPr>
            <w:tcW w:w="1015" w:type="dxa"/>
            <w:tcBorders/>
            <w:shd w:fill="auto" w:val="clear"/>
            <w:vAlign w:val="center"/>
          </w:tcPr>
          <w:p>
            <w:pPr>
              <w:pStyle w:val="TableContents"/>
              <w:spacing w:before="0" w:after="0"/>
              <w:ind w:left="0" w:right="0" w:hanging="0"/>
              <w:jc w:val="left"/>
              <w:rPr/>
            </w:pPr>
            <w:r>
              <w:rPr/>
              <w:t> </w:t>
            </w:r>
          </w:p>
        </w:tc>
      </w:tr>
      <w:tr>
        <w:trPr/>
        <w:tc>
          <w:tcPr>
            <w:tcW w:w="623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and cash equivalents at beginning of period</w:t>
            </w:r>
          </w:p>
        </w:tc>
        <w:tc>
          <w:tcPr>
            <w:tcW w:w="146" w:type="dxa"/>
            <w:tcBorders/>
            <w:shd w:fill="auto" w:val="clear"/>
            <w:vAlign w:val="center"/>
          </w:tcPr>
          <w:p>
            <w:pPr>
              <w:pStyle w:val="TableContents"/>
              <w:spacing w:before="0" w:after="0"/>
              <w:ind w:left="0" w:right="0" w:hanging="0"/>
              <w:jc w:val="left"/>
              <w:rPr/>
            </w:pPr>
            <w:r>
              <w:rPr/>
              <w:t> </w:t>
            </w:r>
          </w:p>
        </w:tc>
        <w:tc>
          <w:tcPr>
            <w:tcW w:w="3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114,555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201,121</w:t>
            </w:r>
          </w:p>
        </w:tc>
        <w:tc>
          <w:tcPr>
            <w:tcW w:w="10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23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and cash equivalents at end of period</w:t>
            </w:r>
          </w:p>
        </w:tc>
        <w:tc>
          <w:tcPr>
            <w:tcW w:w="146" w:type="dxa"/>
            <w:tcBorders/>
            <w:shd w:fill="auto" w:val="clear"/>
            <w:vAlign w:val="center"/>
          </w:tcPr>
          <w:p>
            <w:pPr>
              <w:pStyle w:val="TableContents"/>
              <w:spacing w:before="0" w:after="0"/>
              <w:ind w:left="0" w:right="0" w:hanging="0"/>
              <w:jc w:val="left"/>
              <w:rPr/>
            </w:pPr>
            <w:r>
              <w:rPr/>
              <w:t> </w:t>
            </w:r>
          </w:p>
        </w:tc>
        <w:tc>
          <w:tcPr>
            <w:tcW w:w="3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1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82,429</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1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214,095</w:t>
            </w:r>
          </w:p>
        </w:tc>
        <w:tc>
          <w:tcPr>
            <w:tcW w:w="101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230"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Supplemental disclosure of cash flow information:</w:t>
            </w:r>
          </w:p>
        </w:tc>
        <w:tc>
          <w:tcPr>
            <w:tcW w:w="146" w:type="dxa"/>
            <w:tcBorders/>
            <w:shd w:fill="auto" w:val="clear"/>
            <w:vAlign w:val="center"/>
          </w:tcPr>
          <w:p>
            <w:pPr>
              <w:pStyle w:val="TableContents"/>
              <w:spacing w:before="0" w:after="0"/>
              <w:ind w:left="0" w:right="0" w:hanging="0"/>
              <w:jc w:val="left"/>
              <w:rPr/>
            </w:pPr>
            <w:r>
              <w:rPr/>
              <w:t> </w:t>
            </w:r>
          </w:p>
        </w:tc>
        <w:tc>
          <w:tcPr>
            <w:tcW w:w="1418"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18" w:type="dxa"/>
            <w:gridSpan w:val="2"/>
            <w:tcBorders/>
            <w:shd w:fill="auto" w:val="clear"/>
            <w:vAlign w:val="center"/>
          </w:tcPr>
          <w:p>
            <w:pPr>
              <w:pStyle w:val="TableContents"/>
              <w:spacing w:before="0" w:after="0"/>
              <w:ind w:left="0" w:right="0" w:hanging="0"/>
              <w:jc w:val="right"/>
              <w:rPr/>
            </w:pPr>
            <w:r>
              <w:rPr/>
              <w:t> </w:t>
            </w:r>
          </w:p>
        </w:tc>
        <w:tc>
          <w:tcPr>
            <w:tcW w:w="1015" w:type="dxa"/>
            <w:tcBorders/>
            <w:shd w:fill="auto" w:val="clear"/>
            <w:vAlign w:val="center"/>
          </w:tcPr>
          <w:p>
            <w:pPr>
              <w:pStyle w:val="TableContents"/>
              <w:spacing w:before="0" w:after="0"/>
              <w:ind w:left="0" w:right="0" w:firstLine="200"/>
              <w:jc w:val="right"/>
              <w:rPr/>
            </w:pPr>
            <w:r>
              <w:rPr/>
              <w:t> </w:t>
            </w:r>
          </w:p>
        </w:tc>
      </w:tr>
      <w:tr>
        <w:trPr/>
        <w:tc>
          <w:tcPr>
            <w:tcW w:w="623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paid</w:t>
            </w:r>
          </w:p>
        </w:tc>
        <w:tc>
          <w:tcPr>
            <w:tcW w:w="146" w:type="dxa"/>
            <w:tcBorders/>
            <w:shd w:fill="auto" w:val="clear"/>
            <w:vAlign w:val="center"/>
          </w:tcPr>
          <w:p>
            <w:pPr>
              <w:pStyle w:val="TableContents"/>
              <w:spacing w:before="0" w:after="0"/>
              <w:ind w:left="0" w:right="0" w:hanging="0"/>
              <w:jc w:val="left"/>
              <w:rPr/>
            </w:pPr>
            <w:r>
              <w:rPr/>
              <w:t> </w:t>
            </w:r>
          </w:p>
        </w:tc>
        <w:tc>
          <w:tcPr>
            <w:tcW w:w="3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1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14,691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1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7,188</w:t>
            </w:r>
          </w:p>
        </w:tc>
        <w:tc>
          <w:tcPr>
            <w:tcW w:w="101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623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Income taxes paid, net of refunds</w:t>
            </w:r>
          </w:p>
        </w:tc>
        <w:tc>
          <w:tcPr>
            <w:tcW w:w="146" w:type="dxa"/>
            <w:tcBorders/>
            <w:shd w:fill="auto" w:val="clear"/>
            <w:vAlign w:val="center"/>
          </w:tcPr>
          <w:p>
            <w:pPr>
              <w:pStyle w:val="TableContents"/>
              <w:spacing w:before="0" w:after="0"/>
              <w:ind w:left="0" w:right="0" w:hanging="0"/>
              <w:jc w:val="left"/>
              <w:rPr/>
            </w:pPr>
            <w:r>
              <w:rPr/>
              <w:t> </w:t>
            </w:r>
          </w:p>
        </w:tc>
        <w:tc>
          <w:tcPr>
            <w:tcW w:w="3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1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847</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1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3,334</w:t>
            </w:r>
          </w:p>
        </w:tc>
        <w:tc>
          <w:tcPr>
            <w:tcW w:w="101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40" w:after="0"/>
        <w:jc w:val="left"/>
        <w:rPr>
          <w:rFonts w:ascii="Times New Roman" w:hAnsi="Times New Roman"/>
          <w:sz w:val="20"/>
        </w:rPr>
      </w:pPr>
      <w:r>
        <w:rPr>
          <w:rFonts w:ascii="Times New Roman;serif" w:hAnsi="Times New Roman;serif"/>
          <w:b w:val="false"/>
          <w:i/>
          <w:sz w:val="18"/>
        </w:rPr>
        <w:t>Cash flows above are presented on a consolidated basis and therefore also include $135.0</w:t>
      </w:r>
      <w:r>
        <w:rPr>
          <w:rFonts w:ascii="Times New Roman" w:hAnsi="Times New Roman"/>
          <w:sz w:val="20"/>
        </w:rPr>
        <w:t xml:space="preserve"> </w:t>
      </w:r>
      <w:r>
        <w:rPr>
          <w:rFonts w:ascii="Times New Roman;serif" w:hAnsi="Times New Roman;serif"/>
          <w:b w:val="false"/>
          <w:i/>
          <w:sz w:val="18"/>
        </w:rPr>
        <w:t>million of cash and cash equivalents included in current assets of discontinued operations in the condensed consolidated balance sheet as of March 31, 2022. Refer to "Note 7 – Discontinued Operations" for additional information related to cash flows from discontinued operations.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The accompanying notes are an integral part of these unaudited condensed consolidated financial statements.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ADEIA INC.</w:t>
      </w:r>
    </w:p>
    <w:p>
      <w:pPr>
        <w:pStyle w:val="TextBody"/>
        <w:spacing w:before="0" w:after="0"/>
        <w:jc w:val="center"/>
        <w:rPr>
          <w:rFonts w:ascii="Times New Roman;serif" w:hAnsi="Times New Roman;serif"/>
          <w:b/>
          <w:sz w:val="20"/>
        </w:rPr>
      </w:pPr>
      <w:bookmarkStart w:id="8" w:name="stmt_equity"/>
      <w:bookmarkEnd w:id="8"/>
      <w:r>
        <w:rPr>
          <w:rFonts w:ascii="Times New Roman;serif" w:hAnsi="Times New Roman;serif"/>
          <w:b/>
          <w:sz w:val="20"/>
        </w:rPr>
        <w:t>CONDENSED CONSOLIDATED STATEMENTS OF EQUITY</w:t>
      </w:r>
    </w:p>
    <w:p>
      <w:pPr>
        <w:pStyle w:val="TextBody"/>
        <w:spacing w:before="0" w:after="0"/>
        <w:jc w:val="center"/>
        <w:rPr>
          <w:rFonts w:ascii="Times New Roman;serif" w:hAnsi="Times New Roman;serif"/>
          <w:b/>
          <w:sz w:val="20"/>
        </w:rPr>
      </w:pPr>
      <w:r>
        <w:rPr>
          <w:rFonts w:ascii="Times New Roman;serif" w:hAnsi="Times New Roman;serif"/>
          <w:b/>
          <w:sz w:val="20"/>
        </w:rPr>
        <w:t>(in thousands, except per share amount)</w:t>
      </w:r>
    </w:p>
    <w:p>
      <w:pPr>
        <w:pStyle w:val="TextBody"/>
        <w:spacing w:before="0" w:after="0"/>
        <w:jc w:val="center"/>
        <w:rPr>
          <w:rFonts w:ascii="Times New Roman;serif" w:hAnsi="Times New Roman;serif"/>
          <w:b/>
          <w:sz w:val="20"/>
        </w:rPr>
      </w:pPr>
      <w:r>
        <w:rPr>
          <w:rFonts w:ascii="Times New Roman;serif" w:hAnsi="Times New Roman;serif"/>
          <w:b/>
          <w:sz w:val="20"/>
        </w:rPr>
        <w:t>(unaudited)</w:t>
      </w:r>
    </w:p>
    <w:p>
      <w:pPr>
        <w:pStyle w:val="TextBody"/>
        <w:spacing w:before="0" w:after="0"/>
        <w:jc w:val="center"/>
        <w:rPr/>
      </w:pPr>
      <w:r>
        <w:rPr/>
        <w:t> </w:t>
      </w:r>
    </w:p>
    <w:tbl>
      <w:tblPr>
        <w:tblW w:w="10539" w:type="dxa"/>
        <w:jc w:val="left"/>
        <w:tblInd w:w="0" w:type="dxa"/>
        <w:tblCellMar>
          <w:top w:w="28" w:type="dxa"/>
          <w:left w:w="28" w:type="dxa"/>
          <w:bottom w:w="28" w:type="dxa"/>
          <w:right w:w="28" w:type="dxa"/>
        </w:tblCellMar>
      </w:tblPr>
      <w:tblGrid>
        <w:gridCol w:w="1607"/>
        <w:gridCol w:w="146"/>
        <w:gridCol w:w="691"/>
        <w:gridCol w:w="146"/>
        <w:gridCol w:w="751"/>
        <w:gridCol w:w="146"/>
        <w:gridCol w:w="970"/>
        <w:gridCol w:w="146"/>
        <w:gridCol w:w="631"/>
        <w:gridCol w:w="146"/>
        <w:gridCol w:w="847"/>
        <w:gridCol w:w="146"/>
        <w:gridCol w:w="1479"/>
        <w:gridCol w:w="146"/>
        <w:gridCol w:w="1130"/>
        <w:gridCol w:w="146"/>
        <w:gridCol w:w="1265"/>
      </w:tblGrid>
      <w:tr>
        <w:trPr/>
        <w:tc>
          <w:tcPr>
            <w:tcW w:w="160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7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4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7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13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265" w:type="dxa"/>
            <w:tcBorders/>
            <w:shd w:fill="auto" w:val="clear"/>
            <w:vAlign w:val="center"/>
          </w:tcPr>
          <w:p>
            <w:pPr>
              <w:pStyle w:val="TableContents"/>
              <w:spacing w:before="0" w:after="283"/>
              <w:rPr>
                <w:sz w:val="4"/>
                <w:szCs w:val="4"/>
              </w:rPr>
            </w:pPr>
            <w:r>
              <w:rPr>
                <w:sz w:val="4"/>
                <w:szCs w:val="4"/>
              </w:rPr>
            </w:r>
          </w:p>
        </w:tc>
      </w:tr>
      <w:tr>
        <w:trPr/>
        <w:tc>
          <w:tcPr>
            <w:tcW w:w="1607" w:type="dxa"/>
            <w:tcBorders/>
            <w:shd w:fill="auto" w:val="clear"/>
            <w:vAlign w:val="center"/>
          </w:tcPr>
          <w:p>
            <w:pPr>
              <w:pStyle w:val="TableContents"/>
              <w:spacing w:before="0" w:after="0"/>
              <w:ind w:left="0" w:right="0" w:hanging="0"/>
              <w:jc w:val="left"/>
              <w:rPr>
                <w:rFonts w:ascii="Times New Roman;serif" w:hAnsi="Times New Roman;serif"/>
                <w:b/>
                <w:sz w:val="18"/>
                <w:u w:val="single"/>
              </w:rPr>
            </w:pPr>
            <w:r>
              <w:rPr>
                <w:rFonts w:ascii="Times New Roman;serif" w:hAnsi="Times New Roman;serif"/>
                <w:b/>
                <w:sz w:val="18"/>
                <w:u w:val="single"/>
              </w:rPr>
              <w:t>Three Months March 31, 2023</w:t>
            </w:r>
          </w:p>
        </w:tc>
        <w:tc>
          <w:tcPr>
            <w:tcW w:w="146" w:type="dxa"/>
            <w:tcBorders/>
            <w:shd w:fill="auto" w:val="clear"/>
            <w:vAlign w:val="center"/>
          </w:tcPr>
          <w:p>
            <w:pPr>
              <w:pStyle w:val="TableContents"/>
              <w:spacing w:before="0" w:after="0"/>
              <w:ind w:left="0" w:right="0" w:hanging="0"/>
              <w:jc w:val="left"/>
              <w:rPr/>
            </w:pPr>
            <w:r>
              <w:rPr/>
              <w:t> </w:t>
            </w:r>
          </w:p>
        </w:tc>
        <w:tc>
          <w:tcPr>
            <w:tcW w:w="1588"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Common Stock</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70" w:type="dxa"/>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Additional</w:t>
              <w:br/>
              <w:t>Paid-In Capital</w:t>
            </w:r>
          </w:p>
        </w:tc>
        <w:tc>
          <w:tcPr>
            <w:tcW w:w="146" w:type="dxa"/>
            <w:tcBorders/>
            <w:shd w:fill="auto" w:val="clear"/>
            <w:vAlign w:val="center"/>
          </w:tcPr>
          <w:p>
            <w:pPr>
              <w:pStyle w:val="TableContents"/>
              <w:spacing w:before="0" w:after="0"/>
              <w:ind w:left="0" w:right="0" w:hanging="0"/>
              <w:jc w:val="left"/>
              <w:rPr/>
            </w:pPr>
            <w:r>
              <w:rPr/>
              <w:t> </w:t>
            </w:r>
          </w:p>
        </w:tc>
        <w:tc>
          <w:tcPr>
            <w:tcW w:w="1624"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Treasury Stock</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79" w:type="dxa"/>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Accumulated</w:t>
              <w:br/>
              <w:t>Other Comprehensive Income (Loss)</w:t>
            </w:r>
          </w:p>
        </w:tc>
        <w:tc>
          <w:tcPr>
            <w:tcW w:w="146" w:type="dxa"/>
            <w:tcBorders/>
            <w:shd w:fill="auto" w:val="clear"/>
            <w:vAlign w:val="center"/>
          </w:tcPr>
          <w:p>
            <w:pPr>
              <w:pStyle w:val="TableContents"/>
              <w:spacing w:before="0" w:after="0"/>
              <w:ind w:left="0" w:right="0" w:hanging="0"/>
              <w:jc w:val="left"/>
              <w:rPr/>
            </w:pPr>
            <w:r>
              <w:rPr/>
              <w:t> </w:t>
            </w:r>
          </w:p>
        </w:tc>
        <w:tc>
          <w:tcPr>
            <w:tcW w:w="1130" w:type="dxa"/>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 xml:space="preserve">Accumulated </w:t>
              <w:br/>
              <w:t>Deficit</w:t>
            </w:r>
          </w:p>
        </w:tc>
        <w:tc>
          <w:tcPr>
            <w:tcW w:w="146" w:type="dxa"/>
            <w:tcBorders/>
            <w:shd w:fill="auto" w:val="clear"/>
            <w:vAlign w:val="center"/>
          </w:tcPr>
          <w:p>
            <w:pPr>
              <w:pStyle w:val="TableContents"/>
              <w:spacing w:before="0" w:after="0"/>
              <w:ind w:left="0" w:right="0" w:hanging="0"/>
              <w:jc w:val="center"/>
              <w:rPr/>
            </w:pPr>
            <w:r>
              <w:rPr/>
              <w:t> </w:t>
            </w:r>
          </w:p>
        </w:tc>
        <w:tc>
          <w:tcPr>
            <w:tcW w:w="1265" w:type="dxa"/>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Total</w:t>
              <w:br/>
              <w:t>Stockholders' Equity</w:t>
            </w:r>
          </w:p>
        </w:tc>
      </w:tr>
      <w:tr>
        <w:trPr/>
        <w:tc>
          <w:tcPr>
            <w:tcW w:w="160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7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2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607"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Balance at January 1, 2023</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105,167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$117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$636,266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12,225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$(211,223)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7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$(123,697)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2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$301,412</w:t>
            </w:r>
          </w:p>
        </w:tc>
      </w:tr>
      <w:tr>
        <w:trPr/>
        <w:tc>
          <w:tcPr>
            <w:tcW w:w="1607"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Net income</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97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84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7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130"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29,021</w:t>
            </w:r>
          </w:p>
        </w:tc>
        <w:tc>
          <w:tcPr>
            <w:tcW w:w="146" w:type="dxa"/>
            <w:tcBorders/>
            <w:shd w:fill="auto" w:val="clear"/>
            <w:vAlign w:val="center"/>
          </w:tcPr>
          <w:p>
            <w:pPr>
              <w:pStyle w:val="TableContents"/>
              <w:spacing w:before="0" w:after="0"/>
              <w:ind w:left="0" w:right="0" w:hanging="0"/>
              <w:jc w:val="right"/>
              <w:rPr/>
            </w:pPr>
            <w:r>
              <w:rPr/>
              <w:t> </w:t>
            </w:r>
          </w:p>
        </w:tc>
        <w:tc>
          <w:tcPr>
            <w:tcW w:w="1265"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29,021</w:t>
            </w:r>
          </w:p>
        </w:tc>
      </w:tr>
      <w:tr>
        <w:trPr/>
        <w:tc>
          <w:tcPr>
            <w:tcW w:w="1607"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Other comprehensive income</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97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84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79"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w:t>
            </w:r>
          </w:p>
        </w:tc>
        <w:tc>
          <w:tcPr>
            <w:tcW w:w="146" w:type="dxa"/>
            <w:tcBorders/>
            <w:shd w:fill="auto" w:val="clear"/>
            <w:vAlign w:val="center"/>
          </w:tcPr>
          <w:p>
            <w:pPr>
              <w:pStyle w:val="TableContents"/>
              <w:spacing w:before="0" w:after="0"/>
              <w:ind w:left="0" w:right="0" w:hanging="0"/>
              <w:jc w:val="left"/>
              <w:rPr/>
            </w:pPr>
            <w:r>
              <w:rPr/>
              <w:t> </w:t>
            </w:r>
          </w:p>
        </w:tc>
        <w:tc>
          <w:tcPr>
            <w:tcW w:w="113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right"/>
              <w:rPr/>
            </w:pPr>
            <w:r>
              <w:rPr/>
              <w:t> </w:t>
            </w:r>
          </w:p>
        </w:tc>
        <w:tc>
          <w:tcPr>
            <w:tcW w:w="1265"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w:t>
            </w:r>
          </w:p>
        </w:tc>
      </w:tr>
      <w:tr>
        <w:trPr/>
        <w:tc>
          <w:tcPr>
            <w:tcW w:w="1607"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8"/>
              </w:rPr>
              <w:t>Cash dividends paid on common stock ($0.05</w:t>
            </w:r>
            <w:r>
              <w:rPr>
                <w:rFonts w:ascii="Times New Roman" w:hAnsi="Times New Roman"/>
                <w:sz w:val="20"/>
              </w:rPr>
              <w:t> </w:t>
            </w:r>
            <w:r>
              <w:rPr>
                <w:rFonts w:ascii="Times New Roman;serif" w:hAnsi="Times New Roman;serif"/>
                <w:b w:val="false"/>
                <w:sz w:val="18"/>
              </w:rPr>
              <w:t>per share)</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970"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(5,314)</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84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7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13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right"/>
              <w:rPr/>
            </w:pPr>
            <w:r>
              <w:rPr/>
              <w:t> </w:t>
            </w:r>
          </w:p>
        </w:tc>
        <w:tc>
          <w:tcPr>
            <w:tcW w:w="1265"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(5,314)</w:t>
            </w:r>
          </w:p>
        </w:tc>
      </w:tr>
      <w:tr>
        <w:trPr/>
        <w:tc>
          <w:tcPr>
            <w:tcW w:w="1607"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Issuance of common stock in connection with exercise of stock options</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38</w:t>
            </w:r>
          </w:p>
        </w:tc>
        <w:tc>
          <w:tcPr>
            <w:tcW w:w="14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970"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409</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84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7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13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right"/>
              <w:rPr/>
            </w:pPr>
            <w:r>
              <w:rPr/>
              <w:t> </w:t>
            </w:r>
          </w:p>
        </w:tc>
        <w:tc>
          <w:tcPr>
            <w:tcW w:w="1265"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409</w:t>
            </w:r>
          </w:p>
        </w:tc>
      </w:tr>
      <w:tr>
        <w:trPr/>
        <w:tc>
          <w:tcPr>
            <w:tcW w:w="1607"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Issuance of restricted stock, net of shares canceled</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1,744</w:t>
            </w:r>
          </w:p>
        </w:tc>
        <w:tc>
          <w:tcPr>
            <w:tcW w:w="14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w:t>
            </w:r>
          </w:p>
        </w:tc>
        <w:tc>
          <w:tcPr>
            <w:tcW w:w="146" w:type="dxa"/>
            <w:tcBorders/>
            <w:shd w:fill="auto" w:val="clear"/>
            <w:vAlign w:val="center"/>
          </w:tcPr>
          <w:p>
            <w:pPr>
              <w:pStyle w:val="TableContents"/>
              <w:spacing w:before="0" w:after="0"/>
              <w:ind w:left="0" w:right="0" w:hanging="0"/>
              <w:jc w:val="left"/>
              <w:rPr/>
            </w:pPr>
            <w:r>
              <w:rPr/>
              <w:t> </w:t>
            </w:r>
          </w:p>
        </w:tc>
        <w:tc>
          <w:tcPr>
            <w:tcW w:w="97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84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7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13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right"/>
              <w:rPr/>
            </w:pPr>
            <w:r>
              <w:rPr/>
              <w:t> </w:t>
            </w:r>
          </w:p>
        </w:tc>
        <w:tc>
          <w:tcPr>
            <w:tcW w:w="1265"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w:t>
            </w:r>
          </w:p>
        </w:tc>
      </w:tr>
      <w:tr>
        <w:trPr/>
        <w:tc>
          <w:tcPr>
            <w:tcW w:w="1607"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Withholding taxes related to net share settlement of restricted awards</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(664)</w:t>
            </w:r>
          </w:p>
        </w:tc>
        <w:tc>
          <w:tcPr>
            <w:tcW w:w="14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97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664</w:t>
            </w:r>
          </w:p>
        </w:tc>
        <w:tc>
          <w:tcPr>
            <w:tcW w:w="146" w:type="dxa"/>
            <w:tcBorders/>
            <w:shd w:fill="auto" w:val="clear"/>
            <w:vAlign w:val="center"/>
          </w:tcPr>
          <w:p>
            <w:pPr>
              <w:pStyle w:val="TableContents"/>
              <w:spacing w:before="0" w:after="0"/>
              <w:ind w:left="0" w:right="0" w:hanging="0"/>
              <w:jc w:val="left"/>
              <w:rPr/>
            </w:pPr>
            <w:r>
              <w:rPr/>
              <w:t> </w:t>
            </w:r>
          </w:p>
        </w:tc>
        <w:tc>
          <w:tcPr>
            <w:tcW w:w="847"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(6,560)</w:t>
            </w:r>
          </w:p>
        </w:tc>
        <w:tc>
          <w:tcPr>
            <w:tcW w:w="146" w:type="dxa"/>
            <w:tcBorders/>
            <w:shd w:fill="auto" w:val="clear"/>
            <w:vAlign w:val="center"/>
          </w:tcPr>
          <w:p>
            <w:pPr>
              <w:pStyle w:val="TableContents"/>
              <w:spacing w:before="0" w:after="0"/>
              <w:ind w:left="0" w:right="0" w:hanging="0"/>
              <w:jc w:val="left"/>
              <w:rPr/>
            </w:pPr>
            <w:r>
              <w:rPr/>
              <w:t> </w:t>
            </w:r>
          </w:p>
        </w:tc>
        <w:tc>
          <w:tcPr>
            <w:tcW w:w="147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13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right"/>
              <w:rPr/>
            </w:pPr>
            <w:r>
              <w:rPr/>
              <w:t> </w:t>
            </w:r>
          </w:p>
        </w:tc>
        <w:tc>
          <w:tcPr>
            <w:tcW w:w="1265"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(6,560)</w:t>
            </w:r>
          </w:p>
        </w:tc>
      </w:tr>
      <w:tr>
        <w:trPr/>
        <w:tc>
          <w:tcPr>
            <w:tcW w:w="1607"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Stock-based compensation expense</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3,640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7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2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3,640</w:t>
            </w:r>
          </w:p>
        </w:tc>
      </w:tr>
      <w:tr>
        <w:trPr/>
        <w:tc>
          <w:tcPr>
            <w:tcW w:w="1607"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Balance at March 31, 2023</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106,285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$119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7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$635,001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12,889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$(217,783)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7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3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$(94,676)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26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$322,614</w:t>
            </w:r>
          </w:p>
        </w:tc>
      </w:tr>
    </w:tbl>
    <w:p>
      <w:pPr>
        <w:pStyle w:val="TextBody"/>
        <w:spacing w:before="0" w:after="0"/>
        <w:jc w:val="center"/>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The accompanying notes are an integral part of these unaudited condensed consolidated financial statements.</w:t>
      </w:r>
    </w:p>
    <w:p>
      <w:pPr>
        <w:pStyle w:val="TextBody"/>
        <w:spacing w:before="0" w:after="0"/>
        <w:jc w:val="center"/>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7</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ADEIA INC.</w:t>
      </w:r>
    </w:p>
    <w:p>
      <w:pPr>
        <w:pStyle w:val="TextBody"/>
        <w:spacing w:before="0" w:after="0"/>
        <w:jc w:val="center"/>
        <w:rPr>
          <w:rFonts w:ascii="Times New Roman;serif" w:hAnsi="Times New Roman;serif"/>
          <w:b/>
          <w:sz w:val="20"/>
        </w:rPr>
      </w:pPr>
      <w:r>
        <w:rPr>
          <w:rFonts w:ascii="Times New Roman;serif" w:hAnsi="Times New Roman;serif"/>
          <w:b/>
          <w:sz w:val="20"/>
        </w:rPr>
        <w:t>CONDENSED CONSOLIDATED STATEMENTS OF EQUITY</w:t>
      </w:r>
    </w:p>
    <w:p>
      <w:pPr>
        <w:pStyle w:val="TextBody"/>
        <w:spacing w:before="0" w:after="0"/>
        <w:jc w:val="center"/>
        <w:rPr>
          <w:rFonts w:ascii="Times New Roman;serif" w:hAnsi="Times New Roman;serif"/>
          <w:b/>
          <w:sz w:val="20"/>
        </w:rPr>
      </w:pPr>
      <w:r>
        <w:rPr>
          <w:rFonts w:ascii="Times New Roman;serif" w:hAnsi="Times New Roman;serif"/>
          <w:b/>
          <w:sz w:val="20"/>
        </w:rPr>
        <w:t>(in thousands, except per share amount)</w:t>
      </w:r>
    </w:p>
    <w:p>
      <w:pPr>
        <w:pStyle w:val="TextBody"/>
        <w:spacing w:before="0" w:after="0"/>
        <w:jc w:val="center"/>
        <w:rPr>
          <w:rFonts w:ascii="Times New Roman;serif" w:hAnsi="Times New Roman;serif"/>
          <w:b/>
          <w:sz w:val="20"/>
        </w:rPr>
      </w:pPr>
      <w:r>
        <w:rPr>
          <w:rFonts w:ascii="Times New Roman;serif" w:hAnsi="Times New Roman;serif"/>
          <w:b/>
          <w:sz w:val="20"/>
        </w:rPr>
        <w:t>(unaudited)</w:t>
      </w:r>
    </w:p>
    <w:p>
      <w:pPr>
        <w:pStyle w:val="TextBody"/>
        <w:spacing w:before="0" w:after="0"/>
        <w:jc w:val="center"/>
        <w:rPr/>
      </w:pPr>
      <w:r>
        <w:rPr/>
        <w:t> </w:t>
      </w:r>
    </w:p>
    <w:p>
      <w:pPr>
        <w:pStyle w:val="TextBody"/>
        <w:spacing w:before="0" w:after="0"/>
        <w:jc w:val="center"/>
        <w:rPr/>
      </w:pPr>
      <w:r>
        <w:rPr/>
        <w:t> </w:t>
      </w:r>
    </w:p>
    <w:tbl>
      <w:tblPr>
        <w:tblW w:w="10539" w:type="dxa"/>
        <w:jc w:val="left"/>
        <w:tblInd w:w="0" w:type="dxa"/>
        <w:tblCellMar>
          <w:top w:w="28" w:type="dxa"/>
          <w:left w:w="28" w:type="dxa"/>
          <w:bottom w:w="28" w:type="dxa"/>
          <w:right w:w="28" w:type="dxa"/>
        </w:tblCellMar>
      </w:tblPr>
      <w:tblGrid>
        <w:gridCol w:w="1293"/>
        <w:gridCol w:w="146"/>
        <w:gridCol w:w="691"/>
        <w:gridCol w:w="146"/>
        <w:gridCol w:w="691"/>
        <w:gridCol w:w="146"/>
        <w:gridCol w:w="916"/>
        <w:gridCol w:w="146"/>
        <w:gridCol w:w="601"/>
        <w:gridCol w:w="146"/>
        <w:gridCol w:w="842"/>
        <w:gridCol w:w="146"/>
        <w:gridCol w:w="1226"/>
        <w:gridCol w:w="146"/>
        <w:gridCol w:w="781"/>
        <w:gridCol w:w="146"/>
        <w:gridCol w:w="1218"/>
        <w:gridCol w:w="146"/>
        <w:gridCol w:w="966"/>
      </w:tblGrid>
      <w:tr>
        <w:trPr/>
        <w:tc>
          <w:tcPr>
            <w:tcW w:w="129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4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2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21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6" w:type="dxa"/>
            <w:tcBorders/>
            <w:shd w:fill="auto" w:val="clear"/>
            <w:vAlign w:val="center"/>
          </w:tcPr>
          <w:p>
            <w:pPr>
              <w:pStyle w:val="TableContents"/>
              <w:spacing w:before="0" w:after="283"/>
              <w:rPr>
                <w:sz w:val="4"/>
                <w:szCs w:val="4"/>
              </w:rPr>
            </w:pPr>
            <w:r>
              <w:rPr>
                <w:sz w:val="4"/>
                <w:szCs w:val="4"/>
              </w:rPr>
            </w:r>
          </w:p>
        </w:tc>
      </w:tr>
      <w:tr>
        <w:trPr/>
        <w:tc>
          <w:tcPr>
            <w:tcW w:w="129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4" w:type="dxa"/>
            <w:gridSpan w:val="1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 Company Stockholders' Equity</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1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66" w:type="dxa"/>
            <w:tcBorders/>
            <w:shd w:fill="auto" w:val="clear"/>
            <w:vAlign w:val="center"/>
          </w:tcPr>
          <w:p>
            <w:pPr>
              <w:pStyle w:val="TableContents"/>
              <w:spacing w:before="0" w:after="0"/>
              <w:ind w:left="0" w:right="0" w:hanging="0"/>
              <w:jc w:val="left"/>
              <w:rPr/>
            </w:pPr>
            <w:r>
              <w:rPr/>
              <w:t> </w:t>
            </w:r>
          </w:p>
        </w:tc>
      </w:tr>
      <w:tr>
        <w:trPr/>
        <w:tc>
          <w:tcPr>
            <w:tcW w:w="1293" w:type="dxa"/>
            <w:tcBorders/>
            <w:shd w:fill="auto" w:val="clear"/>
            <w:vAlign w:val="center"/>
          </w:tcPr>
          <w:p>
            <w:pPr>
              <w:pStyle w:val="TableContents"/>
              <w:spacing w:before="0" w:after="0"/>
              <w:ind w:left="0" w:right="0" w:hanging="0"/>
              <w:jc w:val="left"/>
              <w:rPr>
                <w:rFonts w:ascii="Times New Roman;serif" w:hAnsi="Times New Roman;serif"/>
                <w:b/>
                <w:sz w:val="16"/>
                <w:u w:val="single"/>
              </w:rPr>
            </w:pPr>
            <w:r>
              <w:rPr>
                <w:rFonts w:ascii="Times New Roman;serif" w:hAnsi="Times New Roman;serif"/>
                <w:b/>
                <w:sz w:val="16"/>
                <w:u w:val="single"/>
              </w:rPr>
              <w:t>Three Months Ended March 31, 2022</w:t>
            </w:r>
          </w:p>
        </w:tc>
        <w:tc>
          <w:tcPr>
            <w:tcW w:w="146" w:type="dxa"/>
            <w:tcBorders/>
            <w:shd w:fill="auto" w:val="clear"/>
            <w:vAlign w:val="center"/>
          </w:tcPr>
          <w:p>
            <w:pPr>
              <w:pStyle w:val="TableContents"/>
              <w:spacing w:before="0" w:after="0"/>
              <w:ind w:left="0" w:right="0" w:hanging="0"/>
              <w:jc w:val="left"/>
              <w:rPr/>
            </w:pPr>
            <w:r>
              <w:rPr/>
              <w:t> </w:t>
            </w:r>
          </w:p>
        </w:tc>
        <w:tc>
          <w:tcPr>
            <w:tcW w:w="1528"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Common Stock</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Additional</w:t>
              <w:br/>
              <w:t>Paid-In</w:t>
            </w:r>
          </w:p>
        </w:tc>
        <w:tc>
          <w:tcPr>
            <w:tcW w:w="146" w:type="dxa"/>
            <w:tcBorders/>
            <w:shd w:fill="auto" w:val="clear"/>
            <w:vAlign w:val="center"/>
          </w:tcPr>
          <w:p>
            <w:pPr>
              <w:pStyle w:val="TableContents"/>
              <w:spacing w:before="0" w:after="0"/>
              <w:ind w:left="0" w:right="0" w:hanging="0"/>
              <w:jc w:val="left"/>
              <w:rPr/>
            </w:pPr>
            <w:r>
              <w:rPr/>
              <w:t> </w:t>
            </w:r>
          </w:p>
        </w:tc>
        <w:tc>
          <w:tcPr>
            <w:tcW w:w="1589"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Treasury Stock</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26"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Accumulated</w:t>
              <w:br/>
              <w:t>Other</w:t>
              <w:br/>
              <w:t>Comprehensive Loss</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Retained </w:t>
              <w:br/>
              <w:t>Earnings</w:t>
            </w:r>
          </w:p>
        </w:tc>
        <w:tc>
          <w:tcPr>
            <w:tcW w:w="146" w:type="dxa"/>
            <w:tcBorders/>
            <w:shd w:fill="auto" w:val="clear"/>
            <w:vAlign w:val="center"/>
          </w:tcPr>
          <w:p>
            <w:pPr>
              <w:pStyle w:val="TableContents"/>
              <w:spacing w:before="0" w:after="0"/>
              <w:ind w:left="0" w:right="0" w:hanging="0"/>
              <w:jc w:val="center"/>
              <w:rPr/>
            </w:pPr>
            <w:r>
              <w:rPr/>
              <w:t> </w:t>
            </w:r>
          </w:p>
        </w:tc>
        <w:tc>
          <w:tcPr>
            <w:tcW w:w="1218"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Noncontrolling Interest</w:t>
            </w:r>
          </w:p>
        </w:tc>
        <w:tc>
          <w:tcPr>
            <w:tcW w:w="146" w:type="dxa"/>
            <w:tcBorders/>
            <w:shd w:fill="auto" w:val="clear"/>
            <w:vAlign w:val="center"/>
          </w:tcPr>
          <w:p>
            <w:pPr>
              <w:pStyle w:val="TableContents"/>
              <w:spacing w:before="0" w:after="0"/>
              <w:ind w:left="0" w:right="0" w:hanging="0"/>
              <w:jc w:val="left"/>
              <w:rPr/>
            </w:pPr>
            <w:r>
              <w:rPr/>
              <w:t> </w:t>
            </w:r>
          </w:p>
        </w:tc>
        <w:tc>
          <w:tcPr>
            <w:tcW w:w="966" w:type="dxa"/>
            <w:tcBorders/>
            <w:shd w:fill="auto" w:val="clear"/>
            <w:vAlign w:val="center"/>
          </w:tcPr>
          <w:p>
            <w:pPr>
              <w:pStyle w:val="TableContents"/>
              <w:spacing w:before="0" w:after="0"/>
              <w:ind w:left="0" w:right="0" w:hanging="0"/>
              <w:jc w:val="center"/>
              <w:rPr/>
            </w:pPr>
            <w:r>
              <w:rPr/>
              <w:t> </w:t>
            </w:r>
          </w:p>
        </w:tc>
      </w:tr>
      <w:tr>
        <w:trPr/>
        <w:tc>
          <w:tcPr>
            <w:tcW w:w="1293"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2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 Equity</w:t>
            </w:r>
          </w:p>
        </w:tc>
      </w:tr>
      <w:tr>
        <w:trPr/>
        <w:tc>
          <w:tcPr>
            <w:tcW w:w="1293"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Balance at January 1, 2022</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103,260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$113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$1,340,480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10,200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$(178,022)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$(752)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$187,814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2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$(9,205)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$1,340,428</w:t>
            </w:r>
          </w:p>
        </w:tc>
      </w:tr>
      <w:tr>
        <w:trPr/>
        <w:tc>
          <w:tcPr>
            <w:tcW w:w="1293"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Issuance of subsidiary shares to noncontrolling interest</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84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22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right"/>
              <w:rPr/>
            </w:pPr>
            <w:r>
              <w:rPr/>
              <w:t> </w:t>
            </w:r>
          </w:p>
        </w:tc>
        <w:tc>
          <w:tcPr>
            <w:tcW w:w="1218"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w:t>
            </w:r>
          </w:p>
        </w:tc>
        <w:tc>
          <w:tcPr>
            <w:tcW w:w="146" w:type="dxa"/>
            <w:tcBorders/>
            <w:shd w:fill="auto" w:val="clear"/>
            <w:vAlign w:val="center"/>
          </w:tcPr>
          <w:p>
            <w:pPr>
              <w:pStyle w:val="TableContents"/>
              <w:spacing w:before="0" w:after="0"/>
              <w:ind w:left="0" w:right="0" w:hanging="0"/>
              <w:jc w:val="left"/>
              <w:rPr/>
            </w:pPr>
            <w:r>
              <w:rPr/>
              <w:t> </w:t>
            </w:r>
          </w:p>
        </w:tc>
        <w:tc>
          <w:tcPr>
            <w:tcW w:w="966" w:type="dxa"/>
            <w:tcBorders/>
            <w:shd w:fill="auto" w:val="clear"/>
            <w:vAlign w:val="center"/>
          </w:tcPr>
          <w:p>
            <w:pPr>
              <w:pStyle w:val="TableContents"/>
              <w:spacing w:before="0" w:after="0"/>
              <w:ind w:left="0" w:right="0" w:hanging="0"/>
              <w:jc w:val="right"/>
              <w:rPr/>
            </w:pPr>
            <w:r>
              <w:rPr/>
              <w:t>—</w:t>
            </w:r>
          </w:p>
        </w:tc>
      </w:tr>
      <w:tr>
        <w:trPr/>
        <w:tc>
          <w:tcPr>
            <w:tcW w:w="1293"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Net income (loss)</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84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22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24,943</w:t>
            </w:r>
          </w:p>
        </w:tc>
        <w:tc>
          <w:tcPr>
            <w:tcW w:w="146" w:type="dxa"/>
            <w:tcBorders/>
            <w:shd w:fill="auto" w:val="clear"/>
            <w:vAlign w:val="center"/>
          </w:tcPr>
          <w:p>
            <w:pPr>
              <w:pStyle w:val="TableContents"/>
              <w:spacing w:before="0" w:after="0"/>
              <w:ind w:left="0" w:right="0" w:hanging="0"/>
              <w:jc w:val="right"/>
              <w:rPr/>
            </w:pPr>
            <w:r>
              <w:rPr/>
              <w:t> </w:t>
            </w:r>
          </w:p>
        </w:tc>
        <w:tc>
          <w:tcPr>
            <w:tcW w:w="1218"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(968)</w:t>
            </w:r>
          </w:p>
        </w:tc>
        <w:tc>
          <w:tcPr>
            <w:tcW w:w="146" w:type="dxa"/>
            <w:tcBorders/>
            <w:shd w:fill="auto" w:val="clear"/>
            <w:vAlign w:val="center"/>
          </w:tcPr>
          <w:p>
            <w:pPr>
              <w:pStyle w:val="TableContents"/>
              <w:spacing w:before="0" w:after="0"/>
              <w:ind w:left="0" w:right="0" w:hanging="0"/>
              <w:jc w:val="left"/>
              <w:rPr/>
            </w:pPr>
            <w:r>
              <w:rPr/>
              <w:t> </w:t>
            </w:r>
          </w:p>
        </w:tc>
        <w:tc>
          <w:tcPr>
            <w:tcW w:w="96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23,975</w:t>
            </w:r>
          </w:p>
        </w:tc>
      </w:tr>
      <w:tr>
        <w:trPr/>
        <w:tc>
          <w:tcPr>
            <w:tcW w:w="1293"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Other comprehensive loss</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84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22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(1,014)</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right"/>
              <w:rPr/>
            </w:pPr>
            <w:r>
              <w:rPr/>
              <w:t> </w:t>
            </w:r>
          </w:p>
        </w:tc>
        <w:tc>
          <w:tcPr>
            <w:tcW w:w="1218"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96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(1,014)</w:t>
            </w:r>
          </w:p>
        </w:tc>
      </w:tr>
      <w:tr>
        <w:trPr/>
        <w:tc>
          <w:tcPr>
            <w:tcW w:w="1293"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6"/>
              </w:rPr>
              <w:t>Cash dividends paid on common stock ($0.05</w:t>
            </w:r>
            <w:r>
              <w:rPr>
                <w:rFonts w:ascii="Times New Roman" w:hAnsi="Times New Roman"/>
                <w:sz w:val="20"/>
              </w:rPr>
              <w:t> </w:t>
            </w:r>
            <w:r>
              <w:rPr>
                <w:rFonts w:ascii="Times New Roman;serif" w:hAnsi="Times New Roman;serif"/>
                <w:b w:val="false"/>
                <w:sz w:val="16"/>
              </w:rPr>
              <w:t>per share)</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84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22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(5,218)</w:t>
            </w:r>
          </w:p>
        </w:tc>
        <w:tc>
          <w:tcPr>
            <w:tcW w:w="146" w:type="dxa"/>
            <w:tcBorders/>
            <w:shd w:fill="auto" w:val="clear"/>
            <w:vAlign w:val="center"/>
          </w:tcPr>
          <w:p>
            <w:pPr>
              <w:pStyle w:val="TableContents"/>
              <w:spacing w:before="0" w:after="0"/>
              <w:ind w:left="0" w:right="0" w:hanging="0"/>
              <w:jc w:val="right"/>
              <w:rPr/>
            </w:pPr>
            <w:r>
              <w:rPr/>
              <w:t> </w:t>
            </w:r>
          </w:p>
        </w:tc>
        <w:tc>
          <w:tcPr>
            <w:tcW w:w="1218"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96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(5,218)</w:t>
            </w:r>
          </w:p>
        </w:tc>
      </w:tr>
      <w:tr>
        <w:trPr/>
        <w:tc>
          <w:tcPr>
            <w:tcW w:w="1293"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Issuance of common stock in connection with exercise of stock options</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84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22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right"/>
              <w:rPr/>
            </w:pPr>
            <w:r>
              <w:rPr/>
              <w:t> </w:t>
            </w:r>
          </w:p>
        </w:tc>
        <w:tc>
          <w:tcPr>
            <w:tcW w:w="1218"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96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w:t>
            </w:r>
          </w:p>
        </w:tc>
      </w:tr>
      <w:tr>
        <w:trPr/>
        <w:tc>
          <w:tcPr>
            <w:tcW w:w="1293"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Issuance of common stock in connection with employee stock purchase plan</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739</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7,993</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84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22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right"/>
              <w:rPr/>
            </w:pPr>
            <w:r>
              <w:rPr/>
              <w:t> </w:t>
            </w:r>
          </w:p>
        </w:tc>
        <w:tc>
          <w:tcPr>
            <w:tcW w:w="1218"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96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7,994</w:t>
            </w:r>
          </w:p>
        </w:tc>
      </w:tr>
      <w:tr>
        <w:trPr/>
        <w:tc>
          <w:tcPr>
            <w:tcW w:w="1293"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Issuance of restricted stock, net of shares canceled</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1,609</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84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22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right"/>
              <w:rPr/>
            </w:pPr>
            <w:r>
              <w:rPr/>
              <w:t> </w:t>
            </w:r>
          </w:p>
        </w:tc>
        <w:tc>
          <w:tcPr>
            <w:tcW w:w="1218"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96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w:t>
            </w:r>
          </w:p>
        </w:tc>
      </w:tr>
      <w:tr>
        <w:trPr/>
        <w:tc>
          <w:tcPr>
            <w:tcW w:w="1293"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Repurchases of common stock, shares exchanged</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(659)</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497</w:t>
            </w:r>
          </w:p>
        </w:tc>
        <w:tc>
          <w:tcPr>
            <w:tcW w:w="146" w:type="dxa"/>
            <w:tcBorders/>
            <w:shd w:fill="auto" w:val="clear"/>
            <w:vAlign w:val="center"/>
          </w:tcPr>
          <w:p>
            <w:pPr>
              <w:pStyle w:val="TableContents"/>
              <w:spacing w:before="0" w:after="0"/>
              <w:ind w:left="0" w:right="0" w:hanging="0"/>
              <w:jc w:val="left"/>
              <w:rPr/>
            </w:pPr>
            <w:r>
              <w:rPr/>
              <w:t> </w:t>
            </w:r>
          </w:p>
        </w:tc>
        <w:tc>
          <w:tcPr>
            <w:tcW w:w="84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(11,068)</w:t>
            </w:r>
          </w:p>
        </w:tc>
        <w:tc>
          <w:tcPr>
            <w:tcW w:w="146" w:type="dxa"/>
            <w:tcBorders/>
            <w:shd w:fill="auto" w:val="clear"/>
            <w:vAlign w:val="center"/>
          </w:tcPr>
          <w:p>
            <w:pPr>
              <w:pStyle w:val="TableContents"/>
              <w:spacing w:before="0" w:after="0"/>
              <w:ind w:left="0" w:right="0" w:hanging="0"/>
              <w:jc w:val="left"/>
              <w:rPr/>
            </w:pPr>
            <w:r>
              <w:rPr/>
              <w:t> </w:t>
            </w:r>
          </w:p>
        </w:tc>
        <w:tc>
          <w:tcPr>
            <w:tcW w:w="122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right"/>
              <w:rPr/>
            </w:pPr>
            <w:r>
              <w:rPr/>
              <w:t> </w:t>
            </w:r>
          </w:p>
        </w:tc>
        <w:tc>
          <w:tcPr>
            <w:tcW w:w="1218"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96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(11,068)</w:t>
            </w:r>
          </w:p>
        </w:tc>
      </w:tr>
      <w:tr>
        <w:trPr/>
        <w:tc>
          <w:tcPr>
            <w:tcW w:w="1293"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Repurchases of common stock</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(1,029)</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1,029</w:t>
            </w:r>
          </w:p>
        </w:tc>
        <w:tc>
          <w:tcPr>
            <w:tcW w:w="146" w:type="dxa"/>
            <w:tcBorders/>
            <w:shd w:fill="auto" w:val="clear"/>
            <w:vAlign w:val="center"/>
          </w:tcPr>
          <w:p>
            <w:pPr>
              <w:pStyle w:val="TableContents"/>
              <w:spacing w:before="0" w:after="0"/>
              <w:ind w:left="0" w:right="0" w:hanging="0"/>
              <w:jc w:val="left"/>
              <w:rPr/>
            </w:pPr>
            <w:r>
              <w:rPr/>
              <w:t> </w:t>
            </w:r>
          </w:p>
        </w:tc>
        <w:tc>
          <w:tcPr>
            <w:tcW w:w="84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(17,260)</w:t>
            </w:r>
          </w:p>
        </w:tc>
        <w:tc>
          <w:tcPr>
            <w:tcW w:w="146" w:type="dxa"/>
            <w:tcBorders/>
            <w:shd w:fill="auto" w:val="clear"/>
            <w:vAlign w:val="center"/>
          </w:tcPr>
          <w:p>
            <w:pPr>
              <w:pStyle w:val="TableContents"/>
              <w:spacing w:before="0" w:after="0"/>
              <w:ind w:left="0" w:right="0" w:hanging="0"/>
              <w:jc w:val="left"/>
              <w:rPr/>
            </w:pPr>
            <w:r>
              <w:rPr/>
              <w:t> </w:t>
            </w:r>
          </w:p>
        </w:tc>
        <w:tc>
          <w:tcPr>
            <w:tcW w:w="122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right"/>
              <w:rPr/>
            </w:pPr>
            <w:r>
              <w:rPr/>
              <w:t> </w:t>
            </w:r>
          </w:p>
        </w:tc>
        <w:tc>
          <w:tcPr>
            <w:tcW w:w="1218"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96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(17,260)</w:t>
            </w:r>
          </w:p>
        </w:tc>
      </w:tr>
      <w:tr>
        <w:trPr/>
        <w:tc>
          <w:tcPr>
            <w:tcW w:w="1293"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Stock-based compensation expense</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16,804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2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16,804</w:t>
            </w:r>
          </w:p>
        </w:tc>
      </w:tr>
      <w:tr>
        <w:trPr/>
        <w:tc>
          <w:tcPr>
            <w:tcW w:w="1293"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Balance at March 31, 2022</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103,921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$116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$1,365,277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11,726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$(206,350)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$(1,766)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$207,539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21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$(10,169)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$1,354,647</w:t>
            </w:r>
          </w:p>
        </w:tc>
      </w:tr>
    </w:tbl>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The accompanying notes are an integral part of these unaudited condensed consolidated financial statements.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8</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ADEIA INC.</w:t>
      </w:r>
    </w:p>
    <w:p>
      <w:pPr>
        <w:pStyle w:val="TextBody"/>
        <w:spacing w:before="0" w:after="0"/>
        <w:jc w:val="center"/>
        <w:rPr>
          <w:rFonts w:ascii="Times New Roman;serif" w:hAnsi="Times New Roman;serif"/>
          <w:b/>
          <w:sz w:val="20"/>
        </w:rPr>
      </w:pPr>
      <w:bookmarkStart w:id="9" w:name="notes_to_condensed"/>
      <w:bookmarkEnd w:id="9"/>
      <w:r>
        <w:rPr>
          <w:rFonts w:ascii="Times New Roman;serif" w:hAnsi="Times New Roman;serif"/>
          <w:b/>
          <w:sz w:val="20"/>
        </w:rPr>
        <w:t>NOTES TO CONDENSED CONSOLIDATED FINANCIAL STATEMENTS</w:t>
      </w:r>
    </w:p>
    <w:p>
      <w:pPr>
        <w:pStyle w:val="TextBody"/>
        <w:spacing w:before="0" w:after="0"/>
        <w:jc w:val="center"/>
        <w:rPr>
          <w:rFonts w:ascii="Times New Roman;serif" w:hAnsi="Times New Roman;serif"/>
          <w:b/>
          <w:sz w:val="20"/>
        </w:rPr>
      </w:pPr>
      <w:r>
        <w:rPr>
          <w:rFonts w:ascii="Times New Roman;serif" w:hAnsi="Times New Roman;serif"/>
          <w:b/>
          <w:sz w:val="20"/>
        </w:rPr>
        <w:t>(unaudited)</w:t>
      </w:r>
    </w:p>
    <w:p>
      <w:pPr>
        <w:pStyle w:val="TextBody"/>
        <w:spacing w:before="240" w:after="0"/>
        <w:jc w:val="left"/>
        <w:rPr>
          <w:rFonts w:ascii="Times New Roman;serif" w:hAnsi="Times New Roman;serif"/>
          <w:b/>
          <w:sz w:val="20"/>
        </w:rPr>
      </w:pPr>
      <w:r>
        <w:rPr>
          <w:rFonts w:ascii="Times New Roman;serif" w:hAnsi="Times New Roman;serif"/>
          <w:b/>
          <w:sz w:val="20"/>
        </w:rPr>
        <w:t>NOTE 1 – THE COMPANY AND BASIS OF PRESENTATION</w:t>
      </w:r>
    </w:p>
    <w:p>
      <w:pPr>
        <w:pStyle w:val="TextBody"/>
        <w:spacing w:before="240" w:after="0"/>
        <w:jc w:val="left"/>
        <w:rPr>
          <w:rFonts w:ascii="Times New Roman" w:hAnsi="Times New Roman"/>
          <w:sz w:val="20"/>
        </w:rPr>
      </w:pPr>
      <w:r>
        <w:rPr>
          <w:rFonts w:ascii="Times New Roman;serif" w:hAnsi="Times New Roman;serif"/>
          <w:b w:val="false"/>
          <w:sz w:val="20"/>
        </w:rPr>
        <w:t>Adeia Inc. (the “Company”), a Delaware corporation, is one of the industry’s largest intellectual property (“IP”) licensing platforms, with a diverse portfolio of media and semiconductor IP and more than 9,950</w:t>
      </w:r>
      <w:r>
        <w:rPr>
          <w:rFonts w:ascii="Times New Roman" w:hAnsi="Times New Roman"/>
          <w:sz w:val="20"/>
        </w:rPr>
        <w:t xml:space="preserve"> </w:t>
      </w:r>
      <w:r>
        <w:rPr>
          <w:rFonts w:ascii="Times New Roman;serif" w:hAnsi="Times New Roman;serif"/>
          <w:b w:val="false"/>
          <w:sz w:val="20"/>
        </w:rPr>
        <w:t>patents and patent applications worldwide.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On October 1, 2022, the Company completed the previously announced separation (“the Separation”) of its product business into a separate, independent, publicly-traded company, Xperi Inc. (“Xperi Inc.”). The Separation was structured as a spin-off, which was achieved through the Company’s distribution of 100</w:t>
      </w:r>
      <w:r>
        <w:rPr>
          <w:rFonts w:ascii="Times New Roman" w:hAnsi="Times New Roman"/>
          <w:sz w:val="20"/>
        </w:rPr>
        <w:t xml:space="preserve"> </w:t>
      </w:r>
      <w:r>
        <w:rPr>
          <w:rFonts w:ascii="Times New Roman;serif" w:hAnsi="Times New Roman;serif"/>
          <w:b w:val="false"/>
          <w:sz w:val="20"/>
        </w:rPr>
        <w:t>percent of the outstanding shares of Xperi Inc.’s common stock to holders of the Company’s common stock as of the close of business on the record date of September 21, 2022 (the “Record Date”). Each Company stockholder of record received four</w:t>
      </w:r>
      <w:r>
        <w:rPr>
          <w:rFonts w:ascii="Times New Roman" w:hAnsi="Times New Roman"/>
          <w:sz w:val="20"/>
        </w:rPr>
        <w:t xml:space="preserve"> </w:t>
      </w:r>
      <w:r>
        <w:rPr>
          <w:rFonts w:ascii="Times New Roman;serif" w:hAnsi="Times New Roman;serif"/>
          <w:b w:val="false"/>
          <w:sz w:val="20"/>
        </w:rPr>
        <w:t>shares of Xperi Inc. common stock for every ten</w:t>
      </w:r>
      <w:r>
        <w:rPr>
          <w:rFonts w:ascii="Times New Roman" w:hAnsi="Times New Roman"/>
          <w:sz w:val="20"/>
        </w:rPr>
        <w:t xml:space="preserve"> </w:t>
      </w:r>
      <w:r>
        <w:rPr>
          <w:rFonts w:ascii="Times New Roman;serif" w:hAnsi="Times New Roman;serif"/>
          <w:b w:val="false"/>
          <w:sz w:val="20"/>
        </w:rPr>
        <w:t>shares of Company common stock that it held on the Record Date. Following the Separation, the Company retains no</w:t>
      </w:r>
      <w:r>
        <w:rPr>
          <w:rFonts w:ascii="Times New Roman" w:hAnsi="Times New Roman"/>
          <w:sz w:val="20"/>
        </w:rPr>
        <w:t xml:space="preserve"> </w:t>
      </w:r>
      <w:r>
        <w:rPr>
          <w:rFonts w:ascii="Times New Roman;serif" w:hAnsi="Times New Roman;serif"/>
          <w:b w:val="false"/>
          <w:sz w:val="20"/>
        </w:rPr>
        <w:t>ownership in Xperi Inc., which is now listed under the ticker symbol “XPER” on the New York Stock Exchange. Effective at the open of business on October 3, 2022, the Company’s shares of common stock, par value $0.001</w:t>
      </w:r>
      <w:r>
        <w:rPr>
          <w:rFonts w:ascii="Times New Roman" w:hAnsi="Times New Roman"/>
          <w:sz w:val="20"/>
        </w:rPr>
        <w:t xml:space="preserve"> </w:t>
      </w:r>
      <w:r>
        <w:rPr>
          <w:rFonts w:ascii="Times New Roman;serif" w:hAnsi="Times New Roman;serif"/>
          <w:b w:val="false"/>
          <w:sz w:val="20"/>
        </w:rPr>
        <w:t>per share, began trading on the Nasdaq Global Select Market under the new ticker symbol “ADEA”.</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 xml:space="preserve">The accounting requirements for reporting the separation of Xperi Inc. as a discontinued operation were met when the Separation was completed. Accordingly, the historical financial results of Xperi Inc. for periods prior to the Separation are presented as net loss from discontinued operations, net of tax on the Condensed Consolidated Statements of Operations. For further information on discontinued operations, see “Note 7 – </w:t>
      </w:r>
      <w:r>
        <w:rPr>
          <w:rFonts w:ascii="Times New Roman;serif" w:hAnsi="Times New Roman;serif"/>
          <w:b w:val="false"/>
          <w:i/>
          <w:sz w:val="20"/>
        </w:rPr>
        <w:t>Discontinued Operations”</w:t>
      </w:r>
      <w:r>
        <w:rPr>
          <w:rFonts w:ascii="Times New Roman;serif" w:hAnsi="Times New Roman;serif"/>
          <w:b w:val="false"/>
          <w:sz w:val="20"/>
        </w:rPr>
        <w:t>. Unless noted otherwise, discussion in the Notes to the Condensed Consolidated Financial Statements pertains to continuing operations.</w:t>
      </w:r>
    </w:p>
    <w:p>
      <w:pPr>
        <w:pStyle w:val="TextBody"/>
        <w:spacing w:before="240" w:after="0"/>
        <w:jc w:val="left"/>
        <w:rPr>
          <w:rFonts w:ascii="Times New Roman" w:hAnsi="Times New Roman"/>
          <w:sz w:val="20"/>
        </w:rPr>
      </w:pPr>
      <w:r>
        <w:rPr>
          <w:rFonts w:ascii="Times New Roman;serif" w:hAnsi="Times New Roman;serif"/>
          <w:b w:val="false"/>
          <w:sz w:val="20"/>
        </w:rPr>
        <w:t>Additionally, as a result of the Separation, the Company changed its operational structure in the fourth quarter of 2022, resulting in one</w:t>
      </w:r>
      <w:r>
        <w:rPr>
          <w:rFonts w:ascii="Times New Roman" w:hAnsi="Times New Roman"/>
          <w:sz w:val="20"/>
        </w:rPr>
        <w:t xml:space="preserve"> </w:t>
      </w:r>
      <w:r>
        <w:rPr>
          <w:rFonts w:ascii="Times New Roman;serif" w:hAnsi="Times New Roman;serif"/>
          <w:b w:val="false"/>
          <w:sz w:val="20"/>
        </w:rPr>
        <w:t>reportable segment: IP Licensing.</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accompanying interim unaudited Condensed Consolidated Financial Statements have been prepared by the Company in accordance with generally accepted accounting principles (“GAAP”) in the United States (“U.S.”) and the applicable rules and regulations of the Securities and Exchange Commission (“SEC”) for interim financial information. The amounts as of December 31, 2022 have been derived from the Company’s annual audited Consolidated Financial Statements included in its Annual Report on Form 10-K for the year ended December 31, 2022, filed on March 1, 2023 (the “Form 10-K”). Certain information and footnote disclosures normally included in financial statements prepared in accordance with U.S. GAAP have been condensed or omitted in accordance with such rules and regulations. In the opinion of management, the accompanying unaudited Condensed Consolidated Financial Statements reflect all adjustments necessary (consisting of normal recurring adjustments) to state fairly the financial position of the Company and its results of operations and cash flows as of and for the periods presented. These Condensed Consolidated Financial Statements should be read in conjunction with the annual audited Consolidated Financial Statements and notes thereto included in the Form 10-K as of and for the year ended December 31, 2022.</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results of operations for the three months ended March 31, 2023 are not necessarily indicative of the results that may be expected for the full year ending December 31, 2023 or any future period and the Company makes no representations related thereto.</w:t>
      </w:r>
    </w:p>
    <w:p>
      <w:pPr>
        <w:pStyle w:val="TextBody"/>
        <w:spacing w:before="240" w:after="0"/>
        <w:jc w:val="left"/>
        <w:rPr>
          <w:rFonts w:ascii="Times New Roman;serif" w:hAnsi="Times New Roman;serif"/>
          <w:b/>
          <w:i/>
          <w:sz w:val="20"/>
        </w:rPr>
      </w:pPr>
      <w:r>
        <w:rPr>
          <w:rFonts w:ascii="Times New Roman;serif" w:hAnsi="Times New Roman;serif"/>
          <w:b/>
          <w:i/>
          <w:sz w:val="20"/>
        </w:rPr>
        <w:t>Reclassification</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Certain reclassifications have been made to prior period balances in order to conform to the current period’s presentation.</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9</w:t>
      </w:r>
    </w:p>
    <w:p>
      <w:pPr>
        <w:pStyle w:val="HorizontalLine"/>
        <w:rPr/>
      </w:pPr>
      <w:r>
        <w:rPr/>
      </w:r>
    </w:p>
    <w:p>
      <w:pPr>
        <w:pStyle w:val="TextBody"/>
        <w:spacing w:before="0" w:after="0"/>
        <w:jc w:val="left"/>
        <w:rPr/>
      </w:pPr>
      <w:r>
        <w:rPr/>
        <w:t> </w:t>
      </w:r>
    </w:p>
    <w:p>
      <w:pPr>
        <w:pStyle w:val="TextBody"/>
        <w:spacing w:before="240" w:after="0"/>
        <w:jc w:val="left"/>
        <w:rPr>
          <w:rFonts w:ascii="Times New Roman;serif" w:hAnsi="Times New Roman;serif"/>
          <w:b/>
          <w:sz w:val="20"/>
        </w:rPr>
      </w:pPr>
      <w:r>
        <w:rPr>
          <w:rFonts w:ascii="Times New Roman;serif" w:hAnsi="Times New Roman;serif"/>
          <w:b/>
          <w:sz w:val="20"/>
        </w:rPr>
        <w:t>NOTE 2 – SUMMARY OF SIGNIFICANT ACCOUNTING POLICIES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There have been no significant changes in the Company’s significant accounting policies during the three months ended March 31, 2023, as compared to the significant accounting policies described in the Form 10-K.</w:t>
      </w:r>
    </w:p>
    <w:p>
      <w:pPr>
        <w:pStyle w:val="TextBody"/>
        <w:spacing w:before="240" w:after="0"/>
        <w:jc w:val="left"/>
        <w:rPr>
          <w:rFonts w:ascii="Times New Roman;serif" w:hAnsi="Times New Roman;serif"/>
          <w:b/>
          <w:i/>
          <w:sz w:val="20"/>
        </w:rPr>
      </w:pPr>
      <w:r>
        <w:rPr>
          <w:rFonts w:ascii="Times New Roman;serif" w:hAnsi="Times New Roman;serif"/>
          <w:b/>
          <w:i/>
          <w:sz w:val="20"/>
        </w:rPr>
        <w:t>Use of Estimates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preparation of financial statements in conformity with U.S. GAAP requires management to make estimates and assumptions that affect the amounts reported in the financial statements and accompanying notes. The accounting estimates and assumptions that require management’s most significant, challenging and subjective judgment include identifying the performance obligations in the contract, estimating variable consideration, estimating quarterly royalties prior to receiving the royalty reports from the licensees, determining standalone selling prices, allocating consideration in a contract with multiple performance obligations, the assessment of the recoverability of goodwill, the assessment of useful lives and recoverability of other intangible assets and long-lived assets, recognition and measurement of current and deferred income tax assets and liabilities, the assessment of unrecognized tax benefits and purchase accounting resulting from business combinations, among others. Actual results experienced by the Company may differ from management’s estimates. These estimates may change, as new events occur and additional information is obtained, and are recognized in the consolidated financial statements as soon as they become known.</w:t>
      </w:r>
    </w:p>
    <w:p>
      <w:pPr>
        <w:pStyle w:val="TextBody"/>
        <w:spacing w:before="240" w:after="0"/>
        <w:jc w:val="left"/>
        <w:rPr>
          <w:rFonts w:ascii="Times New Roman;serif" w:hAnsi="Times New Roman;serif"/>
          <w:b/>
          <w:i/>
          <w:sz w:val="20"/>
        </w:rPr>
      </w:pPr>
      <w:r>
        <w:rPr>
          <w:rFonts w:ascii="Times New Roman;serif" w:hAnsi="Times New Roman;serif"/>
          <w:b/>
          <w:i/>
          <w:sz w:val="20"/>
        </w:rPr>
        <w:t>Recent Accounting Pronouncements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 March 2020, the FASB issued ASU 2020-04, Reference Rate Reform (Topic 848): Facilitation of the Effects of Reference Rate Reform on Financial Reporting (“ASU 2020-04”). ASU 2020-04 provides optional expedients and exceptions for applying U.S. GAAP to contracts, hedging relationships, and other transactions affected by reference rate reform if certain criteria are met. The amendments in ASU 2020-04 apply only to contracts, hedging relationships, and other transactions that reference the London Interbank Offered Rate (“LIBOR”) or another reference rate expected to be discontinued because of reference rate reform. In January 2021, the FASB issued ASU 2021-01, Reference Rate Reform (Topic 848), which provides further clarification on the scope of Topic 848 so that derivatives affected by the discounting transition are explicitly eligible for certain optional expedients and exceptions in Topic 848. ASU 2020-04 became effective upon issuance and may be applied prospectively to contract modifications made on or before December 31, 2022. ASU 2021-01 became effective upon issuance and may be applied on a full retrospective basis as of any date from the beginning of an interim period that includes or is subsequent to March 12, 2020 or prospectively for contract modifications made on or before December 31, 2022. In December 2022, the FASB issued ASU 2022-06, Reference Rate Reform (Topic 848): Deferral of the Sunset Date of Topic 848 (“ASU 2022-06”), which deferred the application dates of Topic 848 to December 31, 2024.</w:t>
      </w:r>
    </w:p>
    <w:p>
      <w:pPr>
        <w:pStyle w:val="TextBody"/>
        <w:spacing w:before="240" w:after="0"/>
        <w:jc w:val="left"/>
        <w:rPr>
          <w:rFonts w:ascii="Times New Roman" w:hAnsi="Times New Roman"/>
          <w:sz w:val="20"/>
        </w:rPr>
      </w:pPr>
      <w:r>
        <w:rPr>
          <w:rFonts w:ascii="Times New Roman;serif" w:hAnsi="Times New Roman;serif"/>
          <w:b w:val="false"/>
          <w:sz w:val="20"/>
        </w:rPr>
        <w:t>The Company currently has debt agreements that reference LIBOR and will apply the amendments prospectively through December 31, 2024 as these contracts are modified to reference other rates. The Company does not anticipate the adoption will have a material impact to the Company’s Condensed Consolidated Financial Statements.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sz w:val="20"/>
        </w:rPr>
        <w:t>NOTE 3 – REVENUE</w:t>
      </w:r>
      <w:r>
        <w:rPr>
          <w:rFonts w:ascii="Times New Roman" w:hAnsi="Times New Roman"/>
          <w:sz w:val="20"/>
        </w:rPr>
        <w:t xml:space="preserve"> </w:t>
      </w:r>
    </w:p>
    <w:p>
      <w:pPr>
        <w:pStyle w:val="TextBody"/>
        <w:spacing w:before="240" w:after="0"/>
        <w:jc w:val="left"/>
        <w:rPr>
          <w:rFonts w:ascii="Times New Roman;serif" w:hAnsi="Times New Roman;serif"/>
          <w:b/>
          <w:sz w:val="20"/>
        </w:rPr>
      </w:pPr>
      <w:r>
        <w:rPr>
          <w:rFonts w:ascii="Times New Roman;serif" w:hAnsi="Times New Roman;serif"/>
          <w:b/>
          <w:sz w:val="20"/>
        </w:rPr>
        <w:t>Revenue Recognition</w:t>
      </w:r>
    </w:p>
    <w:p>
      <w:pPr>
        <w:pStyle w:val="TextBody"/>
        <w:spacing w:before="240" w:after="0"/>
        <w:jc w:val="left"/>
        <w:rPr>
          <w:rFonts w:ascii="Times New Roman;serif" w:hAnsi="Times New Roman;serif"/>
          <w:b w:val="false"/>
          <w:i/>
          <w:sz w:val="20"/>
        </w:rPr>
      </w:pPr>
      <w:r>
        <w:rPr>
          <w:rFonts w:ascii="Times New Roman;serif" w:hAnsi="Times New Roman;serif"/>
          <w:b w:val="false"/>
          <w:i/>
          <w:sz w:val="20"/>
        </w:rPr>
        <w:t>General</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Revenue is recognized when control of the intellectual property (“IP”) rights is transferred to a customer in an amount that reflects the consideration the Company expects to be entitled to in exchange for the licensing of the Company’s IP, which may include various combinations of IP rights and services which are generally capable of being distinct and accounted for as separate performance obligations. In situations where foreign withholding taxes are withheld by the Company’s licensee, revenue is recognized gross of withholding taxes that are remitted directly by the licensee to a local tax authority.</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Some of the Company’s contracts with customers contain multiple performance obligations. For these contracts, the individual performance obligations are separately accounted for if they are distinct. In a contract with multiple performance obligations, the transaction price is allocated among the separate performance obligations on a relative standalone selling price basis. The determination of standalone selling price considers market conditions, the size and scope of the contract, customer and geographic information, and other factors. When observable prices are not available, standalone selling price for separate performance obligations is based on the adjusted market assessment approach to estimate the price that a customer in the relevant market would be willing to pay for licensing the Company’s IP rights. The allocation of transaction price among performance obligations in a contract may impact the amount and timing of revenue recognized in the Condensed Consolidated Statements of Operations during a given period.</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10</w:t>
      </w:r>
    </w:p>
    <w:p>
      <w:pPr>
        <w:pStyle w:val="HorizontalLine"/>
        <w:rPr/>
      </w:pPr>
      <w:r>
        <w:rPr/>
      </w:r>
    </w:p>
    <w:p>
      <w:pPr>
        <w:pStyle w:val="TextBody"/>
        <w:spacing w:before="0" w:after="0"/>
        <w:jc w:val="left"/>
        <w:rPr/>
      </w:pPr>
      <w:r>
        <w:rPr/>
        <w:t>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When a contract with a customer includes variable consideration, an estimate of the consideration which the Company expects to be entitled to for transferring the promised IP rights or services is made at contract inception and in each subsequent reporting period until the uncertainty associated with the variable consideration is resolved. The amount of variable consideration is estimated by considering all available information (historical, current, and forecast) and is updated as additional information becomes available. The estimate of variable consideration is included in the transaction price to the extent it is probable that a significant reversal of cumulative revenue recognized will not occur when the uncertainty associated with the variable consideration is resolved. Subsequent changes in the transaction price resulting from changes in the estimate of variable consideration are allocated to the performance obligations in the contract on the same basis as at contract inception.</w:t>
      </w:r>
    </w:p>
    <w:p>
      <w:pPr>
        <w:pStyle w:val="TextBody"/>
        <w:spacing w:before="240" w:after="0"/>
        <w:jc w:val="left"/>
        <w:rPr>
          <w:rFonts w:ascii="Times New Roman" w:hAnsi="Times New Roman"/>
          <w:sz w:val="20"/>
        </w:rPr>
      </w:pPr>
      <w:r>
        <w:rPr>
          <w:rFonts w:ascii="Times New Roman;serif" w:hAnsi="Times New Roman;serif"/>
          <w:b w:val="false"/>
          <w:sz w:val="20"/>
        </w:rPr>
        <w:t>When variable consideration is in the form of a sales-based or usage-based royalty in exchange for a license of IP, revenue is recognized at the later of when the subsequent sale or usage occurs or the performance obligation to which some or all of the sales-based or usage-based royalty has been allocated has been satisfied or partially satisfied.</w:t>
      </w:r>
      <w:r>
        <w:rPr>
          <w:rFonts w:ascii="Times New Roman" w:hAnsi="Times New Roman"/>
          <w:sz w:val="20"/>
        </w:rPr>
        <w:t xml:space="preserve"> </w:t>
      </w:r>
    </w:p>
    <w:p>
      <w:pPr>
        <w:pStyle w:val="TextBody"/>
        <w:spacing w:before="240" w:after="0"/>
        <w:jc w:val="left"/>
        <w:rPr>
          <w:rFonts w:ascii="Times New Roman;serif" w:hAnsi="Times New Roman;serif"/>
          <w:b w:val="false"/>
          <w:i/>
          <w:sz w:val="20"/>
        </w:rPr>
      </w:pPr>
      <w:r>
        <w:rPr>
          <w:rFonts w:ascii="Times New Roman;serif" w:hAnsi="Times New Roman;serif"/>
          <w:b w:val="false"/>
          <w:i/>
          <w:sz w:val="20"/>
        </w:rPr>
        <w:t>Description of Revenue-Generating Activities</w:t>
      </w:r>
    </w:p>
    <w:p>
      <w:pPr>
        <w:pStyle w:val="TextBody"/>
        <w:spacing w:before="240" w:after="0"/>
        <w:jc w:val="left"/>
        <w:rPr>
          <w:rFonts w:ascii="Times New Roman;serif" w:hAnsi="Times New Roman;serif"/>
          <w:b/>
          <w:sz w:val="20"/>
        </w:rPr>
      </w:pPr>
      <w:r>
        <w:rPr>
          <w:rFonts w:ascii="Times New Roman;serif" w:hAnsi="Times New Roman;serif"/>
          <w:b/>
          <w:sz w:val="20"/>
        </w:rPr>
        <w:t>IP License Arrangements</w:t>
      </w:r>
    </w:p>
    <w:p>
      <w:pPr>
        <w:pStyle w:val="TextBody"/>
        <w:spacing w:before="240" w:after="0"/>
        <w:jc w:val="left"/>
        <w:rPr>
          <w:rFonts w:ascii="Times New Roman" w:hAnsi="Times New Roman"/>
          <w:sz w:val="20"/>
        </w:rPr>
      </w:pPr>
      <w:r>
        <w:rPr>
          <w:rFonts w:ascii="Times New Roman;serif" w:hAnsi="Times New Roman;serif"/>
          <w:b w:val="false"/>
          <w:sz w:val="20"/>
        </w:rPr>
        <w:t>The Company licenses (i) its media patent portfolios (“Media IP licensing”) to multichannel video programming distributors, over-the-top video service providers, consumer electronics manufacturers, social media and other new media companies and (ii) its semiconductor technologies and associated patent portfolios (“Semiconductor IP licensing”) to memory, logic, sensors, radio frequency component and foundry companies. The Company generally licenses its IP portfolios under three</w:t>
      </w:r>
      <w:r>
        <w:rPr>
          <w:rFonts w:ascii="Times New Roman" w:hAnsi="Times New Roman"/>
          <w:sz w:val="20"/>
        </w:rPr>
        <w:t xml:space="preserve"> </w:t>
      </w:r>
      <w:r>
        <w:rPr>
          <w:rFonts w:ascii="Times New Roman;serif" w:hAnsi="Times New Roman;serif"/>
          <w:b w:val="false"/>
          <w:sz w:val="20"/>
        </w:rPr>
        <w:t>models: (i) fixed-fee Media IP licensing, (ii) fixed-fee or minimum guarantee Semiconductor IP licensing, and (iii) per-unit or per-subscriber Media IP or Semiconductor IP royalty licensing.</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Fixed-fee Media IP Licensing</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Company’s long-term, fixed-fee Media IP licensing contracts provide its customers with rights to future patented technologies over the term of the contract that are highly interdependent or highly interrelated to the patented technologies provided at the inception of the contract. The Company treats these rights as a single performance obligation with revenue recognized on a straight-line basis over the term of the fixed-fee license contract.</w:t>
      </w:r>
    </w:p>
    <w:p>
      <w:pPr>
        <w:pStyle w:val="TextBody"/>
        <w:spacing w:before="240" w:after="0"/>
        <w:jc w:val="left"/>
        <w:rPr>
          <w:rFonts w:ascii="Times New Roman;serif" w:hAnsi="Times New Roman;serif"/>
          <w:b/>
          <w:i/>
          <w:sz w:val="20"/>
        </w:rPr>
      </w:pPr>
      <w:r>
        <w:rPr>
          <w:rFonts w:ascii="Times New Roman;serif" w:hAnsi="Times New Roman;serif"/>
          <w:b/>
          <w:i/>
          <w:sz w:val="20"/>
        </w:rPr>
        <w:t>Fixed-fee or Minimum Guarantee Semiconductor IP Licensing</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Company has entered into Semiconductor IP licenses that have a fixed fee or a minimum guarantee, whereby licensees pay a fixed fee for the right to incorporate the Company’s IP technologies in the licensee’s products over the license term. In contracts with a minimum guarantee, the fixed fee component corresponds to a minimum number of units or dollars that the customer must produce or pay, with additional per-unit fees for any units or dollars exceeding the minimum. The Company generally recognizes the full fixed fee as revenue at the beginning of the license term when the customer has the right to use the IP and begins to benefit from the license, net of the effect of any significant financing components calculated using customer-specific, risk-adjusted lending rates, with the related interest income being recognized over time on an effective rate basis. For minimum guarantee contracts where the customer exceeds the minimum, the Company recognizes revenue relating to any additional per-unit fees in the periods it believes the customer has exceeded the minimum and adjusts the revenue based on actual usage once that is reported by the customer.</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11</w:t>
      </w:r>
    </w:p>
    <w:p>
      <w:pPr>
        <w:pStyle w:val="HorizontalLine"/>
        <w:rPr/>
      </w:pPr>
      <w:r>
        <w:rPr/>
      </w:r>
    </w:p>
    <w:p>
      <w:pPr>
        <w:pStyle w:val="TextBody"/>
        <w:spacing w:before="0" w:after="0"/>
        <w:jc w:val="left"/>
        <w:rPr/>
      </w:pPr>
      <w:r>
        <w:rPr/>
        <w:t> </w:t>
      </w:r>
    </w:p>
    <w:p>
      <w:pPr>
        <w:pStyle w:val="TextBody"/>
        <w:spacing w:before="240" w:after="0"/>
        <w:jc w:val="left"/>
        <w:rPr>
          <w:rFonts w:ascii="Times New Roman;serif" w:hAnsi="Times New Roman;serif"/>
          <w:b/>
          <w:i/>
          <w:sz w:val="20"/>
        </w:rPr>
      </w:pPr>
      <w:r>
        <w:rPr>
          <w:rFonts w:ascii="Times New Roman;serif" w:hAnsi="Times New Roman;serif"/>
          <w:b/>
          <w:i/>
          <w:sz w:val="20"/>
        </w:rPr>
        <w:t>Per-unit or Per-subscriber Media IP or Semiconductor IP Royalty Licensing</w:t>
      </w:r>
    </w:p>
    <w:p>
      <w:pPr>
        <w:pStyle w:val="TextBody"/>
        <w:spacing w:before="240" w:after="0"/>
        <w:jc w:val="left"/>
        <w:rPr>
          <w:rFonts w:ascii="Times New Roman" w:hAnsi="Times New Roman"/>
          <w:sz w:val="20"/>
        </w:rPr>
      </w:pPr>
      <w:r>
        <w:rPr>
          <w:rFonts w:ascii="Times New Roman;serif" w:hAnsi="Times New Roman;serif"/>
          <w:b w:val="false"/>
          <w:sz w:val="20"/>
        </w:rPr>
        <w:t>The Company recognizes revenue from per-unit or per-subscriber IP royalty licenses in the period in which the licensee’s sales or production are estimated to have occurred, which results in an adjustment to revenue when actual sales or production are subsequently reported by the licensee, which is generally in the month or quarter following usage or shipment. Estimating customers’ monthly or quarterly royalties prior to receiving the royalty reports requires the Company to make significant assumptions and judgments related to forecasted trends and growth rates used to estimate quantities shipped or manufactured by customers, which could have a material impact on the amount of revenue it reports on a quarterly basis.</w:t>
      </w:r>
      <w:r>
        <w:rPr>
          <w:rFonts w:ascii="Times New Roman" w:hAnsi="Times New Roman"/>
          <w:sz w:val="20"/>
        </w:rPr>
        <w:t xml:space="preserve"> </w:t>
      </w:r>
    </w:p>
    <w:p>
      <w:pPr>
        <w:pStyle w:val="TextBody"/>
        <w:spacing w:before="240" w:after="0"/>
        <w:jc w:val="left"/>
        <w:rPr>
          <w:rFonts w:ascii="Times New Roman;serif" w:hAnsi="Times New Roman;serif"/>
          <w:b/>
          <w:i/>
          <w:sz w:val="20"/>
        </w:rPr>
      </w:pPr>
      <w:r>
        <w:rPr>
          <w:rFonts w:ascii="Times New Roman;serif" w:hAnsi="Times New Roman;serif"/>
          <w:b/>
          <w:i/>
          <w:sz w:val="20"/>
        </w:rPr>
        <w:t>IP License Contracts with Multiple Performance Obligations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At times, the Company enters into long-term license contracts with more than one performance obligation, which may include releases from past patent infringement claims or one or more prospective licenses. In these arrangements, the Company allocates the transaction price between releases for past patent infringement claims and prospective licenses based on their relative standalone selling prices, which requires significant management judgment. In determining the standalone selling price of each performance obligation, the Company considers such factors as the number of past and projected future subscribers, units shipped and units manufactured, as well as the per-subscriber or per-unit licensing rates the Company generally receives from licensees of comparable sizes in comparable markets and geographies. As a release from past patent infringement claims is generally satisfied at execution of the contract, the transaction price allocated to the release from past patent infringement claims is generally recognized in the period the contract is executed. Transaction price allocated to prospective Media IP licenses is recognized ratably over the license term, and transaction price allocated to prospective Semiconductor IP licenses is recognized upon execution of the contract.</w:t>
      </w:r>
    </w:p>
    <w:p>
      <w:pPr>
        <w:pStyle w:val="TextBody"/>
        <w:spacing w:before="240" w:after="0"/>
        <w:jc w:val="left"/>
        <w:rPr>
          <w:rFonts w:ascii="Times New Roman;serif" w:hAnsi="Times New Roman;serif"/>
          <w:b w:val="false"/>
          <w:i/>
          <w:sz w:val="20"/>
        </w:rPr>
      </w:pPr>
      <w:r>
        <w:rPr>
          <w:rFonts w:ascii="Times New Roman;serif" w:hAnsi="Times New Roman;serif"/>
          <w:b w:val="false"/>
          <w:i/>
          <w:sz w:val="20"/>
        </w:rPr>
        <w:t>Practical Expedients and Exemptions</w:t>
      </w:r>
    </w:p>
    <w:p>
      <w:pPr>
        <w:pStyle w:val="TextBody"/>
        <w:spacing w:before="240" w:after="0"/>
        <w:jc w:val="left"/>
        <w:rPr>
          <w:rFonts w:ascii="Times New Roman" w:hAnsi="Times New Roman"/>
          <w:sz w:val="20"/>
        </w:rPr>
      </w:pPr>
      <w:r>
        <w:rPr>
          <w:rFonts w:ascii="Times New Roman;serif" w:hAnsi="Times New Roman;serif"/>
          <w:b w:val="false"/>
          <w:sz w:val="20"/>
        </w:rPr>
        <w:t>The Company applies a practical expedient to not perform an evaluation of whether a contract includes a significant financing component when the timing of revenue recognition differs from the timing of cash collection by one year</w:t>
      </w:r>
      <w:r>
        <w:rPr>
          <w:rFonts w:ascii="Times New Roman" w:hAnsi="Times New Roman"/>
          <w:sz w:val="20"/>
        </w:rPr>
        <w:t xml:space="preserve"> </w:t>
      </w:r>
      <w:r>
        <w:rPr>
          <w:rFonts w:ascii="Times New Roman;serif" w:hAnsi="Times New Roman;serif"/>
          <w:b w:val="false"/>
          <w:sz w:val="20"/>
        </w:rPr>
        <w:t>or less.</w:t>
      </w:r>
    </w:p>
    <w:p>
      <w:pPr>
        <w:pStyle w:val="TextBody"/>
        <w:spacing w:before="240" w:after="0"/>
        <w:jc w:val="left"/>
        <w:rPr>
          <w:rFonts w:ascii="Times New Roman" w:hAnsi="Times New Roman"/>
          <w:sz w:val="20"/>
        </w:rPr>
      </w:pPr>
      <w:r>
        <w:rPr>
          <w:rFonts w:ascii="Times New Roman;serif" w:hAnsi="Times New Roman;serif"/>
          <w:b w:val="false"/>
          <w:sz w:val="20"/>
        </w:rPr>
        <w:t>The Company applies a practical expedient to expense costs to obtain a contract with a customer as incurred as a component of selling, general and administrative expenses when the amortization period would have been one year</w:t>
      </w:r>
      <w:r>
        <w:rPr>
          <w:rFonts w:ascii="Times New Roman" w:hAnsi="Times New Roman"/>
          <w:sz w:val="20"/>
        </w:rPr>
        <w:t xml:space="preserve"> </w:t>
      </w:r>
      <w:r>
        <w:rPr>
          <w:rFonts w:ascii="Times New Roman;serif" w:hAnsi="Times New Roman;serif"/>
          <w:b w:val="false"/>
          <w:sz w:val="20"/>
        </w:rPr>
        <w:t>or less.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Company applies a practical expedient when disclosing revenue expected to be recognized from unsatisfied performance obligations to exclude contracts with customers with an original duration of less than one year; amounts attributable to variable consideration arising from (i) a sales-based or usage-based royalty of an IP license or (ii) when variable consideration is allocated entirely to a wholly unsatisfied performance obligation; or to a wholly unsatisfied promise to transfer a distinct good or service that forms part of a single performance obligation.</w:t>
      </w:r>
    </w:p>
    <w:p>
      <w:pPr>
        <w:pStyle w:val="TextBody"/>
        <w:spacing w:before="240" w:after="0"/>
        <w:jc w:val="left"/>
        <w:rPr>
          <w:rFonts w:ascii="Times New Roman;serif" w:hAnsi="Times New Roman;serif"/>
          <w:b/>
          <w:sz w:val="20"/>
        </w:rPr>
      </w:pPr>
      <w:r>
        <w:rPr>
          <w:rFonts w:ascii="Times New Roman;serif" w:hAnsi="Times New Roman;serif"/>
          <w:b/>
          <w:sz w:val="20"/>
        </w:rPr>
        <w:t>Revenue Details</w:t>
      </w:r>
    </w:p>
    <w:p>
      <w:pPr>
        <w:pStyle w:val="TextBody"/>
        <w:spacing w:before="240" w:after="0"/>
        <w:jc w:val="left"/>
        <w:rPr>
          <w:rFonts w:ascii="Times New Roman;serif" w:hAnsi="Times New Roman;serif"/>
          <w:b/>
          <w:sz w:val="20"/>
        </w:rPr>
      </w:pPr>
      <w:r>
        <w:rPr>
          <w:rFonts w:ascii="Times New Roman;serif" w:hAnsi="Times New Roman;serif"/>
          <w:b/>
          <w:sz w:val="20"/>
        </w:rPr>
        <w:t>Contract Balances</w:t>
      </w:r>
    </w:p>
    <w:p>
      <w:pPr>
        <w:pStyle w:val="TextBody"/>
        <w:spacing w:before="240" w:after="0"/>
        <w:jc w:val="left"/>
        <w:rPr>
          <w:rFonts w:ascii="Times New Roman;serif" w:hAnsi="Times New Roman;serif"/>
          <w:b w:val="false"/>
          <w:i/>
          <w:sz w:val="20"/>
        </w:rPr>
      </w:pPr>
      <w:r>
        <w:rPr>
          <w:rFonts w:ascii="Times New Roman;serif" w:hAnsi="Times New Roman;serif"/>
          <w:b w:val="false"/>
          <w:i/>
          <w:sz w:val="20"/>
        </w:rPr>
        <w:t>Contracts Assets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Contract assets primarily consist of unbilled contracts receivable that are expected to be received from customers in future periods, where the revenue recognized to date exceeds the amount billed. The amount of unbilled contracts receivable may not exceed their net realizable value and are classified as long-term assets if the payments are expected to be received more than one year from the reporting date. Contract assets also include the incremental costs of obtaining a contract with a customer, principally sales commissions when the renewal commission is not commensurate with the initial commission.</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Contract assets were recorded in the Condensed Consolidated Balance Sheets as follows (in thousands):</w:t>
      </w:r>
    </w:p>
    <w:p>
      <w:pPr>
        <w:pStyle w:val="TextBody"/>
        <w:spacing w:before="0" w:after="0"/>
        <w:jc w:val="left"/>
        <w:rPr/>
      </w:pPr>
      <w:r>
        <w:rPr/>
        <w:t> </w:t>
      </w:r>
    </w:p>
    <w:tbl>
      <w:tblPr>
        <w:tblW w:w="7635" w:type="dxa"/>
        <w:jc w:val="left"/>
        <w:tblInd w:w="0" w:type="dxa"/>
        <w:tblCellMar>
          <w:top w:w="28" w:type="dxa"/>
          <w:left w:w="28" w:type="dxa"/>
          <w:bottom w:w="28" w:type="dxa"/>
          <w:right w:w="28" w:type="dxa"/>
        </w:tblCellMar>
      </w:tblPr>
      <w:tblGrid>
        <w:gridCol w:w="3541"/>
        <w:gridCol w:w="146"/>
        <w:gridCol w:w="306"/>
        <w:gridCol w:w="1134"/>
        <w:gridCol w:w="146"/>
        <w:gridCol w:w="146"/>
        <w:gridCol w:w="367"/>
        <w:gridCol w:w="1358"/>
        <w:gridCol w:w="491"/>
      </w:tblGrid>
      <w:tr>
        <w:trPr/>
        <w:tc>
          <w:tcPr>
            <w:tcW w:w="35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113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1358"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r>
      <w:tr>
        <w:trPr/>
        <w:tc>
          <w:tcPr>
            <w:tcW w:w="354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4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March 31, 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2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December 31, 2022</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5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Unbilled contracts receivable</w:t>
            </w:r>
          </w:p>
        </w:tc>
        <w:tc>
          <w:tcPr>
            <w:tcW w:w="146" w:type="dxa"/>
            <w:tcBorders/>
            <w:shd w:fill="auto" w:val="clear"/>
            <w:vAlign w:val="center"/>
          </w:tcPr>
          <w:p>
            <w:pPr>
              <w:pStyle w:val="TableContents"/>
              <w:spacing w:before="0" w:after="0"/>
              <w:ind w:left="0" w:right="0" w:hanging="0"/>
              <w:jc w:val="left"/>
              <w:rPr/>
            </w:pPr>
            <w:r>
              <w:rPr/>
              <w:t> </w:t>
            </w:r>
          </w:p>
        </w:tc>
        <w:tc>
          <w:tcPr>
            <w:tcW w:w="3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3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77,948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5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73,754</w:t>
            </w:r>
          </w:p>
        </w:tc>
        <w:tc>
          <w:tcPr>
            <w:tcW w:w="491" w:type="dxa"/>
            <w:tcBorders/>
            <w:shd w:fill="auto" w:val="clear"/>
            <w:vAlign w:val="center"/>
          </w:tcPr>
          <w:p>
            <w:pPr>
              <w:pStyle w:val="TableContents"/>
              <w:spacing w:before="0" w:after="0"/>
              <w:ind w:left="0" w:right="0" w:hanging="0"/>
              <w:jc w:val="left"/>
              <w:rPr/>
            </w:pPr>
            <w:r>
              <w:rPr/>
              <w:t> </w:t>
            </w:r>
          </w:p>
        </w:tc>
      </w:tr>
      <w:tr>
        <w:trPr/>
        <w:tc>
          <w:tcPr>
            <w:tcW w:w="35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current assets</w:t>
            </w:r>
          </w:p>
        </w:tc>
        <w:tc>
          <w:tcPr>
            <w:tcW w:w="146" w:type="dxa"/>
            <w:tcBorders/>
            <w:shd w:fill="auto" w:val="clear"/>
            <w:vAlign w:val="center"/>
          </w:tcPr>
          <w:p>
            <w:pPr>
              <w:pStyle w:val="TableContents"/>
              <w:spacing w:before="0" w:after="0"/>
              <w:ind w:left="0" w:right="0" w:hanging="0"/>
              <w:jc w:val="left"/>
              <w:rPr/>
            </w:pPr>
            <w:r>
              <w:rPr/>
              <w:t> </w:t>
            </w:r>
          </w:p>
        </w:tc>
        <w:tc>
          <w:tcPr>
            <w:tcW w:w="306" w:type="dxa"/>
            <w:tcBorders/>
            <w:shd w:fill="auto" w:val="clear"/>
            <w:vAlign w:val="center"/>
          </w:tcPr>
          <w:p>
            <w:pPr>
              <w:pStyle w:val="TableContents"/>
              <w:spacing w:before="0" w:after="0"/>
              <w:ind w:left="0" w:right="0" w:hanging="0"/>
              <w:jc w:val="left"/>
              <w:rPr/>
            </w:pPr>
            <w:r>
              <w:rPr/>
              <w:t> </w:t>
            </w:r>
          </w:p>
        </w:tc>
        <w:tc>
          <w:tcPr>
            <w:tcW w:w="113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7" w:type="dxa"/>
            <w:tcBorders/>
            <w:shd w:fill="auto" w:val="clear"/>
            <w:vAlign w:val="center"/>
          </w:tcPr>
          <w:p>
            <w:pPr>
              <w:pStyle w:val="TableContents"/>
              <w:spacing w:before="0" w:after="0"/>
              <w:ind w:left="0" w:right="0" w:hanging="0"/>
              <w:jc w:val="left"/>
              <w:rPr/>
            </w:pPr>
            <w:r>
              <w:rPr/>
              <w:t> </w:t>
            </w:r>
          </w:p>
        </w:tc>
        <w:tc>
          <w:tcPr>
            <w:tcW w:w="135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512</w:t>
            </w:r>
          </w:p>
        </w:tc>
        <w:tc>
          <w:tcPr>
            <w:tcW w:w="491" w:type="dxa"/>
            <w:tcBorders/>
            <w:shd w:fill="auto" w:val="clear"/>
            <w:vAlign w:val="center"/>
          </w:tcPr>
          <w:p>
            <w:pPr>
              <w:pStyle w:val="TableContents"/>
              <w:spacing w:before="0" w:after="0"/>
              <w:ind w:left="0" w:right="0" w:hanging="0"/>
              <w:jc w:val="left"/>
              <w:rPr/>
            </w:pPr>
            <w:r>
              <w:rPr/>
              <w:t> </w:t>
            </w:r>
          </w:p>
        </w:tc>
      </w:tr>
      <w:tr>
        <w:trPr/>
        <w:tc>
          <w:tcPr>
            <w:tcW w:w="354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Long-term unbilled contracts receivable</w:t>
            </w:r>
            <w:r>
              <w:rPr>
                <w:rFonts w:ascii="Times New Roman;serif" w:hAnsi="Times New Roman;serif"/>
                <w:b w:val="false"/>
                <w:sz w:val="13"/>
              </w:rPr>
              <w:t>(1)</w:t>
            </w:r>
          </w:p>
        </w:tc>
        <w:tc>
          <w:tcPr>
            <w:tcW w:w="146" w:type="dxa"/>
            <w:tcBorders/>
            <w:shd w:fill="auto" w:val="clear"/>
            <w:vAlign w:val="center"/>
          </w:tcPr>
          <w:p>
            <w:pPr>
              <w:pStyle w:val="TableContents"/>
              <w:spacing w:before="0" w:after="0"/>
              <w:ind w:left="0" w:right="0" w:hanging="0"/>
              <w:jc w:val="left"/>
              <w:rPr/>
            </w:pPr>
            <w:r>
              <w:rPr/>
              <w:t> </w:t>
            </w:r>
          </w:p>
        </w:tc>
        <w:tc>
          <w:tcPr>
            <w:tcW w:w="306" w:type="dxa"/>
            <w:tcBorders/>
            <w:shd w:fill="auto" w:val="clear"/>
            <w:vAlign w:val="center"/>
          </w:tcPr>
          <w:p>
            <w:pPr>
              <w:pStyle w:val="TableContents"/>
              <w:spacing w:before="0" w:after="0"/>
              <w:ind w:left="0" w:right="0" w:hanging="0"/>
              <w:jc w:val="left"/>
              <w:rPr/>
            </w:pPr>
            <w:r>
              <w:rPr/>
              <w:t> </w:t>
            </w:r>
          </w:p>
        </w:tc>
        <w:tc>
          <w:tcPr>
            <w:tcW w:w="113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64,124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7" w:type="dxa"/>
            <w:tcBorders/>
            <w:shd w:fill="auto" w:val="clear"/>
            <w:vAlign w:val="center"/>
          </w:tcPr>
          <w:p>
            <w:pPr>
              <w:pStyle w:val="TableContents"/>
              <w:spacing w:before="0" w:after="0"/>
              <w:ind w:left="0" w:right="0" w:hanging="0"/>
              <w:jc w:val="left"/>
              <w:rPr/>
            </w:pPr>
            <w:r>
              <w:rPr/>
              <w:t> </w:t>
            </w:r>
          </w:p>
        </w:tc>
        <w:tc>
          <w:tcPr>
            <w:tcW w:w="135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40,705</w:t>
            </w:r>
          </w:p>
        </w:tc>
        <w:tc>
          <w:tcPr>
            <w:tcW w:w="491" w:type="dxa"/>
            <w:tcBorders/>
            <w:shd w:fill="auto" w:val="clear"/>
            <w:vAlign w:val="center"/>
          </w:tcPr>
          <w:p>
            <w:pPr>
              <w:pStyle w:val="TableContents"/>
              <w:spacing w:before="0" w:after="0"/>
              <w:ind w:left="0" w:right="0" w:hanging="0"/>
              <w:jc w:val="left"/>
              <w:rPr/>
            </w:pPr>
            <w:r>
              <w:rPr/>
              <w:t> </w:t>
            </w:r>
          </w:p>
        </w:tc>
      </w:tr>
      <w:tr>
        <w:trPr/>
        <w:tc>
          <w:tcPr>
            <w:tcW w:w="35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long-term assets</w:t>
            </w:r>
          </w:p>
        </w:tc>
        <w:tc>
          <w:tcPr>
            <w:tcW w:w="146" w:type="dxa"/>
            <w:tcBorders/>
            <w:shd w:fill="auto" w:val="clear"/>
            <w:vAlign w:val="center"/>
          </w:tcPr>
          <w:p>
            <w:pPr>
              <w:pStyle w:val="TableContents"/>
              <w:spacing w:before="0" w:after="0"/>
              <w:ind w:left="0" w:right="0" w:hanging="0"/>
              <w:jc w:val="left"/>
              <w:rPr/>
            </w:pPr>
            <w:r>
              <w:rPr/>
              <w:t> </w:t>
            </w:r>
          </w:p>
        </w:tc>
        <w:tc>
          <w:tcPr>
            <w:tcW w:w="3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3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1,101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5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1,144</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300"/>
              <w:jc w:val="left"/>
              <w:rPr/>
            </w:pPr>
            <w:r>
              <w:rPr/>
              <w:t> </w:t>
            </w:r>
          </w:p>
        </w:tc>
      </w:tr>
      <w:tr>
        <w:trPr/>
        <w:tc>
          <w:tcPr>
            <w:tcW w:w="3541" w:type="dxa"/>
            <w:tcBorders/>
            <w:shd w:fill="auto" w:val="clear"/>
            <w:vAlign w:val="center"/>
          </w:tcPr>
          <w:p>
            <w:pPr>
              <w:pStyle w:val="TableContents"/>
              <w:spacing w:before="0" w:after="0"/>
              <w:ind w:left="300" w:right="0" w:hanging="0"/>
              <w:jc w:val="left"/>
              <w:rPr>
                <w:rFonts w:ascii="Times New Roman;serif" w:hAnsi="Times New Roman;serif"/>
                <w:b w:val="false"/>
                <w:sz w:val="20"/>
              </w:rPr>
            </w:pPr>
            <w:r>
              <w:rPr>
                <w:rFonts w:ascii="Times New Roman;serif" w:hAnsi="Times New Roman;serif"/>
                <w:b w:val="false"/>
                <w:sz w:val="20"/>
              </w:rPr>
              <w:t>Total contract assets</w:t>
            </w:r>
          </w:p>
        </w:tc>
        <w:tc>
          <w:tcPr>
            <w:tcW w:w="146" w:type="dxa"/>
            <w:tcBorders/>
            <w:shd w:fill="auto" w:val="clear"/>
            <w:vAlign w:val="center"/>
          </w:tcPr>
          <w:p>
            <w:pPr>
              <w:pStyle w:val="TableContents"/>
              <w:spacing w:before="0" w:after="0"/>
              <w:ind w:left="0" w:right="0" w:hanging="0"/>
              <w:jc w:val="left"/>
              <w:rPr/>
            </w:pPr>
            <w:r>
              <w:rPr/>
              <w:t> </w:t>
            </w:r>
          </w:p>
        </w:tc>
        <w:tc>
          <w:tcPr>
            <w:tcW w:w="30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3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143,707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5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116,115</w:t>
            </w:r>
          </w:p>
        </w:tc>
        <w:tc>
          <w:tcPr>
            <w:tcW w:w="4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40" w:after="0"/>
        <w:jc w:val="left"/>
        <w:rPr>
          <w:rFonts w:ascii="Times New Roman" w:hAnsi="Times New Roman"/>
          <w:sz w:val="20"/>
        </w:rPr>
      </w:pPr>
      <w:r>
        <w:rPr>
          <w:rFonts w:ascii="Times New Roman;serif" w:hAnsi="Times New Roman;serif"/>
          <w:b w:val="false"/>
          <w:sz w:val="13"/>
        </w:rPr>
        <w:t>(1)</w:t>
      </w:r>
      <w:r>
        <w:rPr>
          <w:rFonts w:ascii="Times New Roman" w:hAnsi="Times New Roman"/>
          <w:sz w:val="20"/>
        </w:rPr>
        <w:t xml:space="preserve"> </w:t>
      </w:r>
      <w:r>
        <w:rPr>
          <w:rFonts w:ascii="Times New Roman;serif" w:hAnsi="Times New Roman;serif"/>
          <w:b w:val="false"/>
          <w:sz w:val="20"/>
        </w:rPr>
        <w:t>The long-term unbilled contracts receivable increase relates primarily to the recognition of revenue from two long-term semiconductor patent portfolio license agreements entered into during the three months ended March 31, 2023.</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12</w:t>
      </w:r>
    </w:p>
    <w:p>
      <w:pPr>
        <w:pStyle w:val="HorizontalLine"/>
        <w:rPr/>
      </w:pPr>
      <w:r>
        <w:rPr/>
      </w:r>
    </w:p>
    <w:p>
      <w:pPr>
        <w:pStyle w:val="TextBody"/>
        <w:spacing w:before="0" w:after="0"/>
        <w:jc w:val="left"/>
        <w:rPr/>
      </w:pPr>
      <w:r>
        <w:rPr/>
        <w:t> </w:t>
      </w:r>
    </w:p>
    <w:p>
      <w:pPr>
        <w:pStyle w:val="TextBody"/>
        <w:spacing w:before="240" w:after="0"/>
        <w:jc w:val="left"/>
        <w:rPr>
          <w:rFonts w:ascii="Times New Roman;serif" w:hAnsi="Times New Roman;serif"/>
          <w:b w:val="false"/>
          <w:i/>
          <w:sz w:val="20"/>
        </w:rPr>
      </w:pPr>
      <w:r>
        <w:rPr>
          <w:rFonts w:ascii="Times New Roman;serif" w:hAnsi="Times New Roman;serif"/>
          <w:b w:val="false"/>
          <w:i/>
          <w:sz w:val="20"/>
        </w:rPr>
        <w:t>Contract Liabilities</w:t>
      </w:r>
    </w:p>
    <w:p>
      <w:pPr>
        <w:pStyle w:val="TextBody"/>
        <w:spacing w:before="240" w:after="0"/>
        <w:jc w:val="left"/>
        <w:rPr>
          <w:rFonts w:ascii="Times New Roman" w:hAnsi="Times New Roman"/>
          <w:sz w:val="20"/>
        </w:rPr>
      </w:pPr>
      <w:r>
        <w:rPr>
          <w:rFonts w:ascii="Times New Roman;serif" w:hAnsi="Times New Roman;serif"/>
          <w:b w:val="false"/>
          <w:sz w:val="20"/>
        </w:rPr>
        <w:t>Contract liabilities are comprised of deferred revenue related to multi-period licensing arrangements for which the Company is paid in advance, while the underlying performance obligation is satisfied at a future date or over time.</w:t>
      </w:r>
      <w:r>
        <w:rPr>
          <w:rFonts w:ascii="Times New Roman" w:hAnsi="Times New Roman"/>
          <w:sz w:val="20"/>
        </w:rPr>
        <w:t xml:space="preserve"> </w:t>
      </w:r>
    </w:p>
    <w:p>
      <w:pPr>
        <w:pStyle w:val="TextBody"/>
        <w:spacing w:before="240" w:after="0"/>
        <w:jc w:val="left"/>
        <w:rPr>
          <w:rFonts w:ascii="Times New Roman;serif" w:hAnsi="Times New Roman;serif"/>
          <w:b/>
          <w:sz w:val="20"/>
        </w:rPr>
      </w:pPr>
      <w:r>
        <w:rPr>
          <w:rFonts w:ascii="Times New Roman;serif" w:hAnsi="Times New Roman;serif"/>
          <w:b/>
          <w:sz w:val="20"/>
        </w:rPr>
        <w:t>Allowance for Credit Losses</w:t>
      </w:r>
    </w:p>
    <w:p>
      <w:pPr>
        <w:pStyle w:val="TextBody"/>
        <w:spacing w:before="240" w:after="0"/>
        <w:jc w:val="left"/>
        <w:rPr>
          <w:rFonts w:ascii="Times New Roman" w:hAnsi="Times New Roman"/>
          <w:sz w:val="20"/>
        </w:rPr>
      </w:pPr>
      <w:r>
        <w:rPr>
          <w:rFonts w:ascii="Times New Roman;serif" w:hAnsi="Times New Roman;serif"/>
          <w:b w:val="false"/>
          <w:sz w:val="20"/>
        </w:rPr>
        <w:t>The allowance for credit losses represents the Company’s best estimate of lifetime expected credit losses inherent in accounts receivable and unbilled contracts receivable. The Company’s long-term unbilled contracts receivable is derived from fixed-fee or minimum-guarantee Semiconductor IP licensing and is primarily comprised of contracts with large, well-capitalized companies. It is generally considered to be of high credit quality due to past collection history and the nature of the customers.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The Company allowance for credit losses at March 31, 2023 and December 31, 2022 was $1.5</w:t>
      </w:r>
      <w:r>
        <w:rPr>
          <w:rFonts w:ascii="Times New Roman" w:hAnsi="Times New Roman"/>
          <w:sz w:val="20"/>
        </w:rPr>
        <w:t xml:space="preserve"> </w:t>
      </w:r>
      <w:r>
        <w:rPr>
          <w:rFonts w:ascii="Times New Roman;serif" w:hAnsi="Times New Roman;serif"/>
          <w:b w:val="false"/>
          <w:sz w:val="20"/>
        </w:rPr>
        <w:t>million and $0.7</w:t>
      </w:r>
      <w:r>
        <w:rPr>
          <w:rFonts w:ascii="Times New Roman" w:hAnsi="Times New Roman"/>
          <w:sz w:val="20"/>
        </w:rPr>
        <w:t xml:space="preserve"> </w:t>
      </w:r>
      <w:r>
        <w:rPr>
          <w:rFonts w:ascii="Times New Roman;serif" w:hAnsi="Times New Roman;serif"/>
          <w:b w:val="false"/>
          <w:sz w:val="20"/>
        </w:rPr>
        <w:t>million, respectively and it is presented as part of accounts receivable, net in the Condensed Consolidated Balance Sheets.</w:t>
      </w:r>
      <w:r>
        <w:rPr>
          <w:rFonts w:ascii="Times New Roman" w:hAnsi="Times New Roman"/>
          <w:sz w:val="20"/>
        </w:rPr>
        <w:t xml:space="preserve"> </w:t>
      </w:r>
    </w:p>
    <w:p>
      <w:pPr>
        <w:pStyle w:val="TextBody"/>
        <w:spacing w:before="240" w:after="0"/>
        <w:jc w:val="left"/>
        <w:rPr>
          <w:rFonts w:ascii="Times New Roman;serif" w:hAnsi="Times New Roman;serif"/>
          <w:b/>
          <w:sz w:val="20"/>
        </w:rPr>
      </w:pPr>
      <w:r>
        <w:rPr>
          <w:rFonts w:ascii="Times New Roman;serif" w:hAnsi="Times New Roman;serif"/>
          <w:b/>
          <w:sz w:val="20"/>
        </w:rPr>
        <w:t>Additional Disclosures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following table presents additional revenue and contract disclosures (in thousands):</w:t>
      </w:r>
    </w:p>
    <w:p>
      <w:pPr>
        <w:pStyle w:val="TextBody"/>
        <w:spacing w:before="0" w:after="0"/>
        <w:jc w:val="left"/>
        <w:rPr/>
      </w:pPr>
      <w:r>
        <w:rPr/>
        <w:t> </w:t>
      </w:r>
    </w:p>
    <w:tbl>
      <w:tblPr>
        <w:tblW w:w="8141" w:type="dxa"/>
        <w:jc w:val="left"/>
        <w:tblInd w:w="0" w:type="dxa"/>
        <w:tblCellMar>
          <w:top w:w="28" w:type="dxa"/>
          <w:left w:w="28" w:type="dxa"/>
          <w:bottom w:w="28" w:type="dxa"/>
          <w:right w:w="28" w:type="dxa"/>
        </w:tblCellMar>
      </w:tblPr>
      <w:tblGrid>
        <w:gridCol w:w="5686"/>
        <w:gridCol w:w="146"/>
        <w:gridCol w:w="218"/>
        <w:gridCol w:w="590"/>
        <w:gridCol w:w="151"/>
        <w:gridCol w:w="151"/>
        <w:gridCol w:w="218"/>
        <w:gridCol w:w="590"/>
        <w:gridCol w:w="391"/>
      </w:tblGrid>
      <w:tr>
        <w:trPr/>
        <w:tc>
          <w:tcPr>
            <w:tcW w:w="56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56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1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 xml:space="preserve">Three Months Ended </w:t>
              <w:br/>
              <w:t>March 31,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6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0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1" w:type="dxa"/>
            <w:tcBorders/>
            <w:shd w:fill="auto" w:val="clear"/>
            <w:vAlign w:val="center"/>
          </w:tcPr>
          <w:p>
            <w:pPr>
              <w:pStyle w:val="TableContents"/>
              <w:spacing w:before="0" w:after="0"/>
              <w:ind w:left="0" w:right="0" w:hanging="0"/>
              <w:jc w:val="right"/>
              <w:rPr/>
            </w:pPr>
            <w:r>
              <w:rPr/>
              <w:t> </w:t>
            </w:r>
          </w:p>
        </w:tc>
        <w:tc>
          <w:tcPr>
            <w:tcW w:w="80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6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Revenue recognized in the period from:</w:t>
            </w:r>
          </w:p>
        </w:tc>
        <w:tc>
          <w:tcPr>
            <w:tcW w:w="146" w:type="dxa"/>
            <w:tcBorders/>
            <w:shd w:fill="auto" w:val="clear"/>
            <w:vAlign w:val="center"/>
          </w:tcPr>
          <w:p>
            <w:pPr>
              <w:pStyle w:val="TableContents"/>
              <w:spacing w:before="0" w:after="0"/>
              <w:ind w:left="0" w:right="0" w:hanging="0"/>
              <w:jc w:val="right"/>
              <w:rPr/>
            </w:pPr>
            <w:r>
              <w:rPr/>
              <w:t> </w:t>
            </w:r>
          </w:p>
        </w:tc>
        <w:tc>
          <w:tcPr>
            <w:tcW w:w="808" w:type="dxa"/>
            <w:gridSpan w:val="2"/>
            <w:tcBorders/>
            <w:shd w:fill="auto" w:val="clear"/>
            <w:vAlign w:val="center"/>
          </w:tcPr>
          <w:p>
            <w:pPr>
              <w:pStyle w:val="TableContents"/>
              <w:spacing w:before="0" w:after="0"/>
              <w:ind w:left="0" w:right="0" w:hanging="0"/>
              <w:jc w:val="right"/>
              <w:rPr/>
            </w:pPr>
            <w:r>
              <w:rPr/>
              <w:t> </w:t>
            </w:r>
          </w:p>
        </w:tc>
        <w:tc>
          <w:tcPr>
            <w:tcW w:w="151" w:type="dxa"/>
            <w:tcBorders/>
            <w:shd w:fill="auto" w:val="clear"/>
            <w:vAlign w:val="center"/>
          </w:tcPr>
          <w:p>
            <w:pPr>
              <w:pStyle w:val="TableContents"/>
              <w:spacing w:before="0" w:after="0"/>
              <w:ind w:left="0" w:right="0" w:hanging="0"/>
              <w:jc w:val="right"/>
              <w:rPr/>
            </w:pPr>
            <w:r>
              <w:rPr/>
              <w:t> </w:t>
            </w:r>
          </w:p>
        </w:tc>
        <w:tc>
          <w:tcPr>
            <w:tcW w:w="151" w:type="dxa"/>
            <w:tcBorders/>
            <w:shd w:fill="auto" w:val="clear"/>
            <w:vAlign w:val="center"/>
          </w:tcPr>
          <w:p>
            <w:pPr>
              <w:pStyle w:val="TableContents"/>
              <w:spacing w:before="0" w:after="0"/>
              <w:ind w:left="0" w:right="0" w:hanging="0"/>
              <w:jc w:val="right"/>
              <w:rPr/>
            </w:pPr>
            <w:r>
              <w:rPr/>
              <w:t> </w:t>
            </w:r>
          </w:p>
        </w:tc>
        <w:tc>
          <w:tcPr>
            <w:tcW w:w="808"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200"/>
              <w:jc w:val="right"/>
              <w:rPr/>
            </w:pPr>
            <w:r>
              <w:rPr/>
              <w:t> </w:t>
            </w:r>
          </w:p>
        </w:tc>
      </w:tr>
      <w:tr>
        <w:trPr/>
        <w:tc>
          <w:tcPr>
            <w:tcW w:w="568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Amounts included in deferred revenue at the beginning of the period</w:t>
            </w:r>
          </w:p>
        </w:tc>
        <w:tc>
          <w:tcPr>
            <w:tcW w:w="146" w:type="dxa"/>
            <w:tcBorders/>
            <w:shd w:fill="auto" w:val="clear"/>
            <w:vAlign w:val="center"/>
          </w:tcPr>
          <w:p>
            <w:pPr>
              <w:pStyle w:val="TableContents"/>
              <w:spacing w:before="0" w:after="0"/>
              <w:ind w:left="0" w:right="0" w:hanging="0"/>
              <w:jc w:val="right"/>
              <w:rPr/>
            </w:pPr>
            <w:r>
              <w:rPr/>
              <w:t> </w:t>
            </w:r>
          </w:p>
        </w:tc>
        <w:tc>
          <w:tcPr>
            <w:tcW w:w="21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4,782</w:t>
            </w:r>
          </w:p>
        </w:tc>
        <w:tc>
          <w:tcPr>
            <w:tcW w:w="151"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right"/>
              <w:rPr/>
            </w:pPr>
            <w:r>
              <w:rPr/>
              <w:t> </w:t>
            </w:r>
          </w:p>
        </w:tc>
        <w:tc>
          <w:tcPr>
            <w:tcW w:w="21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1,353</w:t>
            </w:r>
          </w:p>
        </w:tc>
        <w:tc>
          <w:tcPr>
            <w:tcW w:w="391" w:type="dxa"/>
            <w:tcBorders/>
            <w:shd w:fill="auto" w:val="clear"/>
            <w:vAlign w:val="center"/>
          </w:tcPr>
          <w:p>
            <w:pPr>
              <w:pStyle w:val="TableContents"/>
              <w:spacing w:before="0" w:after="0"/>
              <w:ind w:left="0" w:right="0" w:firstLine="200"/>
              <w:jc w:val="left"/>
              <w:rPr/>
            </w:pPr>
            <w:r>
              <w:rPr/>
              <w:t> </w:t>
            </w:r>
          </w:p>
        </w:tc>
      </w:tr>
      <w:tr>
        <w:trPr/>
        <w:tc>
          <w:tcPr>
            <w:tcW w:w="5686"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20"/>
              </w:rPr>
              <w:t xml:space="preserve">Performance obligations satisfied in previous periods </w:t>
            </w:r>
            <w:r>
              <w:rPr>
                <w:rFonts w:ascii="Times New Roman;serif" w:hAnsi="Times New Roman;serif"/>
                <w:b w:val="false"/>
                <w:sz w:val="13"/>
              </w:rPr>
              <w:t>(1)</w:t>
            </w:r>
          </w:p>
        </w:tc>
        <w:tc>
          <w:tcPr>
            <w:tcW w:w="146" w:type="dxa"/>
            <w:tcBorders/>
            <w:shd w:fill="auto" w:val="clear"/>
            <w:vAlign w:val="center"/>
          </w:tcPr>
          <w:p>
            <w:pPr>
              <w:pStyle w:val="TableContents"/>
              <w:spacing w:before="0" w:after="0"/>
              <w:ind w:left="0" w:right="0" w:hanging="0"/>
              <w:jc w:val="right"/>
              <w:rPr/>
            </w:pPr>
            <w:r>
              <w:rPr/>
              <w:t> </w:t>
            </w:r>
          </w:p>
        </w:tc>
        <w:tc>
          <w:tcPr>
            <w:tcW w:w="21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753</w:t>
            </w:r>
          </w:p>
        </w:tc>
        <w:tc>
          <w:tcPr>
            <w:tcW w:w="151"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right"/>
              <w:rPr/>
            </w:pPr>
            <w:r>
              <w:rPr/>
              <w:t> </w:t>
            </w:r>
          </w:p>
        </w:tc>
        <w:tc>
          <w:tcPr>
            <w:tcW w:w="21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117</w:t>
            </w:r>
          </w:p>
        </w:tc>
        <w:tc>
          <w:tcPr>
            <w:tcW w:w="3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13"/>
        </w:rPr>
        <w:t>(1)</w:t>
      </w:r>
      <w:r>
        <w:rPr>
          <w:rFonts w:ascii="Times New Roman" w:hAnsi="Times New Roman"/>
          <w:sz w:val="20"/>
        </w:rPr>
        <w:t xml:space="preserve"> </w:t>
      </w:r>
      <w:r>
        <w:rPr>
          <w:rFonts w:ascii="Times New Roman;serif" w:hAnsi="Times New Roman;serif"/>
          <w:b w:val="false"/>
          <w:sz w:val="20"/>
        </w:rPr>
        <w:t>Performance obligations satisfied in previous periods consist of settlements of litigation for past royalties owed pursuant to expired or terminated IP license agreements and revenue from releases for past patent infringement claims.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Remaining revenue under contracts with performance obligations represents the aggregate amount of the transaction price allocated to the performance obligations that are unsatisfied (or partially unsatisfied) under certain of the Company’s fixed fee arrangements (in thousands).</w:t>
      </w:r>
    </w:p>
    <w:p>
      <w:pPr>
        <w:pStyle w:val="TextBody"/>
        <w:spacing w:before="0" w:after="0"/>
        <w:jc w:val="left"/>
        <w:rPr/>
      </w:pPr>
      <w:r>
        <w:rPr/>
        <w:t> </w:t>
      </w:r>
    </w:p>
    <w:tbl>
      <w:tblPr>
        <w:tblW w:w="8868" w:type="dxa"/>
        <w:jc w:val="left"/>
        <w:tblInd w:w="0" w:type="dxa"/>
        <w:tblCellMar>
          <w:top w:w="28" w:type="dxa"/>
          <w:left w:w="28" w:type="dxa"/>
          <w:bottom w:w="28" w:type="dxa"/>
          <w:right w:w="28" w:type="dxa"/>
        </w:tblCellMar>
      </w:tblPr>
      <w:tblGrid>
        <w:gridCol w:w="6691"/>
        <w:gridCol w:w="146"/>
        <w:gridCol w:w="306"/>
        <w:gridCol w:w="1134"/>
        <w:gridCol w:w="591"/>
      </w:tblGrid>
      <w:tr>
        <w:trPr/>
        <w:tc>
          <w:tcPr>
            <w:tcW w:w="66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1134"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r>
      <w:tr>
        <w:trPr/>
        <w:tc>
          <w:tcPr>
            <w:tcW w:w="669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4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 xml:space="preserve">As of </w:t>
              <w:br/>
              <w:t>March 31, 2023</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6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Revenue from contracts with performance obligations expected to be satisfied in:</w:t>
            </w:r>
          </w:p>
        </w:tc>
        <w:tc>
          <w:tcPr>
            <w:tcW w:w="146" w:type="dxa"/>
            <w:tcBorders/>
            <w:shd w:fill="auto" w:val="clear"/>
            <w:vAlign w:val="center"/>
          </w:tcPr>
          <w:p>
            <w:pPr>
              <w:pStyle w:val="TableContents"/>
              <w:spacing w:before="0" w:after="0"/>
              <w:ind w:left="0" w:right="0" w:hanging="0"/>
              <w:jc w:val="left"/>
              <w:rPr/>
            </w:pPr>
            <w:r>
              <w:rPr/>
              <w:t> </w:t>
            </w:r>
          </w:p>
        </w:tc>
        <w:tc>
          <w:tcPr>
            <w:tcW w:w="1440"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firstLine="200"/>
              <w:jc w:val="right"/>
              <w:rPr/>
            </w:pPr>
            <w:r>
              <w:rPr/>
              <w:t> </w:t>
            </w:r>
          </w:p>
        </w:tc>
      </w:tr>
      <w:tr>
        <w:trPr/>
        <w:tc>
          <w:tcPr>
            <w:tcW w:w="6691"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20"/>
              </w:rPr>
              <w:t>2023</w:t>
            </w:r>
            <w:r>
              <w:rPr>
                <w:rFonts w:ascii="Times New Roman" w:hAnsi="Times New Roman"/>
                <w:sz w:val="20"/>
              </w:rPr>
              <w:t> </w:t>
            </w:r>
            <w:r>
              <w:rPr>
                <w:rFonts w:ascii="Times New Roman;serif" w:hAnsi="Times New Roman;serif"/>
                <w:b w:val="false"/>
                <w:sz w:val="20"/>
              </w:rPr>
              <w:t>(remaining 9 months)</w:t>
            </w:r>
          </w:p>
        </w:tc>
        <w:tc>
          <w:tcPr>
            <w:tcW w:w="146" w:type="dxa"/>
            <w:tcBorders/>
            <w:shd w:fill="auto" w:val="clear"/>
            <w:vAlign w:val="center"/>
          </w:tcPr>
          <w:p>
            <w:pPr>
              <w:pStyle w:val="TableContents"/>
              <w:spacing w:before="0" w:after="0"/>
              <w:ind w:left="0" w:right="0" w:hanging="0"/>
              <w:jc w:val="left"/>
              <w:rPr/>
            </w:pPr>
            <w:r>
              <w:rPr/>
              <w:t> </w:t>
            </w:r>
          </w:p>
        </w:tc>
        <w:tc>
          <w:tcPr>
            <w:tcW w:w="3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3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119,211</w:t>
            </w:r>
          </w:p>
        </w:tc>
        <w:tc>
          <w:tcPr>
            <w:tcW w:w="591" w:type="dxa"/>
            <w:tcBorders/>
            <w:shd w:fill="auto" w:val="clear"/>
            <w:vAlign w:val="center"/>
          </w:tcPr>
          <w:p>
            <w:pPr>
              <w:pStyle w:val="TableContents"/>
              <w:spacing w:before="0" w:after="0"/>
              <w:ind w:left="0" w:right="0" w:firstLine="200"/>
              <w:jc w:val="left"/>
              <w:rPr/>
            </w:pPr>
            <w:r>
              <w:rPr/>
              <w:t> </w:t>
            </w:r>
          </w:p>
        </w:tc>
      </w:tr>
      <w:tr>
        <w:trPr/>
        <w:tc>
          <w:tcPr>
            <w:tcW w:w="669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2024</w:t>
            </w:r>
          </w:p>
        </w:tc>
        <w:tc>
          <w:tcPr>
            <w:tcW w:w="146" w:type="dxa"/>
            <w:tcBorders/>
            <w:shd w:fill="auto" w:val="clear"/>
            <w:vAlign w:val="center"/>
          </w:tcPr>
          <w:p>
            <w:pPr>
              <w:pStyle w:val="TableContents"/>
              <w:spacing w:before="0" w:after="0"/>
              <w:ind w:left="0" w:right="0" w:hanging="0"/>
              <w:jc w:val="left"/>
              <w:rPr/>
            </w:pPr>
            <w:r>
              <w:rPr/>
              <w:t> </w:t>
            </w:r>
          </w:p>
        </w:tc>
        <w:tc>
          <w:tcPr>
            <w:tcW w:w="306" w:type="dxa"/>
            <w:tcBorders/>
            <w:shd w:fill="auto" w:val="clear"/>
            <w:vAlign w:val="center"/>
          </w:tcPr>
          <w:p>
            <w:pPr>
              <w:pStyle w:val="TableContents"/>
              <w:spacing w:before="0" w:after="0"/>
              <w:ind w:left="0" w:right="0" w:hanging="0"/>
              <w:jc w:val="left"/>
              <w:rPr/>
            </w:pPr>
            <w:r>
              <w:rPr/>
              <w:t> </w:t>
            </w:r>
          </w:p>
        </w:tc>
        <w:tc>
          <w:tcPr>
            <w:tcW w:w="113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147,551</w:t>
            </w:r>
          </w:p>
        </w:tc>
        <w:tc>
          <w:tcPr>
            <w:tcW w:w="591" w:type="dxa"/>
            <w:tcBorders/>
            <w:shd w:fill="auto" w:val="clear"/>
            <w:vAlign w:val="center"/>
          </w:tcPr>
          <w:p>
            <w:pPr>
              <w:pStyle w:val="TableContents"/>
              <w:spacing w:before="0" w:after="0"/>
              <w:ind w:left="0" w:right="0" w:firstLine="200"/>
              <w:jc w:val="left"/>
              <w:rPr/>
            </w:pPr>
            <w:r>
              <w:rPr/>
              <w:t> </w:t>
            </w:r>
          </w:p>
        </w:tc>
      </w:tr>
      <w:tr>
        <w:trPr/>
        <w:tc>
          <w:tcPr>
            <w:tcW w:w="669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2025</w:t>
            </w:r>
          </w:p>
        </w:tc>
        <w:tc>
          <w:tcPr>
            <w:tcW w:w="146" w:type="dxa"/>
            <w:tcBorders/>
            <w:shd w:fill="auto" w:val="clear"/>
            <w:vAlign w:val="center"/>
          </w:tcPr>
          <w:p>
            <w:pPr>
              <w:pStyle w:val="TableContents"/>
              <w:spacing w:before="0" w:after="0"/>
              <w:ind w:left="0" w:right="0" w:hanging="0"/>
              <w:jc w:val="left"/>
              <w:rPr/>
            </w:pPr>
            <w:r>
              <w:rPr/>
              <w:t> </w:t>
            </w:r>
          </w:p>
        </w:tc>
        <w:tc>
          <w:tcPr>
            <w:tcW w:w="306" w:type="dxa"/>
            <w:tcBorders/>
            <w:shd w:fill="auto" w:val="clear"/>
            <w:vAlign w:val="center"/>
          </w:tcPr>
          <w:p>
            <w:pPr>
              <w:pStyle w:val="TableContents"/>
              <w:spacing w:before="0" w:after="0"/>
              <w:ind w:left="0" w:right="0" w:hanging="0"/>
              <w:jc w:val="left"/>
              <w:rPr/>
            </w:pPr>
            <w:r>
              <w:rPr/>
              <w:t> </w:t>
            </w:r>
          </w:p>
        </w:tc>
        <w:tc>
          <w:tcPr>
            <w:tcW w:w="113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142,925</w:t>
            </w:r>
          </w:p>
        </w:tc>
        <w:tc>
          <w:tcPr>
            <w:tcW w:w="591" w:type="dxa"/>
            <w:tcBorders/>
            <w:shd w:fill="auto" w:val="clear"/>
            <w:vAlign w:val="center"/>
          </w:tcPr>
          <w:p>
            <w:pPr>
              <w:pStyle w:val="TableContents"/>
              <w:spacing w:before="0" w:after="0"/>
              <w:ind w:left="0" w:right="0" w:firstLine="200"/>
              <w:jc w:val="left"/>
              <w:rPr/>
            </w:pPr>
            <w:r>
              <w:rPr/>
              <w:t> </w:t>
            </w:r>
          </w:p>
        </w:tc>
      </w:tr>
      <w:tr>
        <w:trPr/>
        <w:tc>
          <w:tcPr>
            <w:tcW w:w="669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2026</w:t>
            </w:r>
          </w:p>
        </w:tc>
        <w:tc>
          <w:tcPr>
            <w:tcW w:w="146" w:type="dxa"/>
            <w:tcBorders/>
            <w:shd w:fill="auto" w:val="clear"/>
            <w:vAlign w:val="center"/>
          </w:tcPr>
          <w:p>
            <w:pPr>
              <w:pStyle w:val="TableContents"/>
              <w:spacing w:before="0" w:after="0"/>
              <w:ind w:left="0" w:right="0" w:hanging="0"/>
              <w:jc w:val="left"/>
              <w:rPr/>
            </w:pPr>
            <w:r>
              <w:rPr/>
              <w:t> </w:t>
            </w:r>
          </w:p>
        </w:tc>
        <w:tc>
          <w:tcPr>
            <w:tcW w:w="306" w:type="dxa"/>
            <w:tcBorders/>
            <w:shd w:fill="auto" w:val="clear"/>
            <w:vAlign w:val="center"/>
          </w:tcPr>
          <w:p>
            <w:pPr>
              <w:pStyle w:val="TableContents"/>
              <w:spacing w:before="0" w:after="0"/>
              <w:ind w:left="0" w:right="0" w:hanging="0"/>
              <w:jc w:val="left"/>
              <w:rPr/>
            </w:pPr>
            <w:r>
              <w:rPr/>
              <w:t> </w:t>
            </w:r>
          </w:p>
        </w:tc>
        <w:tc>
          <w:tcPr>
            <w:tcW w:w="113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46,161</w:t>
            </w:r>
          </w:p>
        </w:tc>
        <w:tc>
          <w:tcPr>
            <w:tcW w:w="591" w:type="dxa"/>
            <w:tcBorders/>
            <w:shd w:fill="auto" w:val="clear"/>
            <w:vAlign w:val="center"/>
          </w:tcPr>
          <w:p>
            <w:pPr>
              <w:pStyle w:val="TableContents"/>
              <w:spacing w:before="0" w:after="0"/>
              <w:ind w:left="0" w:right="0" w:firstLine="200"/>
              <w:jc w:val="left"/>
              <w:rPr/>
            </w:pPr>
            <w:r>
              <w:rPr/>
              <w:t> </w:t>
            </w:r>
          </w:p>
        </w:tc>
      </w:tr>
      <w:tr>
        <w:trPr/>
        <w:tc>
          <w:tcPr>
            <w:tcW w:w="669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2027</w:t>
            </w:r>
          </w:p>
        </w:tc>
        <w:tc>
          <w:tcPr>
            <w:tcW w:w="146" w:type="dxa"/>
            <w:tcBorders/>
            <w:shd w:fill="auto" w:val="clear"/>
            <w:vAlign w:val="center"/>
          </w:tcPr>
          <w:p>
            <w:pPr>
              <w:pStyle w:val="TableContents"/>
              <w:spacing w:before="0" w:after="0"/>
              <w:ind w:left="0" w:right="0" w:hanging="0"/>
              <w:jc w:val="left"/>
              <w:rPr/>
            </w:pPr>
            <w:r>
              <w:rPr/>
              <w:t> </w:t>
            </w:r>
          </w:p>
        </w:tc>
        <w:tc>
          <w:tcPr>
            <w:tcW w:w="306" w:type="dxa"/>
            <w:tcBorders/>
            <w:shd w:fill="auto" w:val="clear"/>
            <w:vAlign w:val="center"/>
          </w:tcPr>
          <w:p>
            <w:pPr>
              <w:pStyle w:val="TableContents"/>
              <w:spacing w:before="0" w:after="0"/>
              <w:ind w:left="0" w:right="0" w:hanging="0"/>
              <w:jc w:val="left"/>
              <w:rPr/>
            </w:pPr>
            <w:r>
              <w:rPr/>
              <w:t> </w:t>
            </w:r>
          </w:p>
        </w:tc>
        <w:tc>
          <w:tcPr>
            <w:tcW w:w="113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35,801</w:t>
            </w:r>
          </w:p>
        </w:tc>
        <w:tc>
          <w:tcPr>
            <w:tcW w:w="591" w:type="dxa"/>
            <w:tcBorders/>
            <w:shd w:fill="auto" w:val="clear"/>
            <w:vAlign w:val="center"/>
          </w:tcPr>
          <w:p>
            <w:pPr>
              <w:pStyle w:val="TableContents"/>
              <w:spacing w:before="0" w:after="0"/>
              <w:ind w:left="0" w:right="0" w:firstLine="200"/>
              <w:jc w:val="left"/>
              <w:rPr/>
            </w:pPr>
            <w:r>
              <w:rPr/>
              <w:t> </w:t>
            </w:r>
          </w:p>
        </w:tc>
      </w:tr>
      <w:tr>
        <w:trPr/>
        <w:tc>
          <w:tcPr>
            <w:tcW w:w="669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Thereafter</w:t>
            </w:r>
          </w:p>
        </w:tc>
        <w:tc>
          <w:tcPr>
            <w:tcW w:w="146" w:type="dxa"/>
            <w:tcBorders/>
            <w:shd w:fill="auto" w:val="clear"/>
            <w:vAlign w:val="center"/>
          </w:tcPr>
          <w:p>
            <w:pPr>
              <w:pStyle w:val="TableContents"/>
              <w:spacing w:before="0" w:after="0"/>
              <w:ind w:left="0" w:right="0" w:hanging="0"/>
              <w:jc w:val="left"/>
              <w:rPr/>
            </w:pPr>
            <w:r>
              <w:rPr/>
              <w:t> </w:t>
            </w:r>
          </w:p>
        </w:tc>
        <w:tc>
          <w:tcPr>
            <w:tcW w:w="3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3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76,526</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669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30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3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568,175</w:t>
            </w:r>
          </w:p>
        </w:tc>
        <w:tc>
          <w:tcPr>
            <w:tcW w:w="5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13</w:t>
      </w:r>
    </w:p>
    <w:p>
      <w:pPr>
        <w:pStyle w:val="HorizontalLine"/>
        <w:rPr/>
      </w:pPr>
      <w:r>
        <w:rPr/>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sz w:val="20"/>
        </w:rPr>
        <w:t>NOTE 4 – COMPOSITION OF CERTAIN FINANCIAL STATEMENT CAPTIONS</w:t>
      </w:r>
      <w:r>
        <w:rPr>
          <w:rFonts w:ascii="Times New Roman" w:hAnsi="Times New Roman"/>
          <w:sz w:val="20"/>
        </w:rPr>
        <w:t xml:space="preserve"> </w:t>
      </w:r>
    </w:p>
    <w:p>
      <w:pPr>
        <w:pStyle w:val="TextBody"/>
        <w:spacing w:before="200" w:after="0"/>
        <w:jc w:val="left"/>
        <w:rPr>
          <w:rFonts w:ascii="Times New Roman" w:hAnsi="Times New Roman"/>
          <w:sz w:val="20"/>
        </w:rPr>
      </w:pPr>
      <w:r>
        <w:rPr>
          <w:rFonts w:ascii="Times New Roman;serif" w:hAnsi="Times New Roman;serif"/>
          <w:b/>
          <w:sz w:val="20"/>
        </w:rPr>
        <w:t>Other current assets consisted of the following (in thousands):</w:t>
      </w:r>
      <w:r>
        <w:rPr>
          <w:rFonts w:ascii="Times New Roman" w:hAnsi="Times New Roman"/>
          <w:sz w:val="20"/>
        </w:rPr>
        <w:t xml:space="preserve"> </w:t>
      </w:r>
    </w:p>
    <w:p>
      <w:pPr>
        <w:pStyle w:val="TextBody"/>
        <w:spacing w:before="0" w:after="0"/>
        <w:jc w:val="left"/>
        <w:rPr/>
      </w:pPr>
      <w:r>
        <w:rPr/>
        <w:t> </w:t>
      </w:r>
    </w:p>
    <w:tbl>
      <w:tblPr>
        <w:tblW w:w="5640" w:type="dxa"/>
        <w:jc w:val="left"/>
        <w:tblInd w:w="0" w:type="dxa"/>
        <w:tblCellMar>
          <w:top w:w="28" w:type="dxa"/>
          <w:left w:w="28" w:type="dxa"/>
          <w:bottom w:w="28" w:type="dxa"/>
          <w:right w:w="28" w:type="dxa"/>
        </w:tblCellMar>
      </w:tblPr>
      <w:tblGrid>
        <w:gridCol w:w="1846"/>
        <w:gridCol w:w="146"/>
        <w:gridCol w:w="342"/>
        <w:gridCol w:w="1098"/>
        <w:gridCol w:w="146"/>
        <w:gridCol w:w="146"/>
        <w:gridCol w:w="409"/>
        <w:gridCol w:w="1316"/>
        <w:gridCol w:w="191"/>
      </w:tblGrid>
      <w:tr>
        <w:trPr/>
        <w:tc>
          <w:tcPr>
            <w:tcW w:w="18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109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131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8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4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March 31, 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2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December 31, 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8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Prepaid income taxes</w:t>
            </w:r>
          </w:p>
        </w:tc>
        <w:tc>
          <w:tcPr>
            <w:tcW w:w="146" w:type="dxa"/>
            <w:tcBorders/>
            <w:shd w:fill="auto" w:val="clear"/>
            <w:vAlign w:val="center"/>
          </w:tcPr>
          <w:p>
            <w:pPr>
              <w:pStyle w:val="TableContents"/>
              <w:spacing w:before="0" w:after="0"/>
              <w:ind w:left="0" w:right="0" w:hanging="0"/>
              <w:jc w:val="left"/>
              <w:rPr/>
            </w:pPr>
            <w:r>
              <w:rPr/>
              <w:t> </w:t>
            </w:r>
          </w:p>
        </w:tc>
        <w:tc>
          <w:tcPr>
            <w:tcW w:w="34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6,757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7,252</w:t>
            </w:r>
          </w:p>
        </w:tc>
        <w:tc>
          <w:tcPr>
            <w:tcW w:w="191" w:type="dxa"/>
            <w:tcBorders/>
            <w:shd w:fill="auto" w:val="clear"/>
            <w:vAlign w:val="center"/>
          </w:tcPr>
          <w:p>
            <w:pPr>
              <w:pStyle w:val="TableContents"/>
              <w:spacing w:before="0" w:after="0"/>
              <w:ind w:left="0" w:right="0" w:hanging="0"/>
              <w:jc w:val="left"/>
              <w:rPr/>
            </w:pPr>
            <w:r>
              <w:rPr/>
              <w:t> </w:t>
            </w:r>
          </w:p>
        </w:tc>
      </w:tr>
      <w:tr>
        <w:trPr/>
        <w:tc>
          <w:tcPr>
            <w:tcW w:w="18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Prepaid insurance</w:t>
            </w:r>
          </w:p>
        </w:tc>
        <w:tc>
          <w:tcPr>
            <w:tcW w:w="146" w:type="dxa"/>
            <w:tcBorders/>
            <w:shd w:fill="auto" w:val="clear"/>
            <w:vAlign w:val="center"/>
          </w:tcPr>
          <w:p>
            <w:pPr>
              <w:pStyle w:val="TableContents"/>
              <w:spacing w:before="0" w:after="0"/>
              <w:ind w:left="0" w:right="0" w:hanging="0"/>
              <w:jc w:val="left"/>
              <w:rPr/>
            </w:pPr>
            <w:r>
              <w:rPr/>
              <w:t> </w:t>
            </w:r>
          </w:p>
        </w:tc>
        <w:tc>
          <w:tcPr>
            <w:tcW w:w="342" w:type="dxa"/>
            <w:tcBorders/>
            <w:shd w:fill="auto" w:val="clear"/>
            <w:vAlign w:val="center"/>
          </w:tcPr>
          <w:p>
            <w:pPr>
              <w:pStyle w:val="TableContents"/>
              <w:spacing w:before="0" w:after="0"/>
              <w:ind w:left="0" w:right="0" w:hanging="0"/>
              <w:jc w:val="left"/>
              <w:rPr/>
            </w:pPr>
            <w:r>
              <w:rPr/>
              <w:t> </w:t>
            </w:r>
          </w:p>
        </w:tc>
        <w:tc>
          <w:tcPr>
            <w:tcW w:w="109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1,383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09" w:type="dxa"/>
            <w:tcBorders/>
            <w:shd w:fill="auto" w:val="clear"/>
            <w:vAlign w:val="center"/>
          </w:tcPr>
          <w:p>
            <w:pPr>
              <w:pStyle w:val="TableContents"/>
              <w:spacing w:before="0" w:after="0"/>
              <w:ind w:left="0" w:right="0" w:hanging="0"/>
              <w:jc w:val="left"/>
              <w:rPr/>
            </w:pPr>
            <w:r>
              <w:rPr/>
              <w:t> </w:t>
            </w:r>
          </w:p>
        </w:tc>
        <w:tc>
          <w:tcPr>
            <w:tcW w:w="13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2,103</w:t>
            </w:r>
          </w:p>
        </w:tc>
        <w:tc>
          <w:tcPr>
            <w:tcW w:w="191" w:type="dxa"/>
            <w:tcBorders/>
            <w:shd w:fill="auto" w:val="clear"/>
            <w:vAlign w:val="center"/>
          </w:tcPr>
          <w:p>
            <w:pPr>
              <w:pStyle w:val="TableContents"/>
              <w:spacing w:before="0" w:after="0"/>
              <w:ind w:left="0" w:right="0" w:hanging="0"/>
              <w:jc w:val="left"/>
              <w:rPr/>
            </w:pPr>
            <w:r>
              <w:rPr/>
              <w:t> </w:t>
            </w:r>
          </w:p>
        </w:tc>
      </w:tr>
      <w:tr>
        <w:trPr/>
        <w:tc>
          <w:tcPr>
            <w:tcW w:w="18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Prepaid expenses</w:t>
            </w:r>
          </w:p>
        </w:tc>
        <w:tc>
          <w:tcPr>
            <w:tcW w:w="146" w:type="dxa"/>
            <w:tcBorders/>
            <w:shd w:fill="auto" w:val="clear"/>
            <w:vAlign w:val="center"/>
          </w:tcPr>
          <w:p>
            <w:pPr>
              <w:pStyle w:val="TableContents"/>
              <w:spacing w:before="0" w:after="0"/>
              <w:ind w:left="0" w:right="0" w:hanging="0"/>
              <w:jc w:val="left"/>
              <w:rPr/>
            </w:pPr>
            <w:r>
              <w:rPr/>
              <w:t> </w:t>
            </w:r>
          </w:p>
        </w:tc>
        <w:tc>
          <w:tcPr>
            <w:tcW w:w="342" w:type="dxa"/>
            <w:tcBorders/>
            <w:shd w:fill="auto" w:val="clear"/>
            <w:vAlign w:val="center"/>
          </w:tcPr>
          <w:p>
            <w:pPr>
              <w:pStyle w:val="TableContents"/>
              <w:spacing w:before="0" w:after="0"/>
              <w:ind w:left="0" w:right="0" w:hanging="0"/>
              <w:jc w:val="left"/>
              <w:rPr/>
            </w:pPr>
            <w:r>
              <w:rPr/>
              <w:t> </w:t>
            </w:r>
          </w:p>
        </w:tc>
        <w:tc>
          <w:tcPr>
            <w:tcW w:w="109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09" w:type="dxa"/>
            <w:tcBorders/>
            <w:shd w:fill="auto" w:val="clear"/>
            <w:vAlign w:val="center"/>
          </w:tcPr>
          <w:p>
            <w:pPr>
              <w:pStyle w:val="TableContents"/>
              <w:spacing w:before="0" w:after="0"/>
              <w:ind w:left="0" w:right="0" w:hanging="0"/>
              <w:jc w:val="left"/>
              <w:rPr/>
            </w:pPr>
            <w:r>
              <w:rPr/>
              <w:t> </w:t>
            </w:r>
          </w:p>
        </w:tc>
        <w:tc>
          <w:tcPr>
            <w:tcW w:w="13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1,924</w:t>
            </w:r>
          </w:p>
        </w:tc>
        <w:tc>
          <w:tcPr>
            <w:tcW w:w="191" w:type="dxa"/>
            <w:tcBorders/>
            <w:shd w:fill="auto" w:val="clear"/>
            <w:vAlign w:val="center"/>
          </w:tcPr>
          <w:p>
            <w:pPr>
              <w:pStyle w:val="TableContents"/>
              <w:spacing w:before="0" w:after="0"/>
              <w:ind w:left="0" w:right="0" w:hanging="0"/>
              <w:jc w:val="left"/>
              <w:rPr/>
            </w:pPr>
            <w:r>
              <w:rPr/>
              <w:t> </w:t>
            </w:r>
          </w:p>
        </w:tc>
      </w:tr>
      <w:tr>
        <w:trPr/>
        <w:tc>
          <w:tcPr>
            <w:tcW w:w="18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shd w:fill="auto" w:val="clear"/>
            <w:vAlign w:val="center"/>
          </w:tcPr>
          <w:p>
            <w:pPr>
              <w:pStyle w:val="TableContents"/>
              <w:spacing w:before="0" w:after="0"/>
              <w:ind w:left="0" w:right="0" w:hanging="0"/>
              <w:jc w:val="left"/>
              <w:rPr/>
            </w:pPr>
            <w:r>
              <w:rPr/>
              <w:t> </w:t>
            </w:r>
          </w:p>
        </w:tc>
        <w:tc>
          <w:tcPr>
            <w:tcW w:w="3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1,326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645</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8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11,493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11,924</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40" w:after="0"/>
        <w:jc w:val="left"/>
        <w:rPr/>
      </w:pPr>
      <w:r>
        <w:rPr/>
        <w:t> </w:t>
      </w:r>
    </w:p>
    <w:p>
      <w:pPr>
        <w:pStyle w:val="TextBody"/>
        <w:spacing w:before="0" w:after="0"/>
        <w:jc w:val="left"/>
        <w:rPr>
          <w:rFonts w:ascii="Times New Roman;serif" w:hAnsi="Times New Roman;serif"/>
          <w:b/>
          <w:sz w:val="20"/>
        </w:rPr>
      </w:pPr>
      <w:r>
        <w:rPr>
          <w:rFonts w:ascii="Times New Roman;serif" w:hAnsi="Times New Roman;serif"/>
          <w:b/>
          <w:sz w:val="20"/>
        </w:rPr>
        <w:t>Property and equipment, net, consisted of the following (in thousands):</w:t>
      </w:r>
    </w:p>
    <w:p>
      <w:pPr>
        <w:pStyle w:val="TextBody"/>
        <w:spacing w:before="0" w:after="0"/>
        <w:jc w:val="left"/>
        <w:rPr/>
      </w:pPr>
      <w:r>
        <w:rPr/>
        <w:t> </w:t>
      </w:r>
    </w:p>
    <w:tbl>
      <w:tblPr>
        <w:tblW w:w="7945" w:type="dxa"/>
        <w:jc w:val="left"/>
        <w:tblInd w:w="0" w:type="dxa"/>
        <w:tblCellMar>
          <w:top w:w="28" w:type="dxa"/>
          <w:left w:w="28" w:type="dxa"/>
          <w:bottom w:w="28" w:type="dxa"/>
          <w:right w:w="28" w:type="dxa"/>
        </w:tblCellMar>
      </w:tblPr>
      <w:tblGrid>
        <w:gridCol w:w="4111"/>
        <w:gridCol w:w="146"/>
        <w:gridCol w:w="321"/>
        <w:gridCol w:w="1119"/>
        <w:gridCol w:w="166"/>
        <w:gridCol w:w="146"/>
        <w:gridCol w:w="384"/>
        <w:gridCol w:w="1341"/>
        <w:gridCol w:w="211"/>
      </w:tblGrid>
      <w:tr>
        <w:trPr/>
        <w:tc>
          <w:tcPr>
            <w:tcW w:w="41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111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84" w:type="dxa"/>
            <w:tcBorders/>
            <w:shd w:fill="auto" w:val="clear"/>
            <w:vAlign w:val="center"/>
          </w:tcPr>
          <w:p>
            <w:pPr>
              <w:pStyle w:val="TableContents"/>
              <w:spacing w:before="0" w:after="283"/>
              <w:rPr>
                <w:sz w:val="4"/>
                <w:szCs w:val="4"/>
              </w:rPr>
            </w:pPr>
            <w:r>
              <w:rPr>
                <w:sz w:val="4"/>
                <w:szCs w:val="4"/>
              </w:rPr>
            </w:r>
          </w:p>
        </w:tc>
        <w:tc>
          <w:tcPr>
            <w:tcW w:w="134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41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4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March 31, 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2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December 31, 2022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1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Equipment, furniture and other</w:t>
            </w:r>
          </w:p>
        </w:tc>
        <w:tc>
          <w:tcPr>
            <w:tcW w:w="146" w:type="dxa"/>
            <w:tcBorders/>
            <w:shd w:fill="auto" w:val="clear"/>
            <w:vAlign w:val="center"/>
          </w:tcPr>
          <w:p>
            <w:pPr>
              <w:pStyle w:val="TableContents"/>
              <w:spacing w:before="0" w:after="0"/>
              <w:ind w:left="0" w:right="0" w:hanging="0"/>
              <w:jc w:val="left"/>
              <w:rPr/>
            </w:pPr>
            <w:r>
              <w:rPr/>
              <w:t> </w:t>
            </w:r>
          </w:p>
        </w:tc>
        <w:tc>
          <w:tcPr>
            <w:tcW w:w="3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1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14,478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14,148</w:t>
            </w:r>
          </w:p>
        </w:tc>
        <w:tc>
          <w:tcPr>
            <w:tcW w:w="211" w:type="dxa"/>
            <w:tcBorders/>
            <w:shd w:fill="auto" w:val="clear"/>
            <w:vAlign w:val="center"/>
          </w:tcPr>
          <w:p>
            <w:pPr>
              <w:pStyle w:val="TableContents"/>
              <w:spacing w:before="0" w:after="0"/>
              <w:ind w:left="0" w:right="0" w:hanging="0"/>
              <w:jc w:val="left"/>
              <w:rPr/>
            </w:pPr>
            <w:r>
              <w:rPr/>
              <w:t> </w:t>
            </w:r>
          </w:p>
        </w:tc>
      </w:tr>
      <w:tr>
        <w:trPr/>
        <w:tc>
          <w:tcPr>
            <w:tcW w:w="41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Leasehold improvements</w:t>
            </w:r>
          </w:p>
        </w:tc>
        <w:tc>
          <w:tcPr>
            <w:tcW w:w="146" w:type="dxa"/>
            <w:tcBorders/>
            <w:shd w:fill="auto" w:val="clear"/>
            <w:vAlign w:val="center"/>
          </w:tcPr>
          <w:p>
            <w:pPr>
              <w:pStyle w:val="TableContents"/>
              <w:spacing w:before="0" w:after="0"/>
              <w:ind w:left="0" w:right="0" w:hanging="0"/>
              <w:jc w:val="left"/>
              <w:rPr/>
            </w:pPr>
            <w:r>
              <w:rPr/>
              <w:t> </w:t>
            </w:r>
          </w:p>
        </w:tc>
        <w:tc>
          <w:tcPr>
            <w:tcW w:w="3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5,117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5,057</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1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1" w:type="dxa"/>
            <w:tcBorders/>
            <w:shd w:fill="auto" w:val="clear"/>
            <w:vAlign w:val="center"/>
          </w:tcPr>
          <w:p>
            <w:pPr>
              <w:pStyle w:val="TableContents"/>
              <w:spacing w:before="0" w:after="0"/>
              <w:ind w:left="0" w:right="0" w:hanging="0"/>
              <w:jc w:val="left"/>
              <w:rPr/>
            </w:pPr>
            <w:r>
              <w:rPr/>
              <w:t> </w:t>
            </w:r>
          </w:p>
        </w:tc>
        <w:tc>
          <w:tcPr>
            <w:tcW w:w="111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19,595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4" w:type="dxa"/>
            <w:tcBorders/>
            <w:shd w:fill="auto" w:val="clear"/>
            <w:vAlign w:val="center"/>
          </w:tcPr>
          <w:p>
            <w:pPr>
              <w:pStyle w:val="TableContents"/>
              <w:spacing w:before="0" w:after="0"/>
              <w:ind w:left="0" w:right="0" w:hanging="0"/>
              <w:jc w:val="left"/>
              <w:rPr/>
            </w:pPr>
            <w:r>
              <w:rPr/>
              <w:t> </w:t>
            </w:r>
          </w:p>
        </w:tc>
        <w:tc>
          <w:tcPr>
            <w:tcW w:w="13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19,205</w:t>
            </w:r>
          </w:p>
        </w:tc>
        <w:tc>
          <w:tcPr>
            <w:tcW w:w="211" w:type="dxa"/>
            <w:tcBorders/>
            <w:shd w:fill="auto" w:val="clear"/>
            <w:vAlign w:val="center"/>
          </w:tcPr>
          <w:p>
            <w:pPr>
              <w:pStyle w:val="TableContents"/>
              <w:spacing w:before="0" w:after="0"/>
              <w:ind w:left="0" w:right="0" w:hanging="0"/>
              <w:jc w:val="left"/>
              <w:rPr/>
            </w:pPr>
            <w:r>
              <w:rPr/>
              <w:t> </w:t>
            </w:r>
          </w:p>
        </w:tc>
      </w:tr>
      <w:tr>
        <w:trPr/>
        <w:tc>
          <w:tcPr>
            <w:tcW w:w="41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Less: accumulated depreciation and amortization</w:t>
            </w:r>
          </w:p>
        </w:tc>
        <w:tc>
          <w:tcPr>
            <w:tcW w:w="146" w:type="dxa"/>
            <w:tcBorders/>
            <w:shd w:fill="auto" w:val="clear"/>
            <w:vAlign w:val="center"/>
          </w:tcPr>
          <w:p>
            <w:pPr>
              <w:pStyle w:val="TableContents"/>
              <w:spacing w:before="0" w:after="0"/>
              <w:ind w:left="0" w:right="0" w:hanging="0"/>
              <w:jc w:val="left"/>
              <w:rPr/>
            </w:pPr>
            <w:r>
              <w:rPr/>
              <w:t> </w:t>
            </w:r>
          </w:p>
        </w:tc>
        <w:tc>
          <w:tcPr>
            <w:tcW w:w="3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(15,039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(14,655</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1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1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4,556</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4,550</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40" w:after="0"/>
        <w:jc w:val="left"/>
        <w:rPr>
          <w:rFonts w:ascii="Times New Roman;serif" w:hAnsi="Times New Roman;serif"/>
          <w:b/>
          <w:sz w:val="20"/>
        </w:rPr>
      </w:pPr>
      <w:r>
        <w:rPr>
          <w:rFonts w:ascii="Times New Roman;serif" w:hAnsi="Times New Roman;serif"/>
          <w:b/>
          <w:sz w:val="20"/>
        </w:rPr>
        <w:t>Other long-term assets consisted of the following (in thousands):</w:t>
      </w:r>
    </w:p>
    <w:p>
      <w:pPr>
        <w:pStyle w:val="TextBody"/>
        <w:spacing w:before="40" w:after="0"/>
        <w:jc w:val="left"/>
        <w:rPr/>
      </w:pPr>
      <w:r>
        <w:rPr/>
        <w:t> </w:t>
      </w:r>
    </w:p>
    <w:tbl>
      <w:tblPr>
        <w:tblW w:w="6285" w:type="dxa"/>
        <w:jc w:val="left"/>
        <w:tblInd w:w="0" w:type="dxa"/>
        <w:tblCellMar>
          <w:top w:w="28" w:type="dxa"/>
          <w:left w:w="28" w:type="dxa"/>
          <w:bottom w:w="28" w:type="dxa"/>
          <w:right w:w="28" w:type="dxa"/>
        </w:tblCellMar>
      </w:tblPr>
      <w:tblGrid>
        <w:gridCol w:w="2491"/>
        <w:gridCol w:w="146"/>
        <w:gridCol w:w="342"/>
        <w:gridCol w:w="1098"/>
        <w:gridCol w:w="146"/>
        <w:gridCol w:w="146"/>
        <w:gridCol w:w="409"/>
        <w:gridCol w:w="1316"/>
        <w:gridCol w:w="191"/>
      </w:tblGrid>
      <w:tr>
        <w:trPr/>
        <w:tc>
          <w:tcPr>
            <w:tcW w:w="24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109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131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4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4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March 31, 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2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December 31, 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4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Long-term deferred tax assets</w:t>
            </w:r>
          </w:p>
        </w:tc>
        <w:tc>
          <w:tcPr>
            <w:tcW w:w="146" w:type="dxa"/>
            <w:tcBorders/>
            <w:shd w:fill="auto" w:val="clear"/>
            <w:vAlign w:val="center"/>
          </w:tcPr>
          <w:p>
            <w:pPr>
              <w:pStyle w:val="TableContents"/>
              <w:spacing w:before="0" w:after="0"/>
              <w:ind w:left="0" w:right="0" w:hanging="0"/>
              <w:jc w:val="left"/>
              <w:rPr/>
            </w:pPr>
            <w:r>
              <w:rPr/>
              <w:t> </w:t>
            </w:r>
          </w:p>
        </w:tc>
        <w:tc>
          <w:tcPr>
            <w:tcW w:w="34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32,905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35,278</w:t>
            </w:r>
          </w:p>
        </w:tc>
        <w:tc>
          <w:tcPr>
            <w:tcW w:w="191" w:type="dxa"/>
            <w:tcBorders/>
            <w:shd w:fill="auto" w:val="clear"/>
            <w:vAlign w:val="center"/>
          </w:tcPr>
          <w:p>
            <w:pPr>
              <w:pStyle w:val="TableContents"/>
              <w:spacing w:before="0" w:after="0"/>
              <w:ind w:left="0" w:right="0" w:hanging="0"/>
              <w:jc w:val="left"/>
              <w:rPr/>
            </w:pPr>
            <w:r>
              <w:rPr/>
              <w:t> </w:t>
            </w:r>
          </w:p>
        </w:tc>
      </w:tr>
      <w:tr>
        <w:trPr/>
        <w:tc>
          <w:tcPr>
            <w:tcW w:w="24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assets</w:t>
            </w:r>
          </w:p>
        </w:tc>
        <w:tc>
          <w:tcPr>
            <w:tcW w:w="146" w:type="dxa"/>
            <w:tcBorders/>
            <w:shd w:fill="auto" w:val="clear"/>
            <w:vAlign w:val="center"/>
          </w:tcPr>
          <w:p>
            <w:pPr>
              <w:pStyle w:val="TableContents"/>
              <w:spacing w:before="0" w:after="0"/>
              <w:ind w:left="0" w:right="0" w:hanging="0"/>
              <w:jc w:val="left"/>
              <w:rPr/>
            </w:pPr>
            <w:r>
              <w:rPr/>
              <w:t> </w:t>
            </w:r>
          </w:p>
        </w:tc>
        <w:tc>
          <w:tcPr>
            <w:tcW w:w="3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4,946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5,472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4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37,851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40,750</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40" w:after="0"/>
        <w:jc w:val="left"/>
        <w:rPr>
          <w:rFonts w:ascii="Times New Roman" w:hAnsi="Times New Roman"/>
          <w:sz w:val="20"/>
        </w:rPr>
      </w:pPr>
      <w:r>
        <w:rPr>
          <w:rFonts w:ascii="Times New Roman;serif" w:hAnsi="Times New Roman;serif"/>
          <w:b/>
          <w:sz w:val="20"/>
        </w:rPr>
        <w:t>Accrued liabilities consisted of the following (in thousands):</w:t>
      </w:r>
      <w:r>
        <w:rPr>
          <w:rFonts w:ascii="Times New Roman" w:hAnsi="Times New Roman"/>
          <w:sz w:val="20"/>
        </w:rPr>
        <w:t xml:space="preserve"> </w:t>
      </w:r>
    </w:p>
    <w:p>
      <w:pPr>
        <w:pStyle w:val="TextBody"/>
        <w:spacing w:before="0" w:after="0"/>
        <w:jc w:val="left"/>
        <w:rPr/>
      </w:pPr>
      <w:r>
        <w:rPr/>
        <w:t> </w:t>
      </w:r>
    </w:p>
    <w:tbl>
      <w:tblPr>
        <w:tblW w:w="7485" w:type="dxa"/>
        <w:jc w:val="left"/>
        <w:tblInd w:w="0" w:type="dxa"/>
        <w:tblCellMar>
          <w:top w:w="28" w:type="dxa"/>
          <w:left w:w="28" w:type="dxa"/>
          <w:bottom w:w="28" w:type="dxa"/>
          <w:right w:w="28" w:type="dxa"/>
        </w:tblCellMar>
      </w:tblPr>
      <w:tblGrid>
        <w:gridCol w:w="3691"/>
        <w:gridCol w:w="146"/>
        <w:gridCol w:w="342"/>
        <w:gridCol w:w="1098"/>
        <w:gridCol w:w="146"/>
        <w:gridCol w:w="146"/>
        <w:gridCol w:w="409"/>
        <w:gridCol w:w="1316"/>
        <w:gridCol w:w="191"/>
      </w:tblGrid>
      <w:tr>
        <w:trPr/>
        <w:tc>
          <w:tcPr>
            <w:tcW w:w="36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109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131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69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4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March 31, 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72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December 31, 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6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Employee compensation and benefits</w:t>
            </w:r>
          </w:p>
        </w:tc>
        <w:tc>
          <w:tcPr>
            <w:tcW w:w="146" w:type="dxa"/>
            <w:tcBorders/>
            <w:shd w:fill="auto" w:val="clear"/>
            <w:vAlign w:val="center"/>
          </w:tcPr>
          <w:p>
            <w:pPr>
              <w:pStyle w:val="TableContents"/>
              <w:spacing w:before="0" w:after="0"/>
              <w:ind w:left="0" w:right="0" w:hanging="0"/>
              <w:jc w:val="left"/>
              <w:rPr/>
            </w:pPr>
            <w:r>
              <w:rPr/>
              <w:t> </w:t>
            </w:r>
          </w:p>
        </w:tc>
        <w:tc>
          <w:tcPr>
            <w:tcW w:w="34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2,981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6,978</w:t>
            </w:r>
          </w:p>
        </w:tc>
        <w:tc>
          <w:tcPr>
            <w:tcW w:w="191" w:type="dxa"/>
            <w:tcBorders/>
            <w:shd w:fill="auto" w:val="clear"/>
            <w:vAlign w:val="center"/>
          </w:tcPr>
          <w:p>
            <w:pPr>
              <w:pStyle w:val="TableContents"/>
              <w:spacing w:before="0" w:after="0"/>
              <w:ind w:left="0" w:right="0" w:hanging="0"/>
              <w:jc w:val="left"/>
              <w:rPr/>
            </w:pPr>
            <w:r>
              <w:rPr/>
              <w:t> </w:t>
            </w:r>
          </w:p>
        </w:tc>
      </w:tr>
      <w:tr>
        <w:trPr/>
        <w:tc>
          <w:tcPr>
            <w:tcW w:w="36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legal fees</w:t>
            </w:r>
          </w:p>
        </w:tc>
        <w:tc>
          <w:tcPr>
            <w:tcW w:w="146" w:type="dxa"/>
            <w:tcBorders/>
            <w:shd w:fill="auto" w:val="clear"/>
            <w:vAlign w:val="center"/>
          </w:tcPr>
          <w:p>
            <w:pPr>
              <w:pStyle w:val="TableContents"/>
              <w:spacing w:before="0" w:after="0"/>
              <w:ind w:left="0" w:right="0" w:hanging="0"/>
              <w:jc w:val="left"/>
              <w:rPr/>
            </w:pPr>
            <w:r>
              <w:rPr/>
              <w:t> </w:t>
            </w:r>
          </w:p>
        </w:tc>
        <w:tc>
          <w:tcPr>
            <w:tcW w:w="342" w:type="dxa"/>
            <w:tcBorders/>
            <w:shd w:fill="auto" w:val="clear"/>
            <w:vAlign w:val="center"/>
          </w:tcPr>
          <w:p>
            <w:pPr>
              <w:pStyle w:val="TableContents"/>
              <w:spacing w:before="0" w:after="0"/>
              <w:ind w:left="0" w:right="0" w:hanging="0"/>
              <w:jc w:val="left"/>
              <w:rPr/>
            </w:pPr>
            <w:r>
              <w:rPr/>
              <w:t> </w:t>
            </w:r>
          </w:p>
        </w:tc>
        <w:tc>
          <w:tcPr>
            <w:tcW w:w="109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7,113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9" w:type="dxa"/>
            <w:tcBorders/>
            <w:shd w:fill="auto" w:val="clear"/>
            <w:vAlign w:val="center"/>
          </w:tcPr>
          <w:p>
            <w:pPr>
              <w:pStyle w:val="TableContents"/>
              <w:spacing w:before="0" w:after="0"/>
              <w:ind w:left="0" w:right="0" w:hanging="0"/>
              <w:jc w:val="left"/>
              <w:rPr/>
            </w:pPr>
            <w:r>
              <w:rPr/>
              <w:t> </w:t>
            </w:r>
          </w:p>
        </w:tc>
        <w:tc>
          <w:tcPr>
            <w:tcW w:w="13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4,942</w:t>
            </w:r>
          </w:p>
        </w:tc>
        <w:tc>
          <w:tcPr>
            <w:tcW w:w="191" w:type="dxa"/>
            <w:tcBorders/>
            <w:shd w:fill="auto" w:val="clear"/>
            <w:vAlign w:val="center"/>
          </w:tcPr>
          <w:p>
            <w:pPr>
              <w:pStyle w:val="TableContents"/>
              <w:spacing w:before="0" w:after="0"/>
              <w:ind w:left="0" w:right="0" w:hanging="0"/>
              <w:jc w:val="left"/>
              <w:rPr/>
            </w:pPr>
            <w:r>
              <w:rPr/>
              <w:t> </w:t>
            </w:r>
          </w:p>
        </w:tc>
      </w:tr>
      <w:tr>
        <w:trPr/>
        <w:tc>
          <w:tcPr>
            <w:tcW w:w="36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income taxes</w:t>
            </w:r>
          </w:p>
        </w:tc>
        <w:tc>
          <w:tcPr>
            <w:tcW w:w="146" w:type="dxa"/>
            <w:tcBorders/>
            <w:shd w:fill="auto" w:val="clear"/>
            <w:vAlign w:val="center"/>
          </w:tcPr>
          <w:p>
            <w:pPr>
              <w:pStyle w:val="TableContents"/>
              <w:spacing w:before="0" w:after="0"/>
              <w:ind w:left="0" w:right="0" w:hanging="0"/>
              <w:jc w:val="left"/>
              <w:rPr/>
            </w:pPr>
            <w:r>
              <w:rPr/>
              <w:t> </w:t>
            </w:r>
          </w:p>
        </w:tc>
        <w:tc>
          <w:tcPr>
            <w:tcW w:w="342" w:type="dxa"/>
            <w:tcBorders/>
            <w:shd w:fill="auto" w:val="clear"/>
            <w:vAlign w:val="center"/>
          </w:tcPr>
          <w:p>
            <w:pPr>
              <w:pStyle w:val="TableContents"/>
              <w:spacing w:before="0" w:after="0"/>
              <w:ind w:left="0" w:right="0" w:hanging="0"/>
              <w:jc w:val="left"/>
              <w:rPr/>
            </w:pPr>
            <w:r>
              <w:rPr/>
              <w:t> </w:t>
            </w:r>
          </w:p>
        </w:tc>
        <w:tc>
          <w:tcPr>
            <w:tcW w:w="109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9" w:type="dxa"/>
            <w:tcBorders/>
            <w:shd w:fill="auto" w:val="clear"/>
            <w:vAlign w:val="center"/>
          </w:tcPr>
          <w:p>
            <w:pPr>
              <w:pStyle w:val="TableContents"/>
              <w:spacing w:before="0" w:after="0"/>
              <w:ind w:left="0" w:right="0" w:hanging="0"/>
              <w:jc w:val="left"/>
              <w:rPr/>
            </w:pPr>
            <w:r>
              <w:rPr/>
              <w:t> </w:t>
            </w:r>
          </w:p>
        </w:tc>
        <w:tc>
          <w:tcPr>
            <w:tcW w:w="13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358</w:t>
            </w:r>
          </w:p>
        </w:tc>
        <w:tc>
          <w:tcPr>
            <w:tcW w:w="191" w:type="dxa"/>
            <w:tcBorders/>
            <w:shd w:fill="auto" w:val="clear"/>
            <w:vAlign w:val="center"/>
          </w:tcPr>
          <w:p>
            <w:pPr>
              <w:pStyle w:val="TableContents"/>
              <w:spacing w:before="0" w:after="0"/>
              <w:ind w:left="0" w:right="0" w:hanging="0"/>
              <w:jc w:val="left"/>
              <w:rPr/>
            </w:pPr>
            <w:r>
              <w:rPr/>
              <w:t> </w:t>
            </w:r>
          </w:p>
        </w:tc>
      </w:tr>
      <w:tr>
        <w:trPr/>
        <w:tc>
          <w:tcPr>
            <w:tcW w:w="36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expenses</w:t>
            </w:r>
          </w:p>
        </w:tc>
        <w:tc>
          <w:tcPr>
            <w:tcW w:w="146" w:type="dxa"/>
            <w:tcBorders/>
            <w:shd w:fill="auto" w:val="clear"/>
            <w:vAlign w:val="center"/>
          </w:tcPr>
          <w:p>
            <w:pPr>
              <w:pStyle w:val="TableContents"/>
              <w:spacing w:before="0" w:after="0"/>
              <w:ind w:left="0" w:right="0" w:hanging="0"/>
              <w:jc w:val="left"/>
              <w:rPr/>
            </w:pPr>
            <w:r>
              <w:rPr/>
              <w:t> </w:t>
            </w:r>
          </w:p>
        </w:tc>
        <w:tc>
          <w:tcPr>
            <w:tcW w:w="342" w:type="dxa"/>
            <w:tcBorders/>
            <w:shd w:fill="auto" w:val="clear"/>
            <w:vAlign w:val="center"/>
          </w:tcPr>
          <w:p>
            <w:pPr>
              <w:pStyle w:val="TableContents"/>
              <w:spacing w:before="0" w:after="0"/>
              <w:ind w:left="0" w:right="0" w:hanging="0"/>
              <w:jc w:val="left"/>
              <w:rPr/>
            </w:pPr>
            <w:r>
              <w:rPr/>
              <w:t> </w:t>
            </w:r>
          </w:p>
        </w:tc>
        <w:tc>
          <w:tcPr>
            <w:tcW w:w="109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13,637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9" w:type="dxa"/>
            <w:tcBorders/>
            <w:shd w:fill="auto" w:val="clear"/>
            <w:vAlign w:val="center"/>
          </w:tcPr>
          <w:p>
            <w:pPr>
              <w:pStyle w:val="TableContents"/>
              <w:spacing w:before="0" w:after="0"/>
              <w:ind w:left="0" w:right="0" w:hanging="0"/>
              <w:jc w:val="left"/>
              <w:rPr/>
            </w:pPr>
            <w:r>
              <w:rPr/>
              <w:t> </w:t>
            </w:r>
          </w:p>
        </w:tc>
        <w:tc>
          <w:tcPr>
            <w:tcW w:w="13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12,745</w:t>
            </w:r>
          </w:p>
        </w:tc>
        <w:tc>
          <w:tcPr>
            <w:tcW w:w="191" w:type="dxa"/>
            <w:tcBorders/>
            <w:shd w:fill="auto" w:val="clear"/>
            <w:vAlign w:val="center"/>
          </w:tcPr>
          <w:p>
            <w:pPr>
              <w:pStyle w:val="TableContents"/>
              <w:spacing w:before="0" w:after="0"/>
              <w:ind w:left="0" w:right="0" w:hanging="0"/>
              <w:jc w:val="left"/>
              <w:rPr/>
            </w:pPr>
            <w:r>
              <w:rPr/>
              <w:t> </w:t>
            </w:r>
          </w:p>
        </w:tc>
      </w:tr>
      <w:tr>
        <w:trPr/>
        <w:tc>
          <w:tcPr>
            <w:tcW w:w="369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Current portion of guarantee </w:t>
            </w:r>
            <w:r>
              <w:rPr>
                <w:rFonts w:ascii="Times New Roman;serif" w:hAnsi="Times New Roman;serif"/>
                <w:b w:val="false"/>
                <w:sz w:val="13"/>
              </w:rPr>
              <w:t>(1)</w:t>
            </w:r>
          </w:p>
        </w:tc>
        <w:tc>
          <w:tcPr>
            <w:tcW w:w="146" w:type="dxa"/>
            <w:tcBorders/>
            <w:shd w:fill="auto" w:val="clear"/>
            <w:vAlign w:val="center"/>
          </w:tcPr>
          <w:p>
            <w:pPr>
              <w:pStyle w:val="TableContents"/>
              <w:spacing w:before="0" w:after="0"/>
              <w:ind w:left="0" w:right="0" w:hanging="0"/>
              <w:jc w:val="left"/>
              <w:rPr/>
            </w:pPr>
            <w:r>
              <w:rPr/>
              <w:t> </w:t>
            </w:r>
          </w:p>
        </w:tc>
        <w:tc>
          <w:tcPr>
            <w:tcW w:w="342" w:type="dxa"/>
            <w:tcBorders/>
            <w:shd w:fill="auto" w:val="clear"/>
            <w:vAlign w:val="center"/>
          </w:tcPr>
          <w:p>
            <w:pPr>
              <w:pStyle w:val="TableContents"/>
              <w:spacing w:before="0" w:after="0"/>
              <w:ind w:left="0" w:right="0" w:hanging="0"/>
              <w:jc w:val="left"/>
              <w:rPr/>
            </w:pPr>
            <w:r>
              <w:rPr/>
              <w:t> </w:t>
            </w:r>
          </w:p>
        </w:tc>
        <w:tc>
          <w:tcPr>
            <w:tcW w:w="109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1,592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9" w:type="dxa"/>
            <w:tcBorders/>
            <w:shd w:fill="auto" w:val="clear"/>
            <w:vAlign w:val="center"/>
          </w:tcPr>
          <w:p>
            <w:pPr>
              <w:pStyle w:val="TableContents"/>
              <w:spacing w:before="0" w:after="0"/>
              <w:ind w:left="0" w:right="0" w:hanging="0"/>
              <w:jc w:val="left"/>
              <w:rPr/>
            </w:pPr>
            <w:r>
              <w:rPr/>
              <w:t> </w:t>
            </w:r>
          </w:p>
        </w:tc>
        <w:tc>
          <w:tcPr>
            <w:tcW w:w="13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2,431</w:t>
            </w:r>
          </w:p>
        </w:tc>
        <w:tc>
          <w:tcPr>
            <w:tcW w:w="191" w:type="dxa"/>
            <w:tcBorders/>
            <w:shd w:fill="auto" w:val="clear"/>
            <w:vAlign w:val="center"/>
          </w:tcPr>
          <w:p>
            <w:pPr>
              <w:pStyle w:val="TableContents"/>
              <w:spacing w:before="0" w:after="0"/>
              <w:ind w:left="0" w:right="0" w:hanging="0"/>
              <w:jc w:val="left"/>
              <w:rPr/>
            </w:pPr>
            <w:r>
              <w:rPr/>
              <w:t> </w:t>
            </w:r>
          </w:p>
        </w:tc>
      </w:tr>
      <w:tr>
        <w:trPr/>
        <w:tc>
          <w:tcPr>
            <w:tcW w:w="36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portion of operating lease liabilities</w:t>
            </w:r>
          </w:p>
        </w:tc>
        <w:tc>
          <w:tcPr>
            <w:tcW w:w="146" w:type="dxa"/>
            <w:tcBorders/>
            <w:shd w:fill="auto" w:val="clear"/>
            <w:vAlign w:val="center"/>
          </w:tcPr>
          <w:p>
            <w:pPr>
              <w:pStyle w:val="TableContents"/>
              <w:spacing w:before="0" w:after="0"/>
              <w:ind w:left="0" w:right="0" w:hanging="0"/>
              <w:jc w:val="left"/>
              <w:rPr/>
            </w:pPr>
            <w:r>
              <w:rPr/>
              <w:t> </w:t>
            </w:r>
          </w:p>
        </w:tc>
        <w:tc>
          <w:tcPr>
            <w:tcW w:w="342" w:type="dxa"/>
            <w:tcBorders/>
            <w:shd w:fill="auto" w:val="clear"/>
            <w:vAlign w:val="center"/>
          </w:tcPr>
          <w:p>
            <w:pPr>
              <w:pStyle w:val="TableContents"/>
              <w:spacing w:before="0" w:after="0"/>
              <w:ind w:left="0" w:right="0" w:hanging="0"/>
              <w:jc w:val="left"/>
              <w:rPr/>
            </w:pPr>
            <w:r>
              <w:rPr/>
              <w:t> </w:t>
            </w:r>
          </w:p>
        </w:tc>
        <w:tc>
          <w:tcPr>
            <w:tcW w:w="109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2,177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9" w:type="dxa"/>
            <w:tcBorders/>
            <w:shd w:fill="auto" w:val="clear"/>
            <w:vAlign w:val="center"/>
          </w:tcPr>
          <w:p>
            <w:pPr>
              <w:pStyle w:val="TableContents"/>
              <w:spacing w:before="0" w:after="0"/>
              <w:ind w:left="0" w:right="0" w:hanging="0"/>
              <w:jc w:val="left"/>
              <w:rPr/>
            </w:pPr>
            <w:r>
              <w:rPr/>
              <w:t> </w:t>
            </w:r>
          </w:p>
        </w:tc>
        <w:tc>
          <w:tcPr>
            <w:tcW w:w="13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2,108</w:t>
            </w:r>
          </w:p>
        </w:tc>
        <w:tc>
          <w:tcPr>
            <w:tcW w:w="191" w:type="dxa"/>
            <w:tcBorders/>
            <w:shd w:fill="auto" w:val="clear"/>
            <w:vAlign w:val="center"/>
          </w:tcPr>
          <w:p>
            <w:pPr>
              <w:pStyle w:val="TableContents"/>
              <w:spacing w:before="0" w:after="0"/>
              <w:ind w:left="0" w:right="0" w:hanging="0"/>
              <w:jc w:val="left"/>
              <w:rPr/>
            </w:pPr>
            <w:r>
              <w:rPr/>
              <w:t> </w:t>
            </w:r>
          </w:p>
        </w:tc>
      </w:tr>
      <w:tr>
        <w:trPr/>
        <w:tc>
          <w:tcPr>
            <w:tcW w:w="36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shd w:fill="auto" w:val="clear"/>
            <w:vAlign w:val="center"/>
          </w:tcPr>
          <w:p>
            <w:pPr>
              <w:pStyle w:val="TableContents"/>
              <w:spacing w:before="0" w:after="0"/>
              <w:ind w:left="0" w:right="0" w:hanging="0"/>
              <w:jc w:val="left"/>
              <w:rPr/>
            </w:pPr>
            <w:r>
              <w:rPr/>
              <w:t> </w:t>
            </w:r>
          </w:p>
        </w:tc>
        <w:tc>
          <w:tcPr>
            <w:tcW w:w="3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1,753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1,715</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6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29,427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31,277</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13"/>
        </w:rPr>
        <w:t>(1)</w:t>
      </w:r>
      <w:r>
        <w:rPr>
          <w:rFonts w:ascii="Times New Roman" w:hAnsi="Times New Roman"/>
          <w:sz w:val="20"/>
        </w:rPr>
        <w:t xml:space="preserve"> </w:t>
      </w:r>
      <w:r>
        <w:rPr>
          <w:rFonts w:ascii="Times New Roman;serif" w:hAnsi="Times New Roman;serif"/>
          <w:b w:val="false"/>
          <w:sz w:val="20"/>
        </w:rPr>
        <w:t xml:space="preserve">Refer to “Note 15 </w:t>
      </w:r>
      <w:r>
        <w:rPr>
          <w:rFonts w:ascii="Times New Roman" w:hAnsi="Times New Roman"/>
          <w:sz w:val="20"/>
        </w:rPr>
        <w:t xml:space="preserve">– </w:t>
      </w:r>
      <w:r>
        <w:rPr>
          <w:rFonts w:ascii="Times New Roman;serif" w:hAnsi="Times New Roman;serif"/>
          <w:b w:val="false"/>
          <w:i/>
          <w:sz w:val="20"/>
        </w:rPr>
        <w:t>Commitments and Contingencies”</w:t>
      </w:r>
      <w:r>
        <w:rPr>
          <w:rFonts w:ascii="Times New Roman" w:hAnsi="Times New Roman"/>
          <w:sz w:val="20"/>
        </w:rPr>
        <w:t xml:space="preserve"> </w:t>
      </w:r>
      <w:r>
        <w:rPr>
          <w:rFonts w:ascii="Times New Roman;serif" w:hAnsi="Times New Roman;serif"/>
          <w:b w:val="false"/>
          <w:sz w:val="20"/>
        </w:rPr>
        <w:t>for further detail on the nature of the guarantee.</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sz w:val="20"/>
        </w:rPr>
        <w:t>Other long-term liabilities consisted of the following (in thousands):</w:t>
      </w:r>
      <w:r>
        <w:rPr>
          <w:rFonts w:ascii="Times New Roman" w:hAnsi="Times New Roman"/>
          <w:sz w:val="20"/>
        </w:rPr>
        <w:t xml:space="preserve"> </w:t>
      </w:r>
    </w:p>
    <w:p>
      <w:pPr>
        <w:pStyle w:val="TextBody"/>
        <w:spacing w:before="0" w:after="0"/>
        <w:jc w:val="left"/>
        <w:rPr/>
      </w:pPr>
      <w:r>
        <w:rPr/>
        <w:t> </w:t>
      </w:r>
    </w:p>
    <w:tbl>
      <w:tblPr>
        <w:tblW w:w="6675" w:type="dxa"/>
        <w:jc w:val="left"/>
        <w:tblInd w:w="0" w:type="dxa"/>
        <w:tblCellMar>
          <w:top w:w="28" w:type="dxa"/>
          <w:left w:w="28" w:type="dxa"/>
          <w:bottom w:w="28" w:type="dxa"/>
          <w:right w:w="28" w:type="dxa"/>
        </w:tblCellMar>
      </w:tblPr>
      <w:tblGrid>
        <w:gridCol w:w="2881"/>
        <w:gridCol w:w="146"/>
        <w:gridCol w:w="342"/>
        <w:gridCol w:w="1098"/>
        <w:gridCol w:w="146"/>
        <w:gridCol w:w="146"/>
        <w:gridCol w:w="409"/>
        <w:gridCol w:w="1316"/>
        <w:gridCol w:w="191"/>
      </w:tblGrid>
      <w:tr>
        <w:trPr/>
        <w:tc>
          <w:tcPr>
            <w:tcW w:w="28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109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131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88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4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March 31, 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72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December 31, 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88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Long-term portion of guarantee </w:t>
            </w:r>
            <w:r>
              <w:rPr>
                <w:rFonts w:ascii="Times New Roman;serif" w:hAnsi="Times New Roman;serif"/>
                <w:b w:val="false"/>
                <w:sz w:val="13"/>
              </w:rPr>
              <w:t>(1)</w:t>
            </w:r>
          </w:p>
        </w:tc>
        <w:tc>
          <w:tcPr>
            <w:tcW w:w="146" w:type="dxa"/>
            <w:tcBorders/>
            <w:shd w:fill="auto" w:val="clear"/>
            <w:vAlign w:val="center"/>
          </w:tcPr>
          <w:p>
            <w:pPr>
              <w:pStyle w:val="TableContents"/>
              <w:spacing w:before="0" w:after="0"/>
              <w:ind w:left="0" w:right="0" w:hanging="0"/>
              <w:jc w:val="left"/>
              <w:rPr/>
            </w:pPr>
            <w:r>
              <w:rPr/>
              <w:t> </w:t>
            </w:r>
          </w:p>
        </w:tc>
        <w:tc>
          <w:tcPr>
            <w:tcW w:w="34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18,064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18,064</w:t>
            </w:r>
          </w:p>
        </w:tc>
        <w:tc>
          <w:tcPr>
            <w:tcW w:w="191" w:type="dxa"/>
            <w:tcBorders/>
            <w:shd w:fill="auto" w:val="clear"/>
            <w:vAlign w:val="center"/>
          </w:tcPr>
          <w:p>
            <w:pPr>
              <w:pStyle w:val="TableContents"/>
              <w:spacing w:before="0" w:after="0"/>
              <w:ind w:left="0" w:right="0" w:hanging="0"/>
              <w:jc w:val="left"/>
              <w:rPr/>
            </w:pPr>
            <w:r>
              <w:rPr/>
              <w:t> </w:t>
            </w:r>
          </w:p>
        </w:tc>
      </w:tr>
      <w:tr>
        <w:trPr/>
        <w:tc>
          <w:tcPr>
            <w:tcW w:w="28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shd w:fill="auto" w:val="clear"/>
            <w:vAlign w:val="center"/>
          </w:tcPr>
          <w:p>
            <w:pPr>
              <w:pStyle w:val="TableContents"/>
              <w:spacing w:before="0" w:after="0"/>
              <w:ind w:left="0" w:right="0" w:hanging="0"/>
              <w:jc w:val="left"/>
              <w:rPr/>
            </w:pPr>
            <w:r>
              <w:rPr/>
              <w:t> </w:t>
            </w:r>
          </w:p>
        </w:tc>
        <w:tc>
          <w:tcPr>
            <w:tcW w:w="3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1,958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1,979</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8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20,022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20,043</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13"/>
        </w:rPr>
        <w:t>(1)</w:t>
      </w:r>
      <w:r>
        <w:rPr>
          <w:rFonts w:ascii="Times New Roman" w:hAnsi="Times New Roman"/>
          <w:sz w:val="20"/>
        </w:rPr>
        <w:t xml:space="preserve"> </w:t>
      </w:r>
      <w:r>
        <w:rPr>
          <w:rFonts w:ascii="Times New Roman;serif" w:hAnsi="Times New Roman;serif"/>
          <w:b w:val="false"/>
          <w:sz w:val="20"/>
        </w:rPr>
        <w:t xml:space="preserve">Refer to “Note 15 </w:t>
      </w:r>
      <w:r>
        <w:rPr>
          <w:rFonts w:ascii="Times New Roman" w:hAnsi="Times New Roman"/>
          <w:sz w:val="20"/>
        </w:rPr>
        <w:t xml:space="preserve">– </w:t>
      </w:r>
      <w:r>
        <w:rPr>
          <w:rFonts w:ascii="Times New Roman;serif" w:hAnsi="Times New Roman;serif"/>
          <w:b w:val="false"/>
          <w:i/>
          <w:sz w:val="20"/>
        </w:rPr>
        <w:t>Commitments and Contingencies”</w:t>
      </w:r>
      <w:r>
        <w:rPr>
          <w:rFonts w:ascii="Times New Roman" w:hAnsi="Times New Roman"/>
          <w:sz w:val="20"/>
        </w:rPr>
        <w:t xml:space="preserve"> </w:t>
      </w:r>
      <w:r>
        <w:rPr>
          <w:rFonts w:ascii="Times New Roman;serif" w:hAnsi="Times New Roman;serif"/>
          <w:b w:val="false"/>
          <w:sz w:val="20"/>
        </w:rPr>
        <w:t>for further detail on the nature of the guarantee.</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14</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sz w:val="20"/>
        </w:rPr>
      </w:pPr>
      <w:r>
        <w:rPr>
          <w:rFonts w:ascii="Times New Roman;serif" w:hAnsi="Times New Roman;serif"/>
          <w:b/>
          <w:sz w:val="20"/>
        </w:rPr>
        <w:t>NOTE 5 – FINANCIAL INSTRUMENTS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The Company has investments in debt securities which include corporate bonds and notes, treasury and agency notes and bills, commercial paper, certificates of deposit, and in equity securities consisting of money market funds. The Company classifies its debt securities as available-for-sale (“AFS”), which are accounted for at fair value with credit related losses recognized as a provision for credit losses in its Condensed Consolidated Statements of Operations and all non-credit related unrealized gains and losses recognized in accumulated other comprehensive income or loss on the Condensed Consolidated Balance Sheets. Under ASU 2016-01 (Topic 321), equity securities are measured at fair value with unrealized gains and losses recognized in other income and expense, net, in the Condensed Consolidated Statements of Operations.</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following is a summary of marketable securities at March 31, 2023 and December 31, 2022 (in thousands):</w:t>
      </w:r>
    </w:p>
    <w:p>
      <w:pPr>
        <w:pStyle w:val="TextBody"/>
        <w:spacing w:before="0" w:after="0"/>
        <w:jc w:val="left"/>
        <w:rPr/>
      </w:pPr>
      <w:r>
        <w:rPr/>
        <w:t> </w:t>
      </w:r>
    </w:p>
    <w:tbl>
      <w:tblPr>
        <w:tblW w:w="10539" w:type="dxa"/>
        <w:jc w:val="left"/>
        <w:tblInd w:w="0" w:type="dxa"/>
        <w:tblCellMar>
          <w:top w:w="28" w:type="dxa"/>
          <w:left w:w="28" w:type="dxa"/>
          <w:bottom w:w="28" w:type="dxa"/>
          <w:right w:w="28" w:type="dxa"/>
        </w:tblCellMar>
      </w:tblPr>
      <w:tblGrid>
        <w:gridCol w:w="2291"/>
        <w:gridCol w:w="146"/>
        <w:gridCol w:w="211"/>
        <w:gridCol w:w="676"/>
        <w:gridCol w:w="146"/>
        <w:gridCol w:w="146"/>
        <w:gridCol w:w="392"/>
        <w:gridCol w:w="644"/>
        <w:gridCol w:w="146"/>
        <w:gridCol w:w="146"/>
        <w:gridCol w:w="392"/>
        <w:gridCol w:w="644"/>
        <w:gridCol w:w="166"/>
        <w:gridCol w:w="146"/>
        <w:gridCol w:w="870"/>
        <w:gridCol w:w="1431"/>
        <w:gridCol w:w="146"/>
        <w:gridCol w:w="146"/>
        <w:gridCol w:w="228"/>
        <w:gridCol w:w="733"/>
        <w:gridCol w:w="693"/>
      </w:tblGrid>
      <w:tr>
        <w:trPr/>
        <w:tc>
          <w:tcPr>
            <w:tcW w:w="22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70" w:type="dxa"/>
            <w:tcBorders/>
            <w:shd w:fill="auto" w:val="clear"/>
            <w:vAlign w:val="center"/>
          </w:tcPr>
          <w:p>
            <w:pPr>
              <w:pStyle w:val="TableContents"/>
              <w:spacing w:before="0" w:after="283"/>
              <w:rPr>
                <w:sz w:val="4"/>
                <w:szCs w:val="4"/>
              </w:rPr>
            </w:pPr>
            <w:r>
              <w:rPr>
                <w:sz w:val="4"/>
                <w:szCs w:val="4"/>
              </w:rPr>
            </w:r>
          </w:p>
        </w:tc>
        <w:tc>
          <w:tcPr>
            <w:tcW w:w="14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733" w:type="dxa"/>
            <w:tcBorders/>
            <w:shd w:fill="auto" w:val="clear"/>
            <w:vAlign w:val="center"/>
          </w:tcPr>
          <w:p>
            <w:pPr>
              <w:pStyle w:val="TableContents"/>
              <w:spacing w:before="0" w:after="283"/>
              <w:rPr>
                <w:sz w:val="4"/>
                <w:szCs w:val="4"/>
              </w:rPr>
            </w:pPr>
            <w:r>
              <w:rPr>
                <w:sz w:val="4"/>
                <w:szCs w:val="4"/>
              </w:rPr>
            </w:r>
          </w:p>
        </w:tc>
        <w:tc>
          <w:tcPr>
            <w:tcW w:w="693" w:type="dxa"/>
            <w:tcBorders/>
            <w:shd w:fill="auto" w:val="clear"/>
            <w:vAlign w:val="center"/>
          </w:tcPr>
          <w:p>
            <w:pPr>
              <w:pStyle w:val="TableContents"/>
              <w:spacing w:before="0" w:after="283"/>
              <w:rPr>
                <w:sz w:val="4"/>
                <w:szCs w:val="4"/>
              </w:rPr>
            </w:pPr>
            <w:r>
              <w:rPr>
                <w:sz w:val="4"/>
                <w:szCs w:val="4"/>
              </w:rPr>
            </w:r>
          </w:p>
        </w:tc>
      </w:tr>
      <w:tr>
        <w:trPr/>
        <w:tc>
          <w:tcPr>
            <w:tcW w:w="229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409" w:type="dxa"/>
            <w:gridSpan w:val="18"/>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March 31, 2023</w:t>
            </w:r>
          </w:p>
        </w:tc>
        <w:tc>
          <w:tcPr>
            <w:tcW w:w="6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29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Cost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3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Gross</w:t>
              <w:br/>
              <w:t>Unrealized</w:t>
              <w:br/>
              <w:t>Gains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3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Gross</w:t>
              <w:br/>
              <w:t>Unrealized</w:t>
              <w:br/>
              <w:t>Losses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30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Allowance for Credit Losses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6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Estimated</w:t>
              <w:br/>
              <w:t>Fair</w:t>
              <w:br/>
              <w:t>Values</w:t>
            </w:r>
          </w:p>
        </w:tc>
        <w:tc>
          <w:tcPr>
            <w:tcW w:w="6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29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Marketable securities</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0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61" w:type="dxa"/>
            <w:gridSpan w:val="2"/>
            <w:tcBorders/>
            <w:shd w:fill="auto" w:val="clear"/>
            <w:vAlign w:val="center"/>
          </w:tcPr>
          <w:p>
            <w:pPr>
              <w:pStyle w:val="TableContents"/>
              <w:spacing w:before="0" w:after="0"/>
              <w:ind w:left="0" w:right="0" w:hanging="0"/>
              <w:jc w:val="right"/>
              <w:rPr/>
            </w:pPr>
            <w:r>
              <w:rPr/>
              <w:t> </w:t>
            </w:r>
          </w:p>
        </w:tc>
        <w:tc>
          <w:tcPr>
            <w:tcW w:w="693" w:type="dxa"/>
            <w:tcBorders/>
            <w:shd w:fill="auto" w:val="clear"/>
            <w:vAlign w:val="center"/>
          </w:tcPr>
          <w:p>
            <w:pPr>
              <w:pStyle w:val="TableContents"/>
              <w:spacing w:before="0" w:after="0"/>
              <w:ind w:left="0" w:right="0" w:firstLine="200"/>
              <w:jc w:val="right"/>
              <w:rPr/>
            </w:pPr>
            <w:r>
              <w:rPr/>
              <w:t> </w:t>
            </w:r>
          </w:p>
        </w:tc>
      </w:tr>
      <w:tr>
        <w:trPr/>
        <w:tc>
          <w:tcPr>
            <w:tcW w:w="229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Commercial paper</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29,574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8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29,566</w:t>
            </w:r>
          </w:p>
        </w:tc>
        <w:tc>
          <w:tcPr>
            <w:tcW w:w="6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2291" w:type="dxa"/>
            <w:tcBorders/>
            <w:shd w:fill="auto" w:val="clear"/>
            <w:vAlign w:val="center"/>
          </w:tcPr>
          <w:p>
            <w:pPr>
              <w:pStyle w:val="TableContents"/>
              <w:spacing w:before="0" w:after="0"/>
              <w:ind w:left="400" w:right="0" w:hanging="0"/>
              <w:jc w:val="left"/>
              <w:rPr>
                <w:rFonts w:ascii="Times New Roman;serif" w:hAnsi="Times New Roman;serif"/>
                <w:b/>
                <w:sz w:val="20"/>
              </w:rPr>
            </w:pPr>
            <w:r>
              <w:rPr>
                <w:rFonts w:ascii="Times New Roman;serif" w:hAnsi="Times New Roman;serif"/>
                <w:b/>
                <w:sz w:val="20"/>
              </w:rPr>
              <w:t>Total debt securities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29,574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8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29,566</w:t>
            </w:r>
          </w:p>
        </w:tc>
        <w:tc>
          <w:tcPr>
            <w:tcW w:w="6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229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Money market funds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3,923</w:t>
            </w:r>
          </w:p>
        </w:tc>
        <w:tc>
          <w:tcPr>
            <w:tcW w:w="6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2291" w:type="dxa"/>
            <w:tcBorders/>
            <w:shd w:fill="auto" w:val="clear"/>
            <w:vAlign w:val="center"/>
          </w:tcPr>
          <w:p>
            <w:pPr>
              <w:pStyle w:val="TableContents"/>
              <w:spacing w:before="0" w:after="0"/>
              <w:ind w:left="400" w:right="0" w:hanging="0"/>
              <w:jc w:val="left"/>
              <w:rPr>
                <w:rFonts w:ascii="Times New Roman;serif" w:hAnsi="Times New Roman;serif"/>
                <w:b/>
                <w:sz w:val="20"/>
              </w:rPr>
            </w:pPr>
            <w:r>
              <w:rPr>
                <w:rFonts w:ascii="Times New Roman;serif" w:hAnsi="Times New Roman;serif"/>
                <w:b/>
                <w:sz w:val="20"/>
              </w:rPr>
              <w:t>Total equity securities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3,923</w:t>
            </w:r>
          </w:p>
        </w:tc>
        <w:tc>
          <w:tcPr>
            <w:tcW w:w="6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500"/>
              <w:jc w:val="left"/>
              <w:rPr/>
            </w:pPr>
            <w:r>
              <w:rPr/>
              <w:t> </w:t>
            </w:r>
          </w:p>
        </w:tc>
      </w:tr>
      <w:tr>
        <w:trPr/>
        <w:tc>
          <w:tcPr>
            <w:tcW w:w="2291" w:type="dxa"/>
            <w:tcBorders/>
            <w:shd w:fill="auto" w:val="clear"/>
            <w:vAlign w:val="center"/>
          </w:tcPr>
          <w:p>
            <w:pPr>
              <w:pStyle w:val="TableContents"/>
              <w:spacing w:before="0" w:after="0"/>
              <w:ind w:left="500" w:right="0" w:hanging="0"/>
              <w:jc w:val="left"/>
              <w:rPr>
                <w:rFonts w:ascii="Times New Roman;serif" w:hAnsi="Times New Roman;serif"/>
                <w:b/>
                <w:sz w:val="20"/>
              </w:rPr>
            </w:pPr>
            <w:r>
              <w:rPr>
                <w:rFonts w:ascii="Times New Roman;serif" w:hAnsi="Times New Roman;serif"/>
                <w:b/>
                <w:sz w:val="20"/>
              </w:rPr>
              <w:t>Total marketable securities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33,497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87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33,489</w:t>
            </w:r>
          </w:p>
        </w:tc>
        <w:tc>
          <w:tcPr>
            <w:tcW w:w="6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29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Reported in:</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0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61" w:type="dxa"/>
            <w:gridSpan w:val="2"/>
            <w:tcBorders/>
            <w:shd w:fill="auto" w:val="clear"/>
            <w:vAlign w:val="center"/>
          </w:tcPr>
          <w:p>
            <w:pPr>
              <w:pStyle w:val="TableContents"/>
              <w:spacing w:before="0" w:after="0"/>
              <w:ind w:left="0" w:right="0" w:hanging="0"/>
              <w:jc w:val="right"/>
              <w:rPr/>
            </w:pPr>
            <w:r>
              <w:rPr/>
              <w:t> </w:t>
            </w:r>
          </w:p>
        </w:tc>
        <w:tc>
          <w:tcPr>
            <w:tcW w:w="693" w:type="dxa"/>
            <w:tcBorders/>
            <w:shd w:fill="auto" w:val="clear"/>
            <w:vAlign w:val="center"/>
          </w:tcPr>
          <w:p>
            <w:pPr>
              <w:pStyle w:val="TableContents"/>
              <w:spacing w:before="0" w:after="0"/>
              <w:ind w:left="0" w:right="0" w:firstLine="200"/>
              <w:jc w:val="right"/>
              <w:rPr/>
            </w:pPr>
            <w:r>
              <w:rPr/>
              <w:t> </w:t>
            </w:r>
          </w:p>
        </w:tc>
      </w:tr>
      <w:tr>
        <w:trPr/>
        <w:tc>
          <w:tcPr>
            <w:tcW w:w="229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0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33,489</w:t>
            </w:r>
          </w:p>
        </w:tc>
        <w:tc>
          <w:tcPr>
            <w:tcW w:w="6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tbl>
      <w:tblPr>
        <w:tblW w:w="10539" w:type="dxa"/>
        <w:jc w:val="left"/>
        <w:tblInd w:w="0" w:type="dxa"/>
        <w:tblCellMar>
          <w:top w:w="28" w:type="dxa"/>
          <w:left w:w="28" w:type="dxa"/>
          <w:bottom w:w="28" w:type="dxa"/>
          <w:right w:w="28" w:type="dxa"/>
        </w:tblCellMar>
      </w:tblPr>
      <w:tblGrid>
        <w:gridCol w:w="2323"/>
        <w:gridCol w:w="146"/>
        <w:gridCol w:w="211"/>
        <w:gridCol w:w="676"/>
        <w:gridCol w:w="146"/>
        <w:gridCol w:w="146"/>
        <w:gridCol w:w="392"/>
        <w:gridCol w:w="644"/>
        <w:gridCol w:w="146"/>
        <w:gridCol w:w="146"/>
        <w:gridCol w:w="392"/>
        <w:gridCol w:w="644"/>
        <w:gridCol w:w="166"/>
        <w:gridCol w:w="146"/>
        <w:gridCol w:w="859"/>
        <w:gridCol w:w="1411"/>
        <w:gridCol w:w="146"/>
        <w:gridCol w:w="146"/>
        <w:gridCol w:w="228"/>
        <w:gridCol w:w="733"/>
        <w:gridCol w:w="692"/>
      </w:tblGrid>
      <w:tr>
        <w:trPr/>
        <w:tc>
          <w:tcPr>
            <w:tcW w:w="232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59" w:type="dxa"/>
            <w:tcBorders/>
            <w:shd w:fill="auto" w:val="clear"/>
            <w:vAlign w:val="center"/>
          </w:tcPr>
          <w:p>
            <w:pPr>
              <w:pStyle w:val="TableContents"/>
              <w:spacing w:before="0" w:after="283"/>
              <w:rPr>
                <w:sz w:val="4"/>
                <w:szCs w:val="4"/>
              </w:rPr>
            </w:pPr>
            <w:r>
              <w:rPr>
                <w:sz w:val="4"/>
                <w:szCs w:val="4"/>
              </w:rPr>
            </w:r>
          </w:p>
        </w:tc>
        <w:tc>
          <w:tcPr>
            <w:tcW w:w="14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733" w:type="dxa"/>
            <w:tcBorders/>
            <w:shd w:fill="auto" w:val="clear"/>
            <w:vAlign w:val="center"/>
          </w:tcPr>
          <w:p>
            <w:pPr>
              <w:pStyle w:val="TableContents"/>
              <w:spacing w:before="0" w:after="283"/>
              <w:rPr>
                <w:sz w:val="4"/>
                <w:szCs w:val="4"/>
              </w:rPr>
            </w:pPr>
            <w:r>
              <w:rPr>
                <w:sz w:val="4"/>
                <w:szCs w:val="4"/>
              </w:rPr>
            </w:r>
          </w:p>
        </w:tc>
        <w:tc>
          <w:tcPr>
            <w:tcW w:w="692" w:type="dxa"/>
            <w:tcBorders/>
            <w:shd w:fill="auto" w:val="clear"/>
            <w:vAlign w:val="center"/>
          </w:tcPr>
          <w:p>
            <w:pPr>
              <w:pStyle w:val="TableContents"/>
              <w:spacing w:before="0" w:after="283"/>
              <w:rPr>
                <w:sz w:val="4"/>
                <w:szCs w:val="4"/>
              </w:rPr>
            </w:pPr>
            <w:r>
              <w:rPr>
                <w:sz w:val="4"/>
                <w:szCs w:val="4"/>
              </w:rPr>
            </w:r>
          </w:p>
        </w:tc>
      </w:tr>
      <w:tr>
        <w:trPr/>
        <w:tc>
          <w:tcPr>
            <w:tcW w:w="2323"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78" w:type="dxa"/>
            <w:gridSpan w:val="18"/>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December 31, 2022</w:t>
            </w:r>
          </w:p>
        </w:tc>
        <w:tc>
          <w:tcPr>
            <w:tcW w:w="6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323"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Cost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Gross</w:t>
              <w:br/>
              <w:t>Unrealized</w:t>
              <w:br/>
              <w:t>Gains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Gross</w:t>
              <w:br/>
              <w:t>Unrealized</w:t>
              <w:br/>
              <w:t>Losses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7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Allowance for Credit losses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6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Estimated</w:t>
              <w:br/>
              <w:t>Fair</w:t>
              <w:br/>
              <w:t>Values</w:t>
            </w:r>
          </w:p>
        </w:tc>
        <w:tc>
          <w:tcPr>
            <w:tcW w:w="6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323"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Marketable securities</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70"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61" w:type="dxa"/>
            <w:gridSpan w:val="2"/>
            <w:tcBorders/>
            <w:shd w:fill="auto" w:val="clear"/>
            <w:vAlign w:val="center"/>
          </w:tcPr>
          <w:p>
            <w:pPr>
              <w:pStyle w:val="TableContents"/>
              <w:spacing w:before="0" w:after="0"/>
              <w:ind w:left="0" w:right="0" w:hanging="0"/>
              <w:jc w:val="right"/>
              <w:rPr/>
            </w:pPr>
            <w:r>
              <w:rPr/>
              <w:t> </w:t>
            </w:r>
          </w:p>
        </w:tc>
        <w:tc>
          <w:tcPr>
            <w:tcW w:w="692" w:type="dxa"/>
            <w:tcBorders/>
            <w:shd w:fill="auto" w:val="clear"/>
            <w:vAlign w:val="center"/>
          </w:tcPr>
          <w:p>
            <w:pPr>
              <w:pStyle w:val="TableContents"/>
              <w:spacing w:before="0" w:after="0"/>
              <w:ind w:left="0" w:right="0" w:firstLine="200"/>
              <w:jc w:val="right"/>
              <w:rPr/>
            </w:pPr>
            <w:r>
              <w:rPr/>
              <w:t> </w:t>
            </w:r>
          </w:p>
        </w:tc>
      </w:tr>
      <w:tr>
        <w:trPr/>
        <w:tc>
          <w:tcPr>
            <w:tcW w:w="2323"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Commercial paper</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29,018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85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29,015</w:t>
            </w:r>
          </w:p>
        </w:tc>
        <w:tc>
          <w:tcPr>
            <w:tcW w:w="6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2323" w:type="dxa"/>
            <w:tcBorders/>
            <w:shd w:fill="auto" w:val="clear"/>
            <w:vAlign w:val="center"/>
          </w:tcPr>
          <w:p>
            <w:pPr>
              <w:pStyle w:val="TableContents"/>
              <w:spacing w:before="0" w:after="0"/>
              <w:ind w:left="400" w:right="0" w:hanging="0"/>
              <w:jc w:val="left"/>
              <w:rPr>
                <w:rFonts w:ascii="Times New Roman;serif" w:hAnsi="Times New Roman;serif"/>
                <w:b/>
                <w:sz w:val="20"/>
              </w:rPr>
            </w:pPr>
            <w:r>
              <w:rPr>
                <w:rFonts w:ascii="Times New Roman;serif" w:hAnsi="Times New Roman;serif"/>
                <w:b/>
                <w:sz w:val="20"/>
              </w:rPr>
              <w:t>Total debt securities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29,018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85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29,015</w:t>
            </w:r>
          </w:p>
        </w:tc>
        <w:tc>
          <w:tcPr>
            <w:tcW w:w="6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2323"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Money market funds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4,107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4,107</w:t>
            </w:r>
          </w:p>
        </w:tc>
        <w:tc>
          <w:tcPr>
            <w:tcW w:w="6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2323" w:type="dxa"/>
            <w:tcBorders/>
            <w:shd w:fill="auto" w:val="clear"/>
            <w:vAlign w:val="center"/>
          </w:tcPr>
          <w:p>
            <w:pPr>
              <w:pStyle w:val="TableContents"/>
              <w:spacing w:before="0" w:after="0"/>
              <w:ind w:left="400" w:right="0" w:hanging="0"/>
              <w:jc w:val="left"/>
              <w:rPr>
                <w:rFonts w:ascii="Times New Roman;serif" w:hAnsi="Times New Roman;serif"/>
                <w:b/>
                <w:sz w:val="20"/>
              </w:rPr>
            </w:pPr>
            <w:r>
              <w:rPr>
                <w:rFonts w:ascii="Times New Roman;serif" w:hAnsi="Times New Roman;serif"/>
                <w:b/>
                <w:sz w:val="20"/>
              </w:rPr>
              <w:t>Total equity securities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4,107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85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4,107</w:t>
            </w:r>
          </w:p>
        </w:tc>
        <w:tc>
          <w:tcPr>
            <w:tcW w:w="6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500"/>
              <w:jc w:val="left"/>
              <w:rPr/>
            </w:pPr>
            <w:r>
              <w:rPr/>
              <w:t> </w:t>
            </w:r>
          </w:p>
        </w:tc>
      </w:tr>
      <w:tr>
        <w:trPr/>
        <w:tc>
          <w:tcPr>
            <w:tcW w:w="2323" w:type="dxa"/>
            <w:tcBorders/>
            <w:shd w:fill="auto" w:val="clear"/>
            <w:vAlign w:val="center"/>
          </w:tcPr>
          <w:p>
            <w:pPr>
              <w:pStyle w:val="TableContents"/>
              <w:spacing w:before="0" w:after="0"/>
              <w:ind w:left="500" w:right="0" w:hanging="0"/>
              <w:jc w:val="left"/>
              <w:rPr>
                <w:rFonts w:ascii="Times New Roman;serif" w:hAnsi="Times New Roman;serif"/>
                <w:b/>
                <w:sz w:val="20"/>
              </w:rPr>
            </w:pPr>
            <w:r>
              <w:rPr>
                <w:rFonts w:ascii="Times New Roman;serif" w:hAnsi="Times New Roman;serif"/>
                <w:b/>
                <w:sz w:val="20"/>
              </w:rPr>
              <w:t>Total marketable securities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33,125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85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33,122</w:t>
            </w:r>
          </w:p>
        </w:tc>
        <w:tc>
          <w:tcPr>
            <w:tcW w:w="69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323"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Reported in:</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70"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61" w:type="dxa"/>
            <w:gridSpan w:val="2"/>
            <w:tcBorders/>
            <w:shd w:fill="auto" w:val="clear"/>
            <w:vAlign w:val="center"/>
          </w:tcPr>
          <w:p>
            <w:pPr>
              <w:pStyle w:val="TableContents"/>
              <w:spacing w:before="0" w:after="0"/>
              <w:ind w:left="0" w:right="0" w:hanging="0"/>
              <w:jc w:val="right"/>
              <w:rPr/>
            </w:pPr>
            <w:r>
              <w:rPr/>
              <w:t> </w:t>
            </w:r>
          </w:p>
        </w:tc>
        <w:tc>
          <w:tcPr>
            <w:tcW w:w="692" w:type="dxa"/>
            <w:tcBorders/>
            <w:shd w:fill="auto" w:val="clear"/>
            <w:vAlign w:val="center"/>
          </w:tcPr>
          <w:p>
            <w:pPr>
              <w:pStyle w:val="TableContents"/>
              <w:spacing w:before="0" w:after="0"/>
              <w:ind w:left="0" w:right="0" w:firstLine="200"/>
              <w:jc w:val="right"/>
              <w:rPr/>
            </w:pPr>
            <w:r>
              <w:rPr/>
              <w:t> </w:t>
            </w:r>
          </w:p>
        </w:tc>
      </w:tr>
      <w:tr>
        <w:trPr/>
        <w:tc>
          <w:tcPr>
            <w:tcW w:w="2323"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70"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33,122</w:t>
            </w:r>
          </w:p>
        </w:tc>
        <w:tc>
          <w:tcPr>
            <w:tcW w:w="69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40" w:after="0"/>
        <w:jc w:val="left"/>
        <w:rPr>
          <w:rFonts w:ascii="Times New Roman" w:hAnsi="Times New Roman"/>
          <w:sz w:val="20"/>
        </w:rPr>
      </w:pPr>
      <w:r>
        <w:rPr>
          <w:rFonts w:ascii="Times New Roman;serif" w:hAnsi="Times New Roman;serif"/>
          <w:b w:val="false"/>
          <w:sz w:val="20"/>
        </w:rPr>
        <w:t>At March 31, 2023 and December 31, 2022, the Company had $82.4</w:t>
      </w:r>
      <w:r>
        <w:rPr>
          <w:rFonts w:ascii="Times New Roman" w:hAnsi="Times New Roman"/>
          <w:sz w:val="20"/>
        </w:rPr>
        <w:t xml:space="preserve"> </w:t>
      </w:r>
      <w:r>
        <w:rPr>
          <w:rFonts w:ascii="Times New Roman;serif" w:hAnsi="Times New Roman;serif"/>
          <w:b w:val="false"/>
          <w:sz w:val="20"/>
        </w:rPr>
        <w:t>million and $114.6</w:t>
      </w:r>
      <w:r>
        <w:rPr>
          <w:rFonts w:ascii="Times New Roman" w:hAnsi="Times New Roman"/>
          <w:sz w:val="20"/>
        </w:rPr>
        <w:t xml:space="preserve"> </w:t>
      </w:r>
      <w:r>
        <w:rPr>
          <w:rFonts w:ascii="Times New Roman;serif" w:hAnsi="Times New Roman;serif"/>
          <w:b w:val="false"/>
          <w:sz w:val="20"/>
        </w:rPr>
        <w:t>million, respectively, in cash and cash equivalents. A significant portion of these amounts was held in marketable securities, as shown above. The remaining balances of $48.9</w:t>
      </w:r>
      <w:r>
        <w:rPr>
          <w:rFonts w:ascii="Times New Roman" w:hAnsi="Times New Roman"/>
          <w:sz w:val="20"/>
        </w:rPr>
        <w:t xml:space="preserve"> </w:t>
      </w:r>
      <w:r>
        <w:rPr>
          <w:rFonts w:ascii="Times New Roman;serif" w:hAnsi="Times New Roman;serif"/>
          <w:b w:val="false"/>
          <w:sz w:val="20"/>
        </w:rPr>
        <w:t>million and $81.5</w:t>
      </w:r>
      <w:r>
        <w:rPr>
          <w:rFonts w:ascii="Times New Roman" w:hAnsi="Times New Roman"/>
          <w:sz w:val="20"/>
        </w:rPr>
        <w:t xml:space="preserve"> </w:t>
      </w:r>
      <w:r>
        <w:rPr>
          <w:rFonts w:ascii="Times New Roman;serif" w:hAnsi="Times New Roman;serif"/>
          <w:b w:val="false"/>
          <w:sz w:val="20"/>
        </w:rPr>
        <w:t>million at March 31, 2023 and December 31, 2022, respectively, consisted of cash held in operating accounts not included in the tables above.</w:t>
      </w:r>
    </w:p>
    <w:p>
      <w:pPr>
        <w:pStyle w:val="TextBody"/>
        <w:spacing w:before="240" w:after="0"/>
        <w:jc w:val="left"/>
        <w:rPr>
          <w:rFonts w:ascii="Times New Roman;serif" w:hAnsi="Times New Roman;serif"/>
          <w:b/>
          <w:sz w:val="20"/>
        </w:rPr>
      </w:pPr>
      <w:r>
        <w:rPr>
          <w:rFonts w:ascii="Times New Roman;serif" w:hAnsi="Times New Roman;serif"/>
          <w:b/>
          <w:sz w:val="20"/>
        </w:rPr>
        <w:t>Debt Securities</w:t>
      </w:r>
    </w:p>
    <w:p>
      <w:pPr>
        <w:pStyle w:val="TextBody"/>
        <w:spacing w:before="240" w:after="0"/>
        <w:jc w:val="left"/>
        <w:rPr>
          <w:rFonts w:ascii="Times New Roman" w:hAnsi="Times New Roman"/>
          <w:sz w:val="20"/>
        </w:rPr>
      </w:pPr>
      <w:r>
        <w:rPr>
          <w:rFonts w:ascii="Times New Roman;serif" w:hAnsi="Times New Roman;serif"/>
          <w:b w:val="false"/>
          <w:sz w:val="20"/>
        </w:rPr>
        <w:t>The gross realized gains and losses on sales of marketable debt securities were immaterial during the three months ended March 31, 2023 and 2022. Unrealized losses on AFS debt securities were immaterial as of March 31, 2023 and December 31, 2022.</w:t>
      </w:r>
      <w:r>
        <w:rPr>
          <w:rFonts w:ascii="Times New Roman" w:hAnsi="Times New Roman"/>
          <w:sz w:val="20"/>
        </w:rPr>
        <w:t xml:space="preserve"> </w:t>
      </w:r>
      <w:r>
        <w:rPr>
          <w:rFonts w:ascii="Times New Roman;serif" w:hAnsi="Times New Roman;serif"/>
          <w:b w:val="false"/>
          <w:sz w:val="20"/>
        </w:rPr>
        <w:t>The Company evaluated whether the decline in fair value has resulted from credit losses or other factors and concluded these amounts were related to temporary fluctuations in value of AFS securities and were due primarily to changes in interest rates and market conditions of the underlying securities. In addition, the contractual terms of those investments do not permit the issuer to settle the securities at a price less than the amortized cost bases of the investments. The Company does not intend to sell the debt securities and it is more-likely-than-not that it will not be required to sell the investments before recovery of their amortized cost bases. The Company did not recognize a provision for credit losses related to its AFS debt securities for the three months ended March 31, 2023 and 2022, respectively. No</w:t>
      </w:r>
      <w:r>
        <w:rPr>
          <w:rFonts w:ascii="Times New Roman" w:hAnsi="Times New Roman"/>
          <w:sz w:val="20"/>
        </w:rPr>
        <w:t xml:space="preserve"> </w:t>
      </w:r>
      <w:r>
        <w:rPr>
          <w:rFonts w:ascii="Times New Roman;serif" w:hAnsi="Times New Roman;serif"/>
          <w:b w:val="false"/>
          <w:sz w:val="20"/>
        </w:rPr>
        <w:t>impairment charges were recorded on the AFS debt securities for the three months ended March 31, 2023.</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15</w:t>
      </w:r>
    </w:p>
    <w:p>
      <w:pPr>
        <w:pStyle w:val="HorizontalLine"/>
        <w:rPr/>
      </w:pPr>
      <w:r>
        <w:rPr/>
      </w:r>
    </w:p>
    <w:p>
      <w:pPr>
        <w:pStyle w:val="TextBody"/>
        <w:spacing w:before="0" w:after="0"/>
        <w:jc w:val="left"/>
        <w:rPr/>
      </w:pPr>
      <w:r>
        <w:rPr/>
        <w:t>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following table summarizes the fair value and gross unrealized losses related to individual AFS debt securities at March 31, 2023 and December 31, 2022, which have been in a continuous unrealized loss position, aggregated by investment category and length of time (in thousands):</w:t>
      </w:r>
    </w:p>
    <w:p>
      <w:pPr>
        <w:pStyle w:val="TextBody"/>
        <w:spacing w:before="0" w:after="0"/>
        <w:jc w:val="left"/>
        <w:rPr/>
      </w:pPr>
      <w:r>
        <w:rPr/>
        <w:t> </w:t>
      </w:r>
    </w:p>
    <w:tbl>
      <w:tblPr>
        <w:tblW w:w="10539" w:type="dxa"/>
        <w:jc w:val="left"/>
        <w:tblInd w:w="0" w:type="dxa"/>
        <w:tblCellMar>
          <w:top w:w="28" w:type="dxa"/>
          <w:left w:w="28" w:type="dxa"/>
          <w:bottom w:w="28" w:type="dxa"/>
          <w:right w:w="28" w:type="dxa"/>
        </w:tblCellMar>
      </w:tblPr>
      <w:tblGrid>
        <w:gridCol w:w="1023"/>
        <w:gridCol w:w="146"/>
        <w:gridCol w:w="199"/>
        <w:gridCol w:w="611"/>
        <w:gridCol w:w="148"/>
        <w:gridCol w:w="148"/>
        <w:gridCol w:w="403"/>
        <w:gridCol w:w="528"/>
        <w:gridCol w:w="166"/>
        <w:gridCol w:w="146"/>
        <w:gridCol w:w="222"/>
        <w:gridCol w:w="371"/>
        <w:gridCol w:w="148"/>
        <w:gridCol w:w="148"/>
        <w:gridCol w:w="336"/>
        <w:gridCol w:w="595"/>
        <w:gridCol w:w="146"/>
        <w:gridCol w:w="146"/>
        <w:gridCol w:w="199"/>
        <w:gridCol w:w="610"/>
        <w:gridCol w:w="146"/>
        <w:gridCol w:w="146"/>
        <w:gridCol w:w="403"/>
        <w:gridCol w:w="528"/>
        <w:gridCol w:w="166"/>
        <w:gridCol w:w="146"/>
        <w:gridCol w:w="283"/>
        <w:gridCol w:w="868"/>
        <w:gridCol w:w="146"/>
        <w:gridCol w:w="146"/>
        <w:gridCol w:w="334"/>
        <w:gridCol w:w="591"/>
        <w:gridCol w:w="197"/>
      </w:tblGrid>
      <w:tr>
        <w:trPr/>
        <w:tc>
          <w:tcPr>
            <w:tcW w:w="102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403" w:type="dxa"/>
            <w:tcBorders/>
            <w:shd w:fill="auto" w:val="clear"/>
            <w:vAlign w:val="center"/>
          </w:tcPr>
          <w:p>
            <w:pPr>
              <w:pStyle w:val="TableContents"/>
              <w:spacing w:before="0" w:after="283"/>
              <w:rPr>
                <w:sz w:val="4"/>
                <w:szCs w:val="4"/>
              </w:rPr>
            </w:pPr>
            <w:r>
              <w:rPr>
                <w:sz w:val="4"/>
                <w:szCs w:val="4"/>
              </w:rPr>
            </w:r>
          </w:p>
        </w:tc>
        <w:tc>
          <w:tcPr>
            <w:tcW w:w="528"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59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3" w:type="dxa"/>
            <w:tcBorders/>
            <w:shd w:fill="auto" w:val="clear"/>
            <w:vAlign w:val="center"/>
          </w:tcPr>
          <w:p>
            <w:pPr>
              <w:pStyle w:val="TableContents"/>
              <w:spacing w:before="0" w:after="283"/>
              <w:rPr>
                <w:sz w:val="4"/>
                <w:szCs w:val="4"/>
              </w:rPr>
            </w:pPr>
            <w:r>
              <w:rPr>
                <w:sz w:val="4"/>
                <w:szCs w:val="4"/>
              </w:rPr>
            </w:r>
          </w:p>
        </w:tc>
        <w:tc>
          <w:tcPr>
            <w:tcW w:w="528"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86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r>
      <w:tr>
        <w:trPr/>
        <w:tc>
          <w:tcPr>
            <w:tcW w:w="102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037"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Less Than 12 Months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820"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12 Months or More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032"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Total</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36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Fair Value</w:t>
            </w:r>
          </w:p>
        </w:tc>
        <w:tc>
          <w:tcPr>
            <w:tcW w:w="1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023"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March 31, 2023</w:t>
            </w:r>
          </w:p>
        </w:tc>
        <w:tc>
          <w:tcPr>
            <w:tcW w:w="146" w:type="dxa"/>
            <w:tcBorders/>
            <w:shd w:fill="auto" w:val="clear"/>
            <w:vAlign w:val="center"/>
          </w:tcPr>
          <w:p>
            <w:pPr>
              <w:pStyle w:val="TableContents"/>
              <w:spacing w:before="0" w:after="0"/>
              <w:ind w:left="0" w:right="0" w:hanging="0"/>
              <w:jc w:val="center"/>
              <w:rPr/>
            </w:pPr>
            <w:r>
              <w:rPr/>
              <w:t> </w:t>
            </w:r>
          </w:p>
        </w:tc>
        <w:tc>
          <w:tcPr>
            <w:tcW w:w="81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Fair Value</w:t>
            </w:r>
          </w:p>
        </w:tc>
        <w:tc>
          <w:tcPr>
            <w:tcW w:w="1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8" w:type="dxa"/>
            <w:tcBorders/>
            <w:shd w:fill="auto" w:val="clear"/>
            <w:vAlign w:val="center"/>
          </w:tcPr>
          <w:p>
            <w:pPr>
              <w:pStyle w:val="TableContents"/>
              <w:spacing w:before="0" w:after="0"/>
              <w:ind w:left="0" w:right="0" w:hanging="0"/>
              <w:jc w:val="center"/>
              <w:rPr/>
            </w:pPr>
            <w:r>
              <w:rPr/>
              <w:t> </w:t>
            </w:r>
          </w:p>
        </w:tc>
        <w:tc>
          <w:tcPr>
            <w:tcW w:w="93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Gross</w:t>
              <w:br/>
              <w:t>Unrealized</w:t>
              <w:br/>
              <w:t>Losses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9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Fair Value</w:t>
            </w:r>
          </w:p>
        </w:tc>
        <w:tc>
          <w:tcPr>
            <w:tcW w:w="1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8" w:type="dxa"/>
            <w:tcBorders/>
            <w:shd w:fill="auto" w:val="clear"/>
            <w:vAlign w:val="center"/>
          </w:tcPr>
          <w:p>
            <w:pPr>
              <w:pStyle w:val="TableContents"/>
              <w:spacing w:before="0" w:after="0"/>
              <w:ind w:left="0" w:right="0" w:hanging="0"/>
              <w:jc w:val="center"/>
              <w:rPr/>
            </w:pPr>
            <w:r>
              <w:rPr/>
              <w:t> </w:t>
            </w:r>
          </w:p>
        </w:tc>
        <w:tc>
          <w:tcPr>
            <w:tcW w:w="93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Gross</w:t>
              <w:br/>
              <w:t>Unrealized</w:t>
              <w:br/>
              <w:t>Losses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0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Fair 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3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Gross</w:t>
              <w:br/>
              <w:t>Unrealized</w:t>
              <w:br/>
              <w:t>Losses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5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Cash and Cash Equivalents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2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AFS Debt Securities</w:t>
            </w:r>
          </w:p>
        </w:tc>
        <w:tc>
          <w:tcPr>
            <w:tcW w:w="1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023"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Commercial Paper</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29,566</w:t>
            </w:r>
          </w:p>
        </w:tc>
        <w:tc>
          <w:tcPr>
            <w:tcW w:w="14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40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52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(9</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22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3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3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59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1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29,566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52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(9</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28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6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29,566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5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9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pPr>
      <w:r>
        <w:rPr/>
        <w:t> </w:t>
      </w:r>
    </w:p>
    <w:tbl>
      <w:tblPr>
        <w:tblW w:w="10539" w:type="dxa"/>
        <w:jc w:val="left"/>
        <w:tblInd w:w="0" w:type="dxa"/>
        <w:tblCellMar>
          <w:top w:w="28" w:type="dxa"/>
          <w:left w:w="28" w:type="dxa"/>
          <w:bottom w:w="28" w:type="dxa"/>
          <w:right w:w="28" w:type="dxa"/>
        </w:tblCellMar>
      </w:tblPr>
      <w:tblGrid>
        <w:gridCol w:w="1035"/>
        <w:gridCol w:w="146"/>
        <w:gridCol w:w="199"/>
        <w:gridCol w:w="610"/>
        <w:gridCol w:w="148"/>
        <w:gridCol w:w="148"/>
        <w:gridCol w:w="403"/>
        <w:gridCol w:w="528"/>
        <w:gridCol w:w="166"/>
        <w:gridCol w:w="146"/>
        <w:gridCol w:w="222"/>
        <w:gridCol w:w="370"/>
        <w:gridCol w:w="148"/>
        <w:gridCol w:w="148"/>
        <w:gridCol w:w="336"/>
        <w:gridCol w:w="595"/>
        <w:gridCol w:w="146"/>
        <w:gridCol w:w="146"/>
        <w:gridCol w:w="198"/>
        <w:gridCol w:w="610"/>
        <w:gridCol w:w="146"/>
        <w:gridCol w:w="146"/>
        <w:gridCol w:w="403"/>
        <w:gridCol w:w="528"/>
        <w:gridCol w:w="166"/>
        <w:gridCol w:w="146"/>
        <w:gridCol w:w="281"/>
        <w:gridCol w:w="864"/>
        <w:gridCol w:w="146"/>
        <w:gridCol w:w="146"/>
        <w:gridCol w:w="333"/>
        <w:gridCol w:w="589"/>
        <w:gridCol w:w="197"/>
      </w:tblGrid>
      <w:tr>
        <w:trPr/>
        <w:tc>
          <w:tcPr>
            <w:tcW w:w="103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403" w:type="dxa"/>
            <w:tcBorders/>
            <w:shd w:fill="auto" w:val="clear"/>
            <w:vAlign w:val="center"/>
          </w:tcPr>
          <w:p>
            <w:pPr>
              <w:pStyle w:val="TableContents"/>
              <w:spacing w:before="0" w:after="283"/>
              <w:rPr>
                <w:sz w:val="4"/>
                <w:szCs w:val="4"/>
              </w:rPr>
            </w:pPr>
            <w:r>
              <w:rPr>
                <w:sz w:val="4"/>
                <w:szCs w:val="4"/>
              </w:rPr>
            </w:r>
          </w:p>
        </w:tc>
        <w:tc>
          <w:tcPr>
            <w:tcW w:w="528"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59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3" w:type="dxa"/>
            <w:tcBorders/>
            <w:shd w:fill="auto" w:val="clear"/>
            <w:vAlign w:val="center"/>
          </w:tcPr>
          <w:p>
            <w:pPr>
              <w:pStyle w:val="TableContents"/>
              <w:spacing w:before="0" w:after="283"/>
              <w:rPr>
                <w:sz w:val="4"/>
                <w:szCs w:val="4"/>
              </w:rPr>
            </w:pPr>
            <w:r>
              <w:rPr>
                <w:sz w:val="4"/>
                <w:szCs w:val="4"/>
              </w:rPr>
            </w:r>
          </w:p>
        </w:tc>
        <w:tc>
          <w:tcPr>
            <w:tcW w:w="528"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86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589"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r>
      <w:tr>
        <w:trPr/>
        <w:tc>
          <w:tcPr>
            <w:tcW w:w="1035"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03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Less Than 12 Months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819"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12 Months or More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03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Total</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359"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Fair Value</w:t>
            </w:r>
          </w:p>
        </w:tc>
        <w:tc>
          <w:tcPr>
            <w:tcW w:w="1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035"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December 31, 2022</w:t>
            </w:r>
          </w:p>
        </w:tc>
        <w:tc>
          <w:tcPr>
            <w:tcW w:w="146" w:type="dxa"/>
            <w:tcBorders/>
            <w:shd w:fill="auto" w:val="clear"/>
            <w:vAlign w:val="center"/>
          </w:tcPr>
          <w:p>
            <w:pPr>
              <w:pStyle w:val="TableContents"/>
              <w:spacing w:before="0" w:after="0"/>
              <w:ind w:left="0" w:right="0" w:hanging="0"/>
              <w:jc w:val="center"/>
              <w:rPr/>
            </w:pPr>
            <w:r>
              <w:rPr/>
              <w:t> </w:t>
            </w:r>
          </w:p>
        </w:tc>
        <w:tc>
          <w:tcPr>
            <w:tcW w:w="80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Fair Value</w:t>
            </w:r>
          </w:p>
        </w:tc>
        <w:tc>
          <w:tcPr>
            <w:tcW w:w="1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8" w:type="dxa"/>
            <w:tcBorders/>
            <w:shd w:fill="auto" w:val="clear"/>
            <w:vAlign w:val="center"/>
          </w:tcPr>
          <w:p>
            <w:pPr>
              <w:pStyle w:val="TableContents"/>
              <w:spacing w:before="0" w:after="0"/>
              <w:ind w:left="0" w:right="0" w:hanging="0"/>
              <w:jc w:val="center"/>
              <w:rPr/>
            </w:pPr>
            <w:r>
              <w:rPr/>
              <w:t> </w:t>
            </w:r>
          </w:p>
        </w:tc>
        <w:tc>
          <w:tcPr>
            <w:tcW w:w="93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Gross</w:t>
              <w:br/>
              <w:t>Unrealized</w:t>
              <w:br/>
              <w:t>Losses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Fair Value</w:t>
            </w:r>
          </w:p>
        </w:tc>
        <w:tc>
          <w:tcPr>
            <w:tcW w:w="1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8" w:type="dxa"/>
            <w:tcBorders/>
            <w:shd w:fill="auto" w:val="clear"/>
            <w:vAlign w:val="center"/>
          </w:tcPr>
          <w:p>
            <w:pPr>
              <w:pStyle w:val="TableContents"/>
              <w:spacing w:before="0" w:after="0"/>
              <w:ind w:left="0" w:right="0" w:hanging="0"/>
              <w:jc w:val="center"/>
              <w:rPr/>
            </w:pPr>
            <w:r>
              <w:rPr/>
              <w:t> </w:t>
            </w:r>
          </w:p>
        </w:tc>
        <w:tc>
          <w:tcPr>
            <w:tcW w:w="93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Gross</w:t>
              <w:br/>
              <w:t>Unrealized</w:t>
              <w:br/>
              <w:t>Losses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0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Fair 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3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Gross</w:t>
              <w:br/>
              <w:t>Unrealized</w:t>
              <w:br/>
              <w:t>Losses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4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Cash and Cash Equivalents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2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AFS Debt Securities</w:t>
            </w:r>
          </w:p>
        </w:tc>
        <w:tc>
          <w:tcPr>
            <w:tcW w:w="1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035"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Commercial paper</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1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29,015</w:t>
            </w:r>
          </w:p>
        </w:tc>
        <w:tc>
          <w:tcPr>
            <w:tcW w:w="14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40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52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22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37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3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59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1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29,015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52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2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6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29,015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58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9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40" w:after="0"/>
        <w:jc w:val="left"/>
        <w:rPr>
          <w:rFonts w:ascii="Times New Roman;serif" w:hAnsi="Times New Roman;serif"/>
          <w:b w:val="false"/>
          <w:sz w:val="20"/>
        </w:rPr>
      </w:pPr>
      <w:r>
        <w:rPr>
          <w:rFonts w:ascii="Times New Roman;serif" w:hAnsi="Times New Roman;serif"/>
          <w:b w:val="false"/>
          <w:sz w:val="20"/>
        </w:rPr>
        <w:t>The estimated fair value of marketable debt securities by contractual maturity at March 31, 2023 is shown below (in thousands). Actual maturities may differ from contractual maturities because issuers may have the right to call or prepay obligations without penalties.</w:t>
      </w:r>
    </w:p>
    <w:p>
      <w:pPr>
        <w:pStyle w:val="TextBody"/>
        <w:spacing w:before="0" w:after="0"/>
        <w:jc w:val="left"/>
        <w:rPr/>
      </w:pPr>
      <w:r>
        <w:rPr/>
        <w:t> </w:t>
      </w:r>
    </w:p>
    <w:tbl>
      <w:tblPr>
        <w:tblW w:w="3308" w:type="dxa"/>
        <w:jc w:val="left"/>
        <w:tblInd w:w="0" w:type="dxa"/>
        <w:tblCellMar>
          <w:top w:w="28" w:type="dxa"/>
          <w:left w:w="28" w:type="dxa"/>
          <w:bottom w:w="28" w:type="dxa"/>
          <w:right w:w="28" w:type="dxa"/>
        </w:tblCellMar>
      </w:tblPr>
      <w:tblGrid>
        <w:gridCol w:w="1951"/>
        <w:gridCol w:w="146"/>
        <w:gridCol w:w="242"/>
        <w:gridCol w:w="778"/>
        <w:gridCol w:w="191"/>
      </w:tblGrid>
      <w:tr>
        <w:trPr/>
        <w:tc>
          <w:tcPr>
            <w:tcW w:w="19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778"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9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2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Estimated</w:t>
              <w:br/>
              <w:t>Fair Value</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9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Due in one year or less</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29,566</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40" w:after="0"/>
        <w:jc w:val="left"/>
        <w:rPr>
          <w:rFonts w:ascii="Times New Roman;serif" w:hAnsi="Times New Roman;serif"/>
          <w:b/>
          <w:sz w:val="20"/>
        </w:rPr>
      </w:pPr>
      <w:r>
        <w:rPr>
          <w:rFonts w:ascii="Times New Roman;serif" w:hAnsi="Times New Roman;serif"/>
          <w:b/>
          <w:sz w:val="20"/>
        </w:rPr>
        <w:t>NOTE 6 – FAIR VALUE</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Company follows the authoritative guidance for fair value measurement and the fair value option for financial assets and financial liabilities. The Company carries its financial instruments at fair value with the exception of its long-term debt. Fair value is defined as the exchange price that would be received for an asset or paid to transfer a liability, or an exit price, in the principal or most advantageous market for the asset or liability in an orderly transaction between market participants on the measurement date. The established fair value hierarchy requires an entity to maximize the use of observable inputs and minimize the use of unobservable inputs when measuring fair value. There are three levels of inputs that may be used to measure fair value:</w:t>
      </w:r>
    </w:p>
    <w:p>
      <w:pPr>
        <w:pStyle w:val="TextBody"/>
        <w:spacing w:before="0" w:after="0"/>
        <w:jc w:val="left"/>
        <w:rPr/>
      </w:pPr>
      <w:r>
        <w:rPr/>
        <w:t> </w:t>
      </w:r>
    </w:p>
    <w:tbl>
      <w:tblPr>
        <w:tblW w:w="10539" w:type="dxa"/>
        <w:jc w:val="left"/>
        <w:tblInd w:w="0" w:type="dxa"/>
        <w:tblCellMar>
          <w:top w:w="28" w:type="dxa"/>
          <w:left w:w="28" w:type="dxa"/>
          <w:bottom w:w="28" w:type="dxa"/>
          <w:right w:w="28" w:type="dxa"/>
        </w:tblCellMar>
      </w:tblPr>
      <w:tblGrid>
        <w:gridCol w:w="595"/>
        <w:gridCol w:w="9944"/>
      </w:tblGrid>
      <w:tr>
        <w:trPr/>
        <w:tc>
          <w:tcPr>
            <w:tcW w:w="595" w:type="dxa"/>
            <w:tcBorders/>
            <w:shd w:fill="auto" w:val="clear"/>
            <w:vAlign w:val="center"/>
          </w:tcPr>
          <w:p>
            <w:pPr>
              <w:pStyle w:val="TableContents"/>
              <w:spacing w:before="0" w:after="283"/>
              <w:rPr>
                <w:sz w:val="4"/>
                <w:szCs w:val="4"/>
              </w:rPr>
            </w:pPr>
            <w:r>
              <w:rPr>
                <w:sz w:val="4"/>
                <w:szCs w:val="4"/>
              </w:rPr>
            </w:r>
          </w:p>
        </w:tc>
        <w:tc>
          <w:tcPr>
            <w:tcW w:w="9944" w:type="dxa"/>
            <w:tcBorders/>
            <w:shd w:fill="auto" w:val="clear"/>
            <w:vAlign w:val="center"/>
          </w:tcPr>
          <w:p>
            <w:pPr>
              <w:pStyle w:val="TableContents"/>
              <w:spacing w:before="0" w:after="283"/>
              <w:rPr>
                <w:sz w:val="4"/>
                <w:szCs w:val="4"/>
              </w:rPr>
            </w:pPr>
            <w:r>
              <w:rPr>
                <w:sz w:val="4"/>
                <w:szCs w:val="4"/>
              </w:rPr>
            </w:r>
          </w:p>
        </w:tc>
      </w:tr>
      <w:tr>
        <w:trPr/>
        <w:tc>
          <w:tcPr>
            <w:tcW w:w="595" w:type="dxa"/>
            <w:tcBorders/>
            <w:shd w:fill="auto" w:val="cle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Level 1</w:t>
            </w:r>
          </w:p>
        </w:tc>
        <w:tc>
          <w:tcPr>
            <w:tcW w:w="994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Quoted prices in active markets for identical assets.</w:t>
            </w:r>
          </w:p>
        </w:tc>
      </w:tr>
      <w:tr>
        <w:trPr/>
        <w:tc>
          <w:tcPr>
            <w:tcW w:w="595" w:type="dxa"/>
            <w:tcBorders/>
            <w:shd w:fill="auto" w:val="clear"/>
            <w:vAlign w:val="center"/>
          </w:tcPr>
          <w:p>
            <w:pPr>
              <w:pStyle w:val="TableContents"/>
              <w:spacing w:before="0" w:after="0"/>
              <w:ind w:left="0" w:right="0" w:hanging="0"/>
              <w:jc w:val="left"/>
              <w:rPr/>
            </w:pPr>
            <w:r>
              <w:rPr/>
              <w:t> </w:t>
            </w:r>
          </w:p>
        </w:tc>
        <w:tc>
          <w:tcPr>
            <w:tcW w:w="9944" w:type="dxa"/>
            <w:tcBorders/>
            <w:shd w:fill="auto" w:val="clear"/>
            <w:vAlign w:val="center"/>
          </w:tcPr>
          <w:p>
            <w:pPr>
              <w:pStyle w:val="TableContents"/>
              <w:spacing w:before="0" w:after="0"/>
              <w:ind w:left="0" w:right="0" w:hanging="0"/>
              <w:jc w:val="left"/>
              <w:rPr/>
            </w:pPr>
            <w:r>
              <w:rPr/>
              <w:t> </w:t>
            </w:r>
          </w:p>
        </w:tc>
      </w:tr>
      <w:tr>
        <w:trPr/>
        <w:tc>
          <w:tcPr>
            <w:tcW w:w="595" w:type="dxa"/>
            <w:tcBorders/>
            <w:shd w:fill="auto" w:val="cle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Level 2</w:t>
            </w:r>
          </w:p>
        </w:tc>
        <w:tc>
          <w:tcPr>
            <w:tcW w:w="994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Observable market-based inputs or unobservable inputs that are corroborated by market data.</w:t>
            </w:r>
          </w:p>
        </w:tc>
      </w:tr>
      <w:tr>
        <w:trPr/>
        <w:tc>
          <w:tcPr>
            <w:tcW w:w="595" w:type="dxa"/>
            <w:tcBorders/>
            <w:shd w:fill="auto" w:val="clear"/>
            <w:vAlign w:val="center"/>
          </w:tcPr>
          <w:p>
            <w:pPr>
              <w:pStyle w:val="TableContents"/>
              <w:spacing w:before="0" w:after="0"/>
              <w:ind w:left="0" w:right="0" w:hanging="0"/>
              <w:jc w:val="left"/>
              <w:rPr/>
            </w:pPr>
            <w:r>
              <w:rPr/>
              <w:t> </w:t>
            </w:r>
          </w:p>
        </w:tc>
        <w:tc>
          <w:tcPr>
            <w:tcW w:w="9944" w:type="dxa"/>
            <w:tcBorders/>
            <w:shd w:fill="auto" w:val="clear"/>
            <w:vAlign w:val="center"/>
          </w:tcPr>
          <w:p>
            <w:pPr>
              <w:pStyle w:val="TableContents"/>
              <w:spacing w:before="0" w:after="0"/>
              <w:ind w:left="0" w:right="0" w:hanging="0"/>
              <w:jc w:val="left"/>
              <w:rPr/>
            </w:pPr>
            <w:r>
              <w:rPr/>
              <w:t> </w:t>
            </w:r>
          </w:p>
        </w:tc>
      </w:tr>
      <w:tr>
        <w:trPr/>
        <w:tc>
          <w:tcPr>
            <w:tcW w:w="595" w:type="dxa"/>
            <w:tcBorders/>
            <w:shd w:fill="auto" w:val="cle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Level 3</w:t>
            </w:r>
          </w:p>
        </w:tc>
        <w:tc>
          <w:tcPr>
            <w:tcW w:w="994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Unobservable inputs that are supported by little or no market activity and that are significant to the fair value of the assets. Level 3 assets and liabilities include financial instruments whose value is determined using pricing models, discounted cash flow methodologies, or similar techniques, as well as instruments for which the determination of fair value requires significant management judgment or estimation.</w:t>
            </w:r>
          </w:p>
        </w:tc>
      </w:tr>
    </w:tbl>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When applying fair value principles in the valuation of assets, the Company is required to maximize the use of quoted market prices and minimize the use of unobservable inputs. The Company calculates the fair value of its Level 1 and Level 2 instruments based on the exchange traded price of similar or identical instruments, where available, or based on other observable inputs. There were no significant transfers into or out of Level 1 or Level 2 that occurred between December 31, 2022 and March 31, 2023.</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16</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sz w:val="20"/>
        </w:rPr>
      </w:pPr>
      <w:r>
        <w:rPr>
          <w:rFonts w:ascii="Times New Roman;serif" w:hAnsi="Times New Roman;serif"/>
          <w:b w:val="false"/>
          <w:sz w:val="20"/>
        </w:rPr>
        <w:t>The following sets forth the fair value, and classification within the hierarchy, of the Company’s assets required to be measured at fair value on a recurring basis as of March 31, 2023 (in thousands):</w:t>
      </w:r>
      <w:r>
        <w:rPr>
          <w:rFonts w:ascii="Times New Roman" w:hAnsi="Times New Roman"/>
          <w:sz w:val="20"/>
        </w:rPr>
        <w:t xml:space="preserve"> </w:t>
      </w:r>
    </w:p>
    <w:p>
      <w:pPr>
        <w:pStyle w:val="TextBody"/>
        <w:spacing w:before="0" w:after="0"/>
        <w:jc w:val="left"/>
        <w:rPr/>
      </w:pPr>
      <w:r>
        <w:rPr/>
        <w:t> </w:t>
      </w:r>
    </w:p>
    <w:tbl>
      <w:tblPr>
        <w:tblW w:w="9446" w:type="dxa"/>
        <w:jc w:val="left"/>
        <w:tblInd w:w="0" w:type="dxa"/>
        <w:tblCellMar>
          <w:top w:w="28" w:type="dxa"/>
          <w:left w:w="28" w:type="dxa"/>
          <w:bottom w:w="28" w:type="dxa"/>
          <w:right w:w="28" w:type="dxa"/>
        </w:tblCellMar>
      </w:tblPr>
      <w:tblGrid>
        <w:gridCol w:w="3496"/>
        <w:gridCol w:w="146"/>
        <w:gridCol w:w="217"/>
        <w:gridCol w:w="698"/>
        <w:gridCol w:w="146"/>
        <w:gridCol w:w="146"/>
        <w:gridCol w:w="344"/>
        <w:gridCol w:w="931"/>
        <w:gridCol w:w="146"/>
        <w:gridCol w:w="146"/>
        <w:gridCol w:w="232"/>
        <w:gridCol w:w="744"/>
        <w:gridCol w:w="146"/>
        <w:gridCol w:w="146"/>
        <w:gridCol w:w="443"/>
        <w:gridCol w:w="728"/>
        <w:gridCol w:w="591"/>
      </w:tblGrid>
      <w:tr>
        <w:trPr/>
        <w:tc>
          <w:tcPr>
            <w:tcW w:w="34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69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74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rPr>
                <w:sz w:val="4"/>
                <w:szCs w:val="4"/>
              </w:rPr>
            </w:pPr>
            <w:r>
              <w:rPr>
                <w:sz w:val="4"/>
                <w:szCs w:val="4"/>
              </w:rPr>
            </w:r>
          </w:p>
        </w:tc>
        <w:tc>
          <w:tcPr>
            <w:tcW w:w="728"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r>
      <w:tr>
        <w:trPr/>
        <w:tc>
          <w:tcPr>
            <w:tcW w:w="349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1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Fair 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7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Quoted</w:t>
              <w:br/>
              <w:t>Prices in</w:t>
              <w:br/>
              <w:t>Active Markets</w:t>
              <w:br/>
              <w:t>for Identical</w:t>
              <w:br/>
              <w:t>Assets</w:t>
              <w:br/>
              <w:t>(Level 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7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Significant</w:t>
              <w:br/>
              <w:t>Other</w:t>
              <w:br/>
              <w:t>Observable</w:t>
              <w:br/>
              <w:t>Inputs</w:t>
              <w:br/>
              <w:t>(Level 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7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Significant</w:t>
              <w:br/>
              <w:t>Unobservable</w:t>
              <w:br/>
              <w:t>Inputs</w:t>
              <w:br/>
              <w:t>(Level 3)</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49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Assets</w:t>
            </w:r>
          </w:p>
        </w:tc>
        <w:tc>
          <w:tcPr>
            <w:tcW w:w="146" w:type="dxa"/>
            <w:tcBorders/>
            <w:shd w:fill="auto" w:val="clear"/>
            <w:vAlign w:val="center"/>
          </w:tcPr>
          <w:p>
            <w:pPr>
              <w:pStyle w:val="TableContents"/>
              <w:spacing w:before="0" w:after="0"/>
              <w:ind w:left="0" w:right="0" w:hanging="0"/>
              <w:jc w:val="left"/>
              <w:rPr/>
            </w:pPr>
            <w:r>
              <w:rPr/>
              <w:t> </w:t>
            </w:r>
          </w:p>
        </w:tc>
        <w:tc>
          <w:tcPr>
            <w:tcW w:w="91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7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7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71"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firstLine="200"/>
              <w:jc w:val="right"/>
              <w:rPr/>
            </w:pPr>
            <w:r>
              <w:rPr/>
              <w:t> </w:t>
            </w:r>
          </w:p>
        </w:tc>
      </w:tr>
      <w:tr>
        <w:trPr/>
        <w:tc>
          <w:tcPr>
            <w:tcW w:w="349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Marketable securities</w:t>
            </w:r>
          </w:p>
        </w:tc>
        <w:tc>
          <w:tcPr>
            <w:tcW w:w="146" w:type="dxa"/>
            <w:tcBorders/>
            <w:shd w:fill="auto" w:val="clear"/>
            <w:vAlign w:val="center"/>
          </w:tcPr>
          <w:p>
            <w:pPr>
              <w:pStyle w:val="TableContents"/>
              <w:spacing w:before="0" w:after="0"/>
              <w:ind w:left="0" w:right="0" w:hanging="0"/>
              <w:jc w:val="left"/>
              <w:rPr/>
            </w:pPr>
            <w:r>
              <w:rPr/>
              <w:t> </w:t>
            </w:r>
          </w:p>
        </w:tc>
        <w:tc>
          <w:tcPr>
            <w:tcW w:w="91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7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7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71"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firstLine="400"/>
              <w:jc w:val="right"/>
              <w:rPr/>
            </w:pPr>
            <w:r>
              <w:rPr/>
              <w:t> </w:t>
            </w:r>
          </w:p>
        </w:tc>
      </w:tr>
      <w:tr>
        <w:trPr/>
        <w:tc>
          <w:tcPr>
            <w:tcW w:w="3496" w:type="dxa"/>
            <w:tcBorders/>
            <w:shd w:fill="auto" w:val="clear"/>
            <w:vAlign w:val="center"/>
          </w:tcPr>
          <w:p>
            <w:pPr>
              <w:pStyle w:val="TableContents"/>
              <w:spacing w:before="0" w:after="0"/>
              <w:ind w:left="400" w:right="0" w:hanging="0"/>
              <w:jc w:val="left"/>
              <w:rPr>
                <w:rFonts w:ascii="Times New Roman" w:hAnsi="Times New Roman"/>
                <w:sz w:val="20"/>
              </w:rPr>
            </w:pPr>
            <w:r>
              <w:rPr>
                <w:rFonts w:ascii="Times New Roman;serif" w:hAnsi="Times New Roman;serif"/>
                <w:b w:val="false"/>
                <w:sz w:val="20"/>
              </w:rPr>
              <w:t xml:space="preserve">Money market funds - equity securities </w:t>
            </w:r>
            <w:r>
              <w:rPr>
                <w:rFonts w:ascii="Times New Roman;serif" w:hAnsi="Times New Roman;serif"/>
                <w:b w:val="false"/>
                <w:sz w:val="13"/>
              </w:rPr>
              <w:t>(1)</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4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8" w:type="dxa"/>
            <w:tcBorders/>
            <w:shd w:fill="auto" w:val="clear"/>
            <w:vAlign w:val="center"/>
          </w:tcPr>
          <w:p>
            <w:pPr>
              <w:pStyle w:val="TableContents"/>
              <w:spacing w:before="0" w:after="0"/>
              <w:ind w:left="0" w:right="0" w:hanging="0"/>
              <w:jc w:val="right"/>
              <w:rPr/>
            </w:pPr>
            <w:r>
              <w:rPr/>
              <w:t>—</w:t>
            </w:r>
          </w:p>
        </w:tc>
        <w:tc>
          <w:tcPr>
            <w:tcW w:w="591" w:type="dxa"/>
            <w:tcBorders/>
            <w:shd w:fill="auto" w:val="clear"/>
            <w:vAlign w:val="center"/>
          </w:tcPr>
          <w:p>
            <w:pPr>
              <w:pStyle w:val="TableContents"/>
              <w:spacing w:before="0" w:after="0"/>
              <w:ind w:left="0" w:right="0" w:firstLine="400"/>
              <w:jc w:val="left"/>
              <w:rPr/>
            </w:pPr>
            <w:r>
              <w:rPr/>
              <w:t> </w:t>
            </w:r>
          </w:p>
        </w:tc>
      </w:tr>
      <w:tr>
        <w:trPr/>
        <w:tc>
          <w:tcPr>
            <w:tcW w:w="3496" w:type="dxa"/>
            <w:tcBorders/>
            <w:shd w:fill="auto" w:val="clear"/>
            <w:vAlign w:val="center"/>
          </w:tcPr>
          <w:p>
            <w:pPr>
              <w:pStyle w:val="TableContents"/>
              <w:spacing w:before="0" w:after="0"/>
              <w:ind w:left="400" w:right="0" w:hanging="0"/>
              <w:jc w:val="left"/>
              <w:rPr>
                <w:rFonts w:ascii="Times New Roman" w:hAnsi="Times New Roman"/>
                <w:sz w:val="20"/>
              </w:rPr>
            </w:pPr>
            <w:r>
              <w:rPr>
                <w:rFonts w:ascii="Times New Roman;serif" w:hAnsi="Times New Roman;serif"/>
                <w:b w:val="false"/>
                <w:sz w:val="20"/>
              </w:rPr>
              <w:t xml:space="preserve">Commercial paper - debt securities </w:t>
            </w:r>
            <w:r>
              <w:rPr>
                <w:rFonts w:ascii="Times New Roman;serif" w:hAnsi="Times New Roman;serif"/>
                <w:b w:val="false"/>
                <w:sz w:val="13"/>
              </w:rPr>
              <w:t>(2)</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29,566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29,566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49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Total Assets</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33,489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3,923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29,566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4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5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 w:hAnsi="Times New Roman"/>
          <w:b w:val="false"/>
          <w:sz w:val="20"/>
        </w:rPr>
      </w:pPr>
      <w:r>
        <w:rPr>
          <w:rFonts w:ascii="Times New Roman" w:hAnsi="Times New Roman"/>
          <w:b w:val="false"/>
          <w:sz w:val="20"/>
        </w:rPr>
        <w:t>(1)</w:t>
      </w:r>
    </w:p>
    <w:p>
      <w:pPr>
        <w:pStyle w:val="TextBody"/>
        <w:spacing w:before="0" w:after="0"/>
        <w:jc w:val="left"/>
        <w:rPr>
          <w:rFonts w:ascii="Times New Roman;serif" w:hAnsi="Times New Roman;serif"/>
          <w:b w:val="false"/>
          <w:sz w:val="20"/>
        </w:rPr>
      </w:pPr>
      <w:r>
        <w:rPr>
          <w:rFonts w:ascii="Times New Roman;serif" w:hAnsi="Times New Roman;serif"/>
          <w:b w:val="false"/>
          <w:sz w:val="20"/>
        </w:rPr>
        <w:t>Reported as cash and cash equivalents in the Condensed Consolidated Balance Sheet.</w:t>
      </w:r>
    </w:p>
    <w:p>
      <w:pPr>
        <w:pStyle w:val="TextBody"/>
        <w:spacing w:before="0" w:after="0"/>
        <w:jc w:val="left"/>
        <w:rPr>
          <w:rFonts w:ascii="Times New Roman" w:hAnsi="Times New Roman"/>
          <w:b w:val="false"/>
          <w:sz w:val="20"/>
        </w:rPr>
      </w:pPr>
      <w:r>
        <w:rPr>
          <w:rFonts w:ascii="Times New Roman" w:hAnsi="Times New Roman"/>
          <w:b w:val="false"/>
          <w:sz w:val="20"/>
        </w:rPr>
        <w:t>(2)</w:t>
      </w:r>
    </w:p>
    <w:p>
      <w:pPr>
        <w:pStyle w:val="TextBody"/>
        <w:jc w:val="left"/>
        <w:rPr>
          <w:rFonts w:ascii="Times New Roman;serif" w:hAnsi="Times New Roman;serif"/>
          <w:b w:val="false"/>
          <w:sz w:val="20"/>
        </w:rPr>
      </w:pPr>
      <w:r>
        <w:rPr>
          <w:rFonts w:ascii="Times New Roman;serif" w:hAnsi="Times New Roman;serif"/>
          <w:b w:val="false"/>
          <w:sz w:val="20"/>
        </w:rPr>
        <w:t>Reported as cash and cash equivalents as these were purchased with original maturities of three months or less at the date of purchase.</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following sets forth the fair value, and classification within the hierarchy, of the Company’s assets required to be measured at fair value on a recurring basis as of December 31, 2022 (in thousands):</w:t>
      </w:r>
    </w:p>
    <w:p>
      <w:pPr>
        <w:pStyle w:val="TextBody"/>
        <w:spacing w:before="0" w:after="0"/>
        <w:jc w:val="left"/>
        <w:rPr/>
      </w:pPr>
      <w:r>
        <w:rPr/>
        <w:t> </w:t>
      </w:r>
    </w:p>
    <w:tbl>
      <w:tblPr>
        <w:tblW w:w="9446" w:type="dxa"/>
        <w:jc w:val="left"/>
        <w:tblInd w:w="0" w:type="dxa"/>
        <w:tblCellMar>
          <w:top w:w="28" w:type="dxa"/>
          <w:left w:w="28" w:type="dxa"/>
          <w:bottom w:w="28" w:type="dxa"/>
          <w:right w:w="28" w:type="dxa"/>
        </w:tblCellMar>
      </w:tblPr>
      <w:tblGrid>
        <w:gridCol w:w="3496"/>
        <w:gridCol w:w="146"/>
        <w:gridCol w:w="217"/>
        <w:gridCol w:w="698"/>
        <w:gridCol w:w="146"/>
        <w:gridCol w:w="146"/>
        <w:gridCol w:w="344"/>
        <w:gridCol w:w="931"/>
        <w:gridCol w:w="146"/>
        <w:gridCol w:w="146"/>
        <w:gridCol w:w="232"/>
        <w:gridCol w:w="744"/>
        <w:gridCol w:w="146"/>
        <w:gridCol w:w="146"/>
        <w:gridCol w:w="443"/>
        <w:gridCol w:w="728"/>
        <w:gridCol w:w="591"/>
      </w:tblGrid>
      <w:tr>
        <w:trPr/>
        <w:tc>
          <w:tcPr>
            <w:tcW w:w="34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69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74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rPr>
                <w:sz w:val="4"/>
                <w:szCs w:val="4"/>
              </w:rPr>
            </w:pPr>
            <w:r>
              <w:rPr>
                <w:sz w:val="4"/>
                <w:szCs w:val="4"/>
              </w:rPr>
            </w:r>
          </w:p>
        </w:tc>
        <w:tc>
          <w:tcPr>
            <w:tcW w:w="728"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r>
      <w:tr>
        <w:trPr/>
        <w:tc>
          <w:tcPr>
            <w:tcW w:w="349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1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Fair 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7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Quoted</w:t>
              <w:br/>
              <w:t>Prices in</w:t>
              <w:br/>
              <w:t>Active Markets</w:t>
              <w:br/>
              <w:t>for Identical</w:t>
              <w:br/>
              <w:t>Assets</w:t>
              <w:br/>
              <w:t>(Level 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7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Significant</w:t>
              <w:br/>
              <w:t>Other</w:t>
              <w:br/>
              <w:t>Observable</w:t>
              <w:br/>
              <w:t>Inputs</w:t>
              <w:br/>
              <w:t>(Level 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7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Significant</w:t>
              <w:br/>
              <w:t>Unobservable</w:t>
              <w:br/>
              <w:t>Inputs</w:t>
              <w:br/>
              <w:t>(Level 3)</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49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Assets</w:t>
            </w:r>
          </w:p>
        </w:tc>
        <w:tc>
          <w:tcPr>
            <w:tcW w:w="146" w:type="dxa"/>
            <w:tcBorders/>
            <w:shd w:fill="auto" w:val="clear"/>
            <w:vAlign w:val="center"/>
          </w:tcPr>
          <w:p>
            <w:pPr>
              <w:pStyle w:val="TableContents"/>
              <w:spacing w:before="0" w:after="0"/>
              <w:ind w:left="0" w:right="0" w:hanging="0"/>
              <w:jc w:val="left"/>
              <w:rPr/>
            </w:pPr>
            <w:r>
              <w:rPr/>
              <w:t> </w:t>
            </w:r>
          </w:p>
        </w:tc>
        <w:tc>
          <w:tcPr>
            <w:tcW w:w="91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7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7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71"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firstLine="200"/>
              <w:jc w:val="right"/>
              <w:rPr/>
            </w:pPr>
            <w:r>
              <w:rPr/>
              <w:t> </w:t>
            </w:r>
          </w:p>
        </w:tc>
      </w:tr>
      <w:tr>
        <w:trPr/>
        <w:tc>
          <w:tcPr>
            <w:tcW w:w="349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Marketable securities</w:t>
            </w:r>
          </w:p>
        </w:tc>
        <w:tc>
          <w:tcPr>
            <w:tcW w:w="146" w:type="dxa"/>
            <w:tcBorders/>
            <w:shd w:fill="auto" w:val="clear"/>
            <w:vAlign w:val="center"/>
          </w:tcPr>
          <w:p>
            <w:pPr>
              <w:pStyle w:val="TableContents"/>
              <w:spacing w:before="0" w:after="0"/>
              <w:ind w:left="0" w:right="0" w:hanging="0"/>
              <w:jc w:val="left"/>
              <w:rPr/>
            </w:pPr>
            <w:r>
              <w:rPr/>
              <w:t> </w:t>
            </w:r>
          </w:p>
        </w:tc>
        <w:tc>
          <w:tcPr>
            <w:tcW w:w="91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7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7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71"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firstLine="400"/>
              <w:jc w:val="right"/>
              <w:rPr/>
            </w:pPr>
            <w:r>
              <w:rPr/>
              <w:t> </w:t>
            </w:r>
          </w:p>
        </w:tc>
      </w:tr>
      <w:tr>
        <w:trPr/>
        <w:tc>
          <w:tcPr>
            <w:tcW w:w="3496" w:type="dxa"/>
            <w:tcBorders/>
            <w:shd w:fill="auto" w:val="clear"/>
            <w:vAlign w:val="center"/>
          </w:tcPr>
          <w:p>
            <w:pPr>
              <w:pStyle w:val="TableContents"/>
              <w:spacing w:before="0" w:after="0"/>
              <w:ind w:left="400" w:right="0" w:hanging="0"/>
              <w:jc w:val="left"/>
              <w:rPr>
                <w:rFonts w:ascii="Times New Roman" w:hAnsi="Times New Roman"/>
                <w:sz w:val="20"/>
              </w:rPr>
            </w:pPr>
            <w:r>
              <w:rPr>
                <w:rFonts w:ascii="Times New Roman;serif" w:hAnsi="Times New Roman;serif"/>
                <w:b w:val="false"/>
                <w:sz w:val="20"/>
              </w:rPr>
              <w:t xml:space="preserve">Money market funds - equity securities </w:t>
            </w:r>
            <w:r>
              <w:rPr>
                <w:rFonts w:ascii="Times New Roman;serif" w:hAnsi="Times New Roman;serif"/>
                <w:b w:val="false"/>
                <w:sz w:val="13"/>
              </w:rPr>
              <w:t>(1)</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4,107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4,107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4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8" w:type="dxa"/>
            <w:tcBorders/>
            <w:shd w:fill="auto" w:val="clear"/>
            <w:vAlign w:val="center"/>
          </w:tcPr>
          <w:p>
            <w:pPr>
              <w:pStyle w:val="TableContents"/>
              <w:spacing w:before="0" w:after="0"/>
              <w:ind w:left="0" w:right="0" w:hanging="0"/>
              <w:jc w:val="right"/>
              <w:rPr/>
            </w:pPr>
            <w:r>
              <w:rPr/>
              <w:t>—</w:t>
            </w:r>
          </w:p>
        </w:tc>
        <w:tc>
          <w:tcPr>
            <w:tcW w:w="591" w:type="dxa"/>
            <w:tcBorders/>
            <w:shd w:fill="auto" w:val="clear"/>
            <w:vAlign w:val="center"/>
          </w:tcPr>
          <w:p>
            <w:pPr>
              <w:pStyle w:val="TableContents"/>
              <w:spacing w:before="0" w:after="0"/>
              <w:ind w:left="0" w:right="0" w:firstLine="400"/>
              <w:jc w:val="left"/>
              <w:rPr/>
            </w:pPr>
            <w:r>
              <w:rPr/>
              <w:t> </w:t>
            </w:r>
          </w:p>
        </w:tc>
      </w:tr>
      <w:tr>
        <w:trPr/>
        <w:tc>
          <w:tcPr>
            <w:tcW w:w="3496" w:type="dxa"/>
            <w:tcBorders/>
            <w:shd w:fill="auto" w:val="clear"/>
            <w:vAlign w:val="center"/>
          </w:tcPr>
          <w:p>
            <w:pPr>
              <w:pStyle w:val="TableContents"/>
              <w:spacing w:before="0" w:after="0"/>
              <w:ind w:left="400" w:right="0" w:hanging="0"/>
              <w:jc w:val="left"/>
              <w:rPr>
                <w:rFonts w:ascii="Times New Roman" w:hAnsi="Times New Roman"/>
                <w:sz w:val="20"/>
              </w:rPr>
            </w:pPr>
            <w:r>
              <w:rPr>
                <w:rFonts w:ascii="Times New Roman;serif" w:hAnsi="Times New Roman;serif"/>
                <w:b w:val="false"/>
                <w:sz w:val="20"/>
              </w:rPr>
              <w:t xml:space="preserve">Commercial paper - debt securities </w:t>
            </w:r>
            <w:r>
              <w:rPr>
                <w:rFonts w:ascii="Times New Roman;serif" w:hAnsi="Times New Roman;serif"/>
                <w:b w:val="false"/>
                <w:sz w:val="13"/>
              </w:rPr>
              <w:t>(2)</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29,015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29,015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49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Total Assets</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33,122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4,107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29,015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4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5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 w:hAnsi="Times New Roman"/>
          <w:b w:val="false"/>
          <w:sz w:val="20"/>
        </w:rPr>
      </w:pPr>
      <w:r>
        <w:rPr>
          <w:rFonts w:ascii="Times New Roman" w:hAnsi="Times New Roman"/>
          <w:b w:val="false"/>
          <w:sz w:val="20"/>
        </w:rPr>
        <w:t>(1)</w:t>
      </w:r>
    </w:p>
    <w:p>
      <w:pPr>
        <w:pStyle w:val="TextBody"/>
        <w:spacing w:before="0" w:after="0"/>
        <w:jc w:val="left"/>
        <w:rPr>
          <w:rFonts w:ascii="Times New Roman;serif" w:hAnsi="Times New Roman;serif"/>
          <w:b w:val="false"/>
          <w:sz w:val="20"/>
        </w:rPr>
      </w:pPr>
      <w:r>
        <w:rPr>
          <w:rFonts w:ascii="Times New Roman;serif" w:hAnsi="Times New Roman;serif"/>
          <w:b w:val="false"/>
          <w:sz w:val="20"/>
        </w:rPr>
        <w:t>Reported as cash and cash equivalents in the Condensed Consolidated Balance Sheet.</w:t>
      </w:r>
    </w:p>
    <w:p>
      <w:pPr>
        <w:pStyle w:val="TextBody"/>
        <w:spacing w:before="0" w:after="0"/>
        <w:jc w:val="left"/>
        <w:rPr>
          <w:rFonts w:ascii="Times New Roman" w:hAnsi="Times New Roman"/>
          <w:b w:val="false"/>
          <w:sz w:val="20"/>
        </w:rPr>
      </w:pPr>
      <w:r>
        <w:rPr>
          <w:rFonts w:ascii="Times New Roman" w:hAnsi="Times New Roman"/>
          <w:b w:val="false"/>
          <w:sz w:val="20"/>
        </w:rPr>
        <w:t>(2)</w:t>
      </w:r>
    </w:p>
    <w:p>
      <w:pPr>
        <w:pStyle w:val="TextBody"/>
        <w:jc w:val="left"/>
        <w:rPr>
          <w:rFonts w:ascii="Times New Roman;serif" w:hAnsi="Times New Roman;serif"/>
          <w:b w:val="false"/>
          <w:sz w:val="20"/>
        </w:rPr>
      </w:pPr>
      <w:r>
        <w:rPr>
          <w:rFonts w:ascii="Times New Roman;serif" w:hAnsi="Times New Roman;serif"/>
          <w:b w:val="false"/>
          <w:sz w:val="20"/>
        </w:rPr>
        <w:t>Reported as cash and cash equivalents as these were purchased with original maturities of three months or less at the date of purchase.</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17</w:t>
      </w:r>
    </w:p>
    <w:p>
      <w:pPr>
        <w:pStyle w:val="HorizontalLine"/>
        <w:rPr/>
      </w:pPr>
      <w:r>
        <w:rPr/>
      </w:r>
    </w:p>
    <w:p>
      <w:pPr>
        <w:pStyle w:val="TextBody"/>
        <w:spacing w:before="0" w:after="0"/>
        <w:jc w:val="left"/>
        <w:rPr/>
      </w:pPr>
      <w:r>
        <w:rPr/>
        <w:t> </w:t>
      </w:r>
    </w:p>
    <w:p>
      <w:pPr>
        <w:pStyle w:val="TextBody"/>
        <w:spacing w:before="40" w:after="0"/>
        <w:jc w:val="left"/>
        <w:rPr>
          <w:rFonts w:ascii="Times New Roman" w:hAnsi="Times New Roman"/>
          <w:sz w:val="20"/>
        </w:rPr>
      </w:pPr>
      <w:r>
        <w:rPr>
          <w:rFonts w:ascii="Times New Roman;serif" w:hAnsi="Times New Roman;serif"/>
          <w:b/>
          <w:sz w:val="20"/>
        </w:rPr>
        <w:t>Financial Instruments Not Recorded at Fair Value</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 xml:space="preserve">The Company’s long-term debt is carried at amortized cost and is measured at fair value on a quarterly basis for disclosure purposes. The carrying amounts and estimated fair values are as follows (in thousands): </w:t>
      </w:r>
    </w:p>
    <w:p>
      <w:pPr>
        <w:pStyle w:val="TextBody"/>
        <w:spacing w:before="0" w:after="0"/>
        <w:jc w:val="left"/>
        <w:rPr/>
      </w:pPr>
      <w:r>
        <w:rPr/>
        <w:t> </w:t>
      </w:r>
    </w:p>
    <w:tbl>
      <w:tblPr>
        <w:tblW w:w="7783" w:type="dxa"/>
        <w:jc w:val="left"/>
        <w:tblInd w:w="0" w:type="dxa"/>
        <w:tblCellMar>
          <w:top w:w="28" w:type="dxa"/>
          <w:left w:w="28" w:type="dxa"/>
          <w:bottom w:w="28" w:type="dxa"/>
          <w:right w:w="28" w:type="dxa"/>
        </w:tblCellMar>
      </w:tblPr>
      <w:tblGrid>
        <w:gridCol w:w="2446"/>
        <w:gridCol w:w="146"/>
        <w:gridCol w:w="211"/>
        <w:gridCol w:w="781"/>
        <w:gridCol w:w="146"/>
        <w:gridCol w:w="146"/>
        <w:gridCol w:w="217"/>
        <w:gridCol w:w="803"/>
        <w:gridCol w:w="146"/>
        <w:gridCol w:w="146"/>
        <w:gridCol w:w="211"/>
        <w:gridCol w:w="781"/>
        <w:gridCol w:w="146"/>
        <w:gridCol w:w="146"/>
        <w:gridCol w:w="217"/>
        <w:gridCol w:w="803"/>
        <w:gridCol w:w="291"/>
      </w:tblGrid>
      <w:tr>
        <w:trPr/>
        <w:tc>
          <w:tcPr>
            <w:tcW w:w="24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80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803"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r>
      <w:tr>
        <w:trPr/>
        <w:tc>
          <w:tcPr>
            <w:tcW w:w="24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04"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March 31, 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04"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December 31, 2022</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4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Carrying</w:t>
              <w:b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2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Estimated</w:t>
              <w:br/>
              <w:t>Fair 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Carrying</w:t>
              <w:b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2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Estimated</w:t>
              <w:br/>
              <w:t>Fair Value</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44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Refinanced Term B Loans </w:t>
            </w:r>
            <w:r>
              <w:rPr>
                <w:rFonts w:ascii="Times New Roman;serif" w:hAnsi="Times New Roman;serif"/>
                <w:b w:val="false"/>
                <w:sz w:val="13"/>
              </w:rPr>
              <w:t>(1)</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646,938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640,468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729,393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700,217</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r>
      <w:tr>
        <w:trPr/>
        <w:tc>
          <w:tcPr>
            <w:tcW w:w="244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Total long-term debt,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646,938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640,468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729,393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700,217</w:t>
            </w:r>
          </w:p>
        </w:tc>
        <w:tc>
          <w:tcPr>
            <w:tcW w:w="2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40" w:after="0"/>
        <w:jc w:val="left"/>
        <w:rPr>
          <w:rFonts w:ascii="Times New Roman" w:hAnsi="Times New Roman"/>
          <w:sz w:val="20"/>
        </w:rPr>
      </w:pPr>
      <w:r>
        <w:rPr>
          <w:rFonts w:ascii="Times New Roman;serif" w:hAnsi="Times New Roman;serif"/>
          <w:b w:val="false"/>
          <w:sz w:val="13"/>
        </w:rPr>
        <w:t>(1)</w:t>
      </w:r>
      <w:r>
        <w:rPr>
          <w:rFonts w:ascii="Times New Roman" w:hAnsi="Times New Roman"/>
          <w:sz w:val="20"/>
        </w:rPr>
        <w:t xml:space="preserve"> </w:t>
      </w:r>
      <w:r>
        <w:rPr>
          <w:rFonts w:ascii="Times New Roman;serif" w:hAnsi="Times New Roman;serif"/>
          <w:b w:val="false"/>
          <w:sz w:val="20"/>
        </w:rPr>
        <w:t>Carrying amounts of long-term debt are net of unamortized debt discount and issuance costs of $18.7</w:t>
      </w:r>
      <w:r>
        <w:rPr>
          <w:rFonts w:ascii="Times New Roman" w:hAnsi="Times New Roman"/>
          <w:sz w:val="20"/>
        </w:rPr>
        <w:t xml:space="preserve"> </w:t>
      </w:r>
      <w:r>
        <w:rPr>
          <w:rFonts w:ascii="Times New Roman;serif" w:hAnsi="Times New Roman;serif"/>
          <w:b w:val="false"/>
          <w:sz w:val="20"/>
        </w:rPr>
        <w:t>million and $19.9</w:t>
      </w:r>
      <w:r>
        <w:rPr>
          <w:rFonts w:ascii="Times New Roman" w:hAnsi="Times New Roman"/>
          <w:sz w:val="20"/>
        </w:rPr>
        <w:t xml:space="preserve"> </w:t>
      </w:r>
      <w:r>
        <w:rPr>
          <w:rFonts w:ascii="Times New Roman;serif" w:hAnsi="Times New Roman;serif"/>
          <w:b w:val="false"/>
          <w:sz w:val="20"/>
        </w:rPr>
        <w:t xml:space="preserve">million as of March 31, 2023 and December 31, 2022, respectively. See “Note 9 – </w:t>
      </w:r>
      <w:r>
        <w:rPr>
          <w:rFonts w:ascii="Times New Roman;serif" w:hAnsi="Times New Roman;serif"/>
          <w:b w:val="false"/>
          <w:i/>
          <w:sz w:val="20"/>
        </w:rPr>
        <w:t>Debt</w:t>
      </w:r>
      <w:r>
        <w:rPr>
          <w:rFonts w:ascii="Times New Roman" w:hAnsi="Times New Roman"/>
          <w:sz w:val="20"/>
        </w:rPr>
        <w:t xml:space="preserve">” </w:t>
      </w:r>
      <w:r>
        <w:rPr>
          <w:rFonts w:ascii="Times New Roman;serif" w:hAnsi="Times New Roman;serif"/>
          <w:b w:val="false"/>
          <w:sz w:val="20"/>
        </w:rPr>
        <w:t>for additional information.</w:t>
      </w:r>
    </w:p>
    <w:p>
      <w:pPr>
        <w:pStyle w:val="TextBody"/>
        <w:spacing w:before="240" w:after="0"/>
        <w:jc w:val="left"/>
        <w:rPr>
          <w:rFonts w:ascii="Times New Roman" w:hAnsi="Times New Roman"/>
          <w:sz w:val="20"/>
        </w:rPr>
      </w:pPr>
      <w:r>
        <w:rPr>
          <w:rFonts w:ascii="Times New Roman;serif" w:hAnsi="Times New Roman;serif"/>
          <w:b w:val="false"/>
          <w:sz w:val="20"/>
        </w:rPr>
        <w:t>If reported at fair value in the Condensed Consolidated Balance Sheets, the Company’s debt would be classified within Level 2 of the fair value hierarchy. The fair value of the debt was estimated based on the quoted market prices for the same or similar issues.</w:t>
      </w:r>
      <w:r>
        <w:rPr>
          <w:rFonts w:ascii="Times New Roman" w:hAnsi="Times New Roman"/>
          <w:sz w:val="20"/>
        </w:rPr>
        <w:t xml:space="preserve"> </w:t>
      </w:r>
    </w:p>
    <w:p>
      <w:pPr>
        <w:pStyle w:val="TextBody"/>
        <w:spacing w:before="240" w:after="0"/>
        <w:jc w:val="left"/>
        <w:rPr>
          <w:rFonts w:ascii="Times New Roman;serif" w:hAnsi="Times New Roman;serif"/>
          <w:b/>
          <w:sz w:val="20"/>
        </w:rPr>
      </w:pPr>
      <w:r>
        <w:rPr>
          <w:rFonts w:ascii="Times New Roman;serif" w:hAnsi="Times New Roman;serif"/>
          <w:b/>
          <w:sz w:val="20"/>
        </w:rPr>
        <w:t>NOTE 7 – DISCONTINUED OPERATIONS</w:t>
      </w:r>
    </w:p>
    <w:p>
      <w:pPr>
        <w:pStyle w:val="TextBody"/>
        <w:spacing w:before="240" w:after="0"/>
        <w:jc w:val="left"/>
        <w:rPr>
          <w:rFonts w:ascii="Times New Roman" w:hAnsi="Times New Roman"/>
          <w:sz w:val="20"/>
        </w:rPr>
      </w:pPr>
      <w:r>
        <w:rPr>
          <w:rFonts w:ascii="Times New Roman;serif" w:hAnsi="Times New Roman;serif"/>
          <w:b w:val="false"/>
          <w:sz w:val="20"/>
        </w:rPr>
        <w:t xml:space="preserve">On October 1, 2022, the Company completed the Separation of its product business into a separate, independent, publicly-traded company, Xperi Inc. The accounting requirements for reporting the Separation of Xperi Inc. as a discontinued operation were met when the Separation was completed. Accordingly, the historical financial results of Xperi Inc. prior to the Separation are presented as discontinued operations and, as such, are excluded from continuing operations and results of operations from all periods presented. For further information on the Separation, see “Note 1 </w:t>
      </w:r>
      <w:r>
        <w:rPr>
          <w:rFonts w:ascii="Times New Roman" w:hAnsi="Times New Roman"/>
          <w:sz w:val="20"/>
        </w:rPr>
        <w:t xml:space="preserve">– </w:t>
      </w:r>
      <w:r>
        <w:rPr>
          <w:rFonts w:ascii="Times New Roman;serif" w:hAnsi="Times New Roman;serif"/>
          <w:b w:val="false"/>
          <w:i/>
          <w:sz w:val="20"/>
        </w:rPr>
        <w:t>The Company and Basis of Presentation</w:t>
      </w:r>
      <w:r>
        <w:rPr>
          <w:rFonts w:ascii="Times New Roman" w:hAnsi="Times New Roman"/>
          <w:sz w:val="20"/>
        </w:rPr>
        <w:t>”</w:t>
      </w:r>
      <w:r>
        <w:rPr>
          <w:rFonts w:ascii="Times New Roman;serif" w:hAnsi="Times New Roman;serif"/>
          <w:b w:val="false"/>
          <w:sz w:val="20"/>
        </w:rPr>
        <w:t>.</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Company’s presentation of discontinued operations excludes general corporate overhead costs, which were historically allocated to Xperi Inc., that do not meet the requirements to be presented in discontinued operations, although such costs are not reflective of the on-going operations of the Company. Such allocations included labor and non-labor costs related to the Company’s corporate support functions (e.g., administration, human resources, finance, accounting, tax, information technology, corporate development, legal, among others) that historically provided support to Xperi Inc. prior to the Separation.</w:t>
      </w:r>
    </w:p>
    <w:p>
      <w:pPr>
        <w:pStyle w:val="TextBody"/>
        <w:spacing w:before="240" w:after="0"/>
        <w:jc w:val="left"/>
        <w:rPr>
          <w:rFonts w:ascii="Times New Roman" w:hAnsi="Times New Roman"/>
          <w:sz w:val="20"/>
        </w:rPr>
      </w:pPr>
      <w:r>
        <w:rPr>
          <w:rFonts w:ascii="Times New Roman;serif" w:hAnsi="Times New Roman;serif"/>
          <w:b w:val="false"/>
          <w:sz w:val="20"/>
        </w:rPr>
        <w:t>In addition, discontinued operations excludes the historical intercompany balances and transactions between the Company and Xperi Inc. that were eliminated in consolidation.</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In connection with the Separation, the Company incurred separation costs of $43.3</w:t>
      </w:r>
      <w:r>
        <w:rPr>
          <w:rFonts w:ascii="Times New Roman" w:hAnsi="Times New Roman"/>
          <w:sz w:val="20"/>
        </w:rPr>
        <w:t xml:space="preserve"> </w:t>
      </w:r>
      <w:r>
        <w:rPr>
          <w:rFonts w:ascii="Times New Roman;serif" w:hAnsi="Times New Roman;serif"/>
          <w:b w:val="false"/>
          <w:sz w:val="20"/>
        </w:rPr>
        <w:t>million from January 1, 2020 to March 31, 2023. Separation costs primarily consist of third-party advisory, consulting, legal and professional services, IT and employee bonus costs directly related to the Separation, as well as other items that are incremental and one-time in nature. Out of these costs, $28.6</w:t>
      </w:r>
      <w:r>
        <w:rPr>
          <w:rFonts w:ascii="Times New Roman" w:hAnsi="Times New Roman"/>
          <w:sz w:val="20"/>
        </w:rPr>
        <w:t xml:space="preserve"> </w:t>
      </w:r>
      <w:r>
        <w:rPr>
          <w:rFonts w:ascii="Times New Roman;serif" w:hAnsi="Times New Roman;serif"/>
          <w:b w:val="false"/>
          <w:sz w:val="20"/>
        </w:rPr>
        <w:t>million were incurred prior to the Separation and are included in net loss from discontinued operations, net of tax. The remaining separation costs of $14.7</w:t>
      </w:r>
      <w:r>
        <w:rPr>
          <w:rFonts w:ascii="Times New Roman" w:hAnsi="Times New Roman"/>
          <w:sz w:val="20"/>
        </w:rPr>
        <w:t xml:space="preserve"> </w:t>
      </w:r>
      <w:r>
        <w:rPr>
          <w:rFonts w:ascii="Times New Roman;serif" w:hAnsi="Times New Roman;serif"/>
          <w:b w:val="false"/>
          <w:sz w:val="20"/>
        </w:rPr>
        <w:t>million were incurred after the Separation and are reflected in continuing operations within operating expenses in the Company's Condensed Consolidated Statement of Operations. During the three months ended March 31, 2022, the Company incurred $2.8</w:t>
      </w:r>
      <w:r>
        <w:rPr>
          <w:rFonts w:ascii="Times New Roman" w:hAnsi="Times New Roman"/>
          <w:sz w:val="20"/>
        </w:rPr>
        <w:t xml:space="preserve"> </w:t>
      </w:r>
      <w:r>
        <w:rPr>
          <w:rFonts w:ascii="Times New Roman;serif" w:hAnsi="Times New Roman;serif"/>
          <w:b w:val="false"/>
          <w:sz w:val="20"/>
        </w:rPr>
        <w:t>million in separation costs, which are included in net loss from discontinued operations, net of tax. During the three months ended March 31, 2023, the Company incurred $1.0</w:t>
      </w:r>
      <w:r>
        <w:rPr>
          <w:rFonts w:ascii="Times New Roman" w:hAnsi="Times New Roman"/>
          <w:sz w:val="20"/>
        </w:rPr>
        <w:t xml:space="preserve"> </w:t>
      </w:r>
      <w:r>
        <w:rPr>
          <w:rFonts w:ascii="Times New Roman;serif" w:hAnsi="Times New Roman;serif"/>
          <w:b w:val="false"/>
          <w:sz w:val="20"/>
        </w:rPr>
        <w:t>million in separation costs, which are included in continuing operations as part of selling, general and administrative expenses.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The Company and Xperi Inc. entered into various agreements to effect the Separation and provide a framework for their on-going relationship, including a separation and distribution agreement, transition services agreement, employee matters agreement, tax matters agreement, cross business license agreement and data sharing agreement. The transition services agreement consists of services that Xperi Inc. and its subsidiaries will provide to the Company and its subsidiaries for a transitional period, as defined in the agreement. The services to be provided include back office functions and assistance with regard to administrative tasks relating to day-to-day activities as needed, including finance, accounting and tax activities, IT services, customer support, facilities services, human resources, and general corporate support, as well as pass-through services provided by certain vendors. The impact of these transition services on the Company’s Condensed Consolidated Financial Statements for the three months ended March 31, 2023 was not material.</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18</w:t>
      </w:r>
    </w:p>
    <w:p>
      <w:pPr>
        <w:pStyle w:val="HorizontalLine"/>
        <w:rPr/>
      </w:pPr>
      <w:r>
        <w:rPr/>
      </w:r>
    </w:p>
    <w:p>
      <w:pPr>
        <w:pStyle w:val="TextBody"/>
        <w:spacing w:before="0" w:after="0"/>
        <w:jc w:val="left"/>
        <w:rPr/>
      </w:pPr>
      <w:r>
        <w:rPr/>
        <w:t> </w:t>
      </w:r>
    </w:p>
    <w:p>
      <w:pPr>
        <w:pStyle w:val="TextBody"/>
        <w:spacing w:before="240" w:after="0"/>
        <w:jc w:val="left"/>
        <w:rPr>
          <w:rFonts w:ascii="Times New Roman;serif" w:hAnsi="Times New Roman;serif"/>
          <w:b w:val="false"/>
          <w:i/>
          <w:sz w:val="20"/>
        </w:rPr>
      </w:pPr>
      <w:r>
        <w:rPr>
          <w:rFonts w:ascii="Times New Roman;serif" w:hAnsi="Times New Roman;serif"/>
          <w:b w:val="false"/>
          <w:i/>
          <w:sz w:val="20"/>
        </w:rPr>
        <w:t>Net Loss from Discontinued Operations</w:t>
      </w:r>
    </w:p>
    <w:p>
      <w:pPr>
        <w:pStyle w:val="TextBody"/>
        <w:spacing w:before="240" w:after="0"/>
        <w:jc w:val="left"/>
        <w:rPr>
          <w:rFonts w:ascii="Times New Roman" w:hAnsi="Times New Roman"/>
          <w:sz w:val="20"/>
        </w:rPr>
      </w:pPr>
      <w:r>
        <w:rPr>
          <w:rFonts w:ascii="Times New Roman;serif" w:hAnsi="Times New Roman;serif"/>
          <w:b w:val="false"/>
          <w:sz w:val="20"/>
        </w:rPr>
        <w:t>The financial results of Xperi Inc. for the three months ended March 31, 2022 are presented as net loss from discontinued operations, net of tax, on the Condensed Consolidated Statements of Operations. The following table presents financial results of Xperi Inc. (in thousands):</w:t>
      </w:r>
      <w:r>
        <w:rPr>
          <w:rFonts w:ascii="Times New Roman" w:hAnsi="Times New Roman"/>
          <w:sz w:val="20"/>
        </w:rPr>
        <w:t xml:space="preserve"> </w:t>
      </w:r>
    </w:p>
    <w:p>
      <w:pPr>
        <w:pStyle w:val="TextBody"/>
        <w:spacing w:before="0" w:after="0"/>
        <w:jc w:val="left"/>
        <w:rPr/>
      </w:pPr>
      <w:r>
        <w:rPr/>
        <w:t> </w:t>
      </w:r>
    </w:p>
    <w:tbl>
      <w:tblPr>
        <w:tblW w:w="6933" w:type="dxa"/>
        <w:jc w:val="left"/>
        <w:tblInd w:w="0" w:type="dxa"/>
        <w:tblCellMar>
          <w:top w:w="28" w:type="dxa"/>
          <w:left w:w="28" w:type="dxa"/>
          <w:bottom w:w="28" w:type="dxa"/>
          <w:right w:w="28" w:type="dxa"/>
        </w:tblCellMar>
      </w:tblPr>
      <w:tblGrid>
        <w:gridCol w:w="4321"/>
        <w:gridCol w:w="146"/>
        <w:gridCol w:w="399"/>
        <w:gridCol w:w="1476"/>
        <w:gridCol w:w="591"/>
      </w:tblGrid>
      <w:tr>
        <w:trPr/>
        <w:tc>
          <w:tcPr>
            <w:tcW w:w="43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1476"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r>
      <w:tr>
        <w:trPr/>
        <w:tc>
          <w:tcPr>
            <w:tcW w:w="432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7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Three Months Ended</w:t>
              <w:br/>
              <w:t>March 31, 2022</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3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Revenue</w:t>
            </w:r>
          </w:p>
        </w:tc>
        <w:tc>
          <w:tcPr>
            <w:tcW w:w="146" w:type="dxa"/>
            <w:tcBorders/>
            <w:shd w:fill="auto" w:val="clear"/>
            <w:vAlign w:val="center"/>
          </w:tcPr>
          <w:p>
            <w:pPr>
              <w:pStyle w:val="TableContents"/>
              <w:spacing w:before="0" w:after="0"/>
              <w:ind w:left="0" w:right="0" w:hanging="0"/>
              <w:jc w:val="left"/>
              <w:rPr/>
            </w:pPr>
            <w:r>
              <w:rPr/>
              <w:t> </w:t>
            </w:r>
          </w:p>
        </w:tc>
        <w:tc>
          <w:tcPr>
            <w:tcW w:w="39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118,888</w:t>
            </w:r>
          </w:p>
        </w:tc>
        <w:tc>
          <w:tcPr>
            <w:tcW w:w="591" w:type="dxa"/>
            <w:tcBorders/>
            <w:shd w:fill="auto" w:val="clear"/>
            <w:vAlign w:val="center"/>
          </w:tcPr>
          <w:p>
            <w:pPr>
              <w:pStyle w:val="TableContents"/>
              <w:spacing w:before="0" w:after="0"/>
              <w:ind w:left="0" w:right="0" w:hanging="0"/>
              <w:jc w:val="left"/>
              <w:rPr/>
            </w:pPr>
            <w:r>
              <w:rPr/>
              <w:t> </w:t>
            </w:r>
          </w:p>
        </w:tc>
      </w:tr>
      <w:tr>
        <w:trPr/>
        <w:tc>
          <w:tcPr>
            <w:tcW w:w="43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shd w:fill="auto" w:val="clear"/>
            <w:vAlign w:val="center"/>
          </w:tcPr>
          <w:p>
            <w:pPr>
              <w:pStyle w:val="TableContents"/>
              <w:spacing w:before="0" w:after="0"/>
              <w:ind w:left="0" w:right="0" w:hanging="0"/>
              <w:jc w:val="left"/>
              <w:rPr/>
            </w:pPr>
            <w:r>
              <w:rPr/>
              <w:t> </w:t>
            </w:r>
          </w:p>
        </w:tc>
        <w:tc>
          <w:tcPr>
            <w:tcW w:w="1875"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firstLine="200"/>
              <w:jc w:val="right"/>
              <w:rPr/>
            </w:pPr>
            <w:r>
              <w:rPr/>
              <w:t> </w:t>
            </w:r>
          </w:p>
        </w:tc>
      </w:tr>
      <w:tr>
        <w:trPr/>
        <w:tc>
          <w:tcPr>
            <w:tcW w:w="43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Cost of revenue</w:t>
            </w:r>
          </w:p>
        </w:tc>
        <w:tc>
          <w:tcPr>
            <w:tcW w:w="146" w:type="dxa"/>
            <w:tcBorders/>
            <w:shd w:fill="auto" w:val="clear"/>
            <w:vAlign w:val="center"/>
          </w:tcPr>
          <w:p>
            <w:pPr>
              <w:pStyle w:val="TableContents"/>
              <w:spacing w:before="0" w:after="0"/>
              <w:ind w:left="0" w:right="0" w:hanging="0"/>
              <w:jc w:val="left"/>
              <w:rPr/>
            </w:pPr>
            <w:r>
              <w:rPr/>
              <w:t> </w:t>
            </w:r>
          </w:p>
        </w:tc>
        <w:tc>
          <w:tcPr>
            <w:tcW w:w="399" w:type="dxa"/>
            <w:tcBorders/>
            <w:shd w:fill="auto" w:val="clear"/>
            <w:vAlign w:val="center"/>
          </w:tcPr>
          <w:p>
            <w:pPr>
              <w:pStyle w:val="TableContents"/>
              <w:spacing w:before="0" w:after="0"/>
              <w:ind w:left="0" w:right="0" w:hanging="0"/>
              <w:jc w:val="left"/>
              <w:rPr/>
            </w:pPr>
            <w:r>
              <w:rPr/>
              <w:t> </w:t>
            </w:r>
          </w:p>
        </w:tc>
        <w:tc>
          <w:tcPr>
            <w:tcW w:w="14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27,407</w:t>
            </w:r>
          </w:p>
        </w:tc>
        <w:tc>
          <w:tcPr>
            <w:tcW w:w="591" w:type="dxa"/>
            <w:tcBorders/>
            <w:shd w:fill="auto" w:val="clear"/>
            <w:vAlign w:val="center"/>
          </w:tcPr>
          <w:p>
            <w:pPr>
              <w:pStyle w:val="TableContents"/>
              <w:spacing w:before="0" w:after="0"/>
              <w:ind w:left="0" w:right="0" w:firstLine="200"/>
              <w:jc w:val="left"/>
              <w:rPr/>
            </w:pPr>
            <w:r>
              <w:rPr/>
              <w:t> </w:t>
            </w:r>
          </w:p>
        </w:tc>
      </w:tr>
      <w:tr>
        <w:trPr/>
        <w:tc>
          <w:tcPr>
            <w:tcW w:w="43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shd w:fill="auto" w:val="clear"/>
            <w:vAlign w:val="center"/>
          </w:tcPr>
          <w:p>
            <w:pPr>
              <w:pStyle w:val="TableContents"/>
              <w:spacing w:before="0" w:after="0"/>
              <w:ind w:left="0" w:right="0" w:hanging="0"/>
              <w:jc w:val="left"/>
              <w:rPr/>
            </w:pPr>
            <w:r>
              <w:rPr/>
              <w:t> </w:t>
            </w:r>
          </w:p>
        </w:tc>
        <w:tc>
          <w:tcPr>
            <w:tcW w:w="399" w:type="dxa"/>
            <w:tcBorders/>
            <w:shd w:fill="auto" w:val="clear"/>
            <w:vAlign w:val="center"/>
          </w:tcPr>
          <w:p>
            <w:pPr>
              <w:pStyle w:val="TableContents"/>
              <w:spacing w:before="0" w:after="0"/>
              <w:ind w:left="0" w:right="0" w:hanging="0"/>
              <w:jc w:val="left"/>
              <w:rPr/>
            </w:pPr>
            <w:r>
              <w:rPr/>
              <w:t> </w:t>
            </w:r>
          </w:p>
        </w:tc>
        <w:tc>
          <w:tcPr>
            <w:tcW w:w="14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50,239</w:t>
            </w:r>
          </w:p>
        </w:tc>
        <w:tc>
          <w:tcPr>
            <w:tcW w:w="591" w:type="dxa"/>
            <w:tcBorders/>
            <w:shd w:fill="auto" w:val="clear"/>
            <w:vAlign w:val="center"/>
          </w:tcPr>
          <w:p>
            <w:pPr>
              <w:pStyle w:val="TableContents"/>
              <w:spacing w:before="0" w:after="0"/>
              <w:ind w:left="0" w:right="0" w:firstLine="200"/>
              <w:jc w:val="left"/>
              <w:rPr/>
            </w:pPr>
            <w:r>
              <w:rPr/>
              <w:t> </w:t>
            </w:r>
          </w:p>
        </w:tc>
      </w:tr>
      <w:tr>
        <w:trPr/>
        <w:tc>
          <w:tcPr>
            <w:tcW w:w="43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Selling, general and administrative</w:t>
            </w:r>
          </w:p>
        </w:tc>
        <w:tc>
          <w:tcPr>
            <w:tcW w:w="146" w:type="dxa"/>
            <w:tcBorders/>
            <w:shd w:fill="auto" w:val="clear"/>
            <w:vAlign w:val="center"/>
          </w:tcPr>
          <w:p>
            <w:pPr>
              <w:pStyle w:val="TableContents"/>
              <w:spacing w:before="0" w:after="0"/>
              <w:ind w:left="0" w:right="0" w:hanging="0"/>
              <w:jc w:val="left"/>
              <w:rPr/>
            </w:pPr>
            <w:r>
              <w:rPr/>
              <w:t> </w:t>
            </w:r>
          </w:p>
        </w:tc>
        <w:tc>
          <w:tcPr>
            <w:tcW w:w="399" w:type="dxa"/>
            <w:tcBorders/>
            <w:shd w:fill="auto" w:val="clear"/>
            <w:vAlign w:val="center"/>
          </w:tcPr>
          <w:p>
            <w:pPr>
              <w:pStyle w:val="TableContents"/>
              <w:spacing w:before="0" w:after="0"/>
              <w:ind w:left="0" w:right="0" w:hanging="0"/>
              <w:jc w:val="left"/>
              <w:rPr/>
            </w:pPr>
            <w:r>
              <w:rPr/>
              <w:t> </w:t>
            </w:r>
          </w:p>
        </w:tc>
        <w:tc>
          <w:tcPr>
            <w:tcW w:w="14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36,696</w:t>
            </w:r>
          </w:p>
        </w:tc>
        <w:tc>
          <w:tcPr>
            <w:tcW w:w="591" w:type="dxa"/>
            <w:tcBorders/>
            <w:shd w:fill="auto" w:val="clear"/>
            <w:vAlign w:val="center"/>
          </w:tcPr>
          <w:p>
            <w:pPr>
              <w:pStyle w:val="TableContents"/>
              <w:spacing w:before="0" w:after="0"/>
              <w:ind w:left="0" w:right="0" w:firstLine="200"/>
              <w:jc w:val="left"/>
              <w:rPr/>
            </w:pPr>
            <w:r>
              <w:rPr/>
              <w:t> </w:t>
            </w:r>
          </w:p>
        </w:tc>
      </w:tr>
      <w:tr>
        <w:trPr/>
        <w:tc>
          <w:tcPr>
            <w:tcW w:w="43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Depreciation expense</w:t>
            </w:r>
          </w:p>
        </w:tc>
        <w:tc>
          <w:tcPr>
            <w:tcW w:w="146" w:type="dxa"/>
            <w:tcBorders/>
            <w:shd w:fill="auto" w:val="clear"/>
            <w:vAlign w:val="center"/>
          </w:tcPr>
          <w:p>
            <w:pPr>
              <w:pStyle w:val="TableContents"/>
              <w:spacing w:before="0" w:after="0"/>
              <w:ind w:left="0" w:right="0" w:hanging="0"/>
              <w:jc w:val="left"/>
              <w:rPr/>
            </w:pPr>
            <w:r>
              <w:rPr/>
              <w:t> </w:t>
            </w:r>
          </w:p>
        </w:tc>
        <w:tc>
          <w:tcPr>
            <w:tcW w:w="399" w:type="dxa"/>
            <w:tcBorders/>
            <w:shd w:fill="auto" w:val="clear"/>
            <w:vAlign w:val="center"/>
          </w:tcPr>
          <w:p>
            <w:pPr>
              <w:pStyle w:val="TableContents"/>
              <w:spacing w:before="0" w:after="0"/>
              <w:ind w:left="0" w:right="0" w:hanging="0"/>
              <w:jc w:val="left"/>
              <w:rPr/>
            </w:pPr>
            <w:r>
              <w:rPr/>
              <w:t> </w:t>
            </w:r>
          </w:p>
        </w:tc>
        <w:tc>
          <w:tcPr>
            <w:tcW w:w="14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5,563</w:t>
            </w:r>
          </w:p>
        </w:tc>
        <w:tc>
          <w:tcPr>
            <w:tcW w:w="591" w:type="dxa"/>
            <w:tcBorders/>
            <w:shd w:fill="auto" w:val="clear"/>
            <w:vAlign w:val="center"/>
          </w:tcPr>
          <w:p>
            <w:pPr>
              <w:pStyle w:val="TableContents"/>
              <w:spacing w:before="0" w:after="0"/>
              <w:ind w:left="0" w:right="0" w:firstLine="200"/>
              <w:jc w:val="left"/>
              <w:rPr/>
            </w:pPr>
            <w:r>
              <w:rPr/>
              <w:t> </w:t>
            </w:r>
          </w:p>
        </w:tc>
      </w:tr>
      <w:tr>
        <w:trPr/>
        <w:tc>
          <w:tcPr>
            <w:tcW w:w="43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Amortization expense</w:t>
            </w:r>
          </w:p>
        </w:tc>
        <w:tc>
          <w:tcPr>
            <w:tcW w:w="146" w:type="dxa"/>
            <w:tcBorders/>
            <w:shd w:fill="auto" w:val="clear"/>
            <w:vAlign w:val="center"/>
          </w:tcPr>
          <w:p>
            <w:pPr>
              <w:pStyle w:val="TableContents"/>
              <w:spacing w:before="0" w:after="0"/>
              <w:ind w:left="0" w:right="0" w:hanging="0"/>
              <w:jc w:val="left"/>
              <w:rPr/>
            </w:pPr>
            <w:r>
              <w:rPr/>
              <w:t> </w:t>
            </w:r>
          </w:p>
        </w:tc>
        <w:tc>
          <w:tcPr>
            <w:tcW w:w="399" w:type="dxa"/>
            <w:tcBorders/>
            <w:shd w:fill="auto" w:val="clear"/>
            <w:vAlign w:val="center"/>
          </w:tcPr>
          <w:p>
            <w:pPr>
              <w:pStyle w:val="TableContents"/>
              <w:spacing w:before="0" w:after="0"/>
              <w:ind w:left="0" w:right="0" w:hanging="0"/>
              <w:jc w:val="left"/>
              <w:rPr/>
            </w:pPr>
            <w:r>
              <w:rPr/>
              <w:t> </w:t>
            </w:r>
          </w:p>
        </w:tc>
        <w:tc>
          <w:tcPr>
            <w:tcW w:w="14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14,793</w:t>
            </w:r>
          </w:p>
        </w:tc>
        <w:tc>
          <w:tcPr>
            <w:tcW w:w="591" w:type="dxa"/>
            <w:tcBorders/>
            <w:shd w:fill="auto" w:val="clear"/>
            <w:vAlign w:val="center"/>
          </w:tcPr>
          <w:p>
            <w:pPr>
              <w:pStyle w:val="TableContents"/>
              <w:spacing w:before="0" w:after="0"/>
              <w:ind w:left="0" w:right="0" w:firstLine="200"/>
              <w:jc w:val="left"/>
              <w:rPr/>
            </w:pPr>
            <w:r>
              <w:rPr/>
              <w:t> </w:t>
            </w:r>
          </w:p>
        </w:tc>
      </w:tr>
      <w:tr>
        <w:trPr/>
        <w:tc>
          <w:tcPr>
            <w:tcW w:w="43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Litigation expense</w:t>
            </w:r>
          </w:p>
        </w:tc>
        <w:tc>
          <w:tcPr>
            <w:tcW w:w="146" w:type="dxa"/>
            <w:tcBorders/>
            <w:shd w:fill="auto" w:val="clear"/>
            <w:vAlign w:val="center"/>
          </w:tcPr>
          <w:p>
            <w:pPr>
              <w:pStyle w:val="TableContents"/>
              <w:spacing w:before="0" w:after="0"/>
              <w:ind w:left="0" w:right="0" w:hanging="0"/>
              <w:jc w:val="left"/>
              <w:rPr/>
            </w:pPr>
            <w:r>
              <w:rPr/>
              <w:t> </w:t>
            </w:r>
          </w:p>
        </w:tc>
        <w:tc>
          <w:tcPr>
            <w:tcW w:w="3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675</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432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shd w:fill="auto" w:val="clear"/>
            <w:vAlign w:val="center"/>
          </w:tcPr>
          <w:p>
            <w:pPr>
              <w:pStyle w:val="TableContents"/>
              <w:spacing w:before="0" w:after="0"/>
              <w:ind w:left="0" w:right="0" w:hanging="0"/>
              <w:jc w:val="left"/>
              <w:rPr/>
            </w:pPr>
            <w:r>
              <w:rPr/>
              <w:t> </w:t>
            </w:r>
          </w:p>
        </w:tc>
        <w:tc>
          <w:tcPr>
            <w:tcW w:w="3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135,373</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3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loss</w:t>
            </w:r>
          </w:p>
        </w:tc>
        <w:tc>
          <w:tcPr>
            <w:tcW w:w="146" w:type="dxa"/>
            <w:tcBorders/>
            <w:shd w:fill="auto" w:val="clear"/>
            <w:vAlign w:val="center"/>
          </w:tcPr>
          <w:p>
            <w:pPr>
              <w:pStyle w:val="TableContents"/>
              <w:spacing w:before="0" w:after="0"/>
              <w:ind w:left="0" w:right="0" w:hanging="0"/>
              <w:jc w:val="left"/>
              <w:rPr/>
            </w:pPr>
            <w:r>
              <w:rPr/>
              <w:t> </w:t>
            </w:r>
          </w:p>
        </w:tc>
        <w:tc>
          <w:tcPr>
            <w:tcW w:w="399" w:type="dxa"/>
            <w:tcBorders/>
            <w:shd w:fill="auto" w:val="clear"/>
            <w:vAlign w:val="center"/>
          </w:tcPr>
          <w:p>
            <w:pPr>
              <w:pStyle w:val="TableContents"/>
              <w:spacing w:before="0" w:after="0"/>
              <w:ind w:left="0" w:right="0" w:hanging="0"/>
              <w:jc w:val="left"/>
              <w:rPr/>
            </w:pPr>
            <w:r>
              <w:rPr/>
              <w:t> </w:t>
            </w:r>
          </w:p>
        </w:tc>
        <w:tc>
          <w:tcPr>
            <w:tcW w:w="14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(16,485</w:t>
            </w:r>
          </w:p>
        </w:tc>
        <w:tc>
          <w:tcPr>
            <w:tcW w:w="5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3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 and expense, net</w:t>
            </w:r>
          </w:p>
        </w:tc>
        <w:tc>
          <w:tcPr>
            <w:tcW w:w="146" w:type="dxa"/>
            <w:tcBorders/>
            <w:shd w:fill="auto" w:val="clear"/>
            <w:vAlign w:val="center"/>
          </w:tcPr>
          <w:p>
            <w:pPr>
              <w:pStyle w:val="TableContents"/>
              <w:spacing w:before="0" w:after="0"/>
              <w:ind w:left="0" w:right="0" w:hanging="0"/>
              <w:jc w:val="left"/>
              <w:rPr/>
            </w:pPr>
            <w:r>
              <w:rPr/>
              <w:t> </w:t>
            </w:r>
          </w:p>
        </w:tc>
        <w:tc>
          <w:tcPr>
            <w:tcW w:w="3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631</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3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Loss before taxes</w:t>
            </w:r>
          </w:p>
        </w:tc>
        <w:tc>
          <w:tcPr>
            <w:tcW w:w="146" w:type="dxa"/>
            <w:tcBorders/>
            <w:shd w:fill="auto" w:val="clear"/>
            <w:vAlign w:val="center"/>
          </w:tcPr>
          <w:p>
            <w:pPr>
              <w:pStyle w:val="TableContents"/>
              <w:spacing w:before="0" w:after="0"/>
              <w:ind w:left="0" w:right="0" w:hanging="0"/>
              <w:jc w:val="left"/>
              <w:rPr/>
            </w:pPr>
            <w:r>
              <w:rPr/>
              <w:t> </w:t>
            </w:r>
          </w:p>
        </w:tc>
        <w:tc>
          <w:tcPr>
            <w:tcW w:w="399" w:type="dxa"/>
            <w:tcBorders/>
            <w:shd w:fill="auto" w:val="clear"/>
            <w:vAlign w:val="center"/>
          </w:tcPr>
          <w:p>
            <w:pPr>
              <w:pStyle w:val="TableContents"/>
              <w:spacing w:before="0" w:after="0"/>
              <w:ind w:left="0" w:right="0" w:hanging="0"/>
              <w:jc w:val="left"/>
              <w:rPr/>
            </w:pPr>
            <w:r>
              <w:rPr/>
              <w:t> </w:t>
            </w:r>
          </w:p>
        </w:tc>
        <w:tc>
          <w:tcPr>
            <w:tcW w:w="14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(15,854</w:t>
            </w:r>
          </w:p>
        </w:tc>
        <w:tc>
          <w:tcPr>
            <w:tcW w:w="5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3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Provision for income taxes</w:t>
            </w:r>
          </w:p>
        </w:tc>
        <w:tc>
          <w:tcPr>
            <w:tcW w:w="146" w:type="dxa"/>
            <w:tcBorders/>
            <w:shd w:fill="auto" w:val="clear"/>
            <w:vAlign w:val="center"/>
          </w:tcPr>
          <w:p>
            <w:pPr>
              <w:pStyle w:val="TableContents"/>
              <w:spacing w:before="0" w:after="0"/>
              <w:ind w:left="0" w:right="0" w:hanging="0"/>
              <w:jc w:val="left"/>
              <w:rPr/>
            </w:pPr>
            <w:r>
              <w:rPr/>
              <w:t> </w:t>
            </w:r>
          </w:p>
        </w:tc>
        <w:tc>
          <w:tcPr>
            <w:tcW w:w="3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16,016</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3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from discontinued operations, net of tax</w:t>
            </w:r>
          </w:p>
        </w:tc>
        <w:tc>
          <w:tcPr>
            <w:tcW w:w="146" w:type="dxa"/>
            <w:tcBorders/>
            <w:shd w:fill="auto" w:val="clear"/>
            <w:vAlign w:val="center"/>
          </w:tcPr>
          <w:p>
            <w:pPr>
              <w:pStyle w:val="TableContents"/>
              <w:spacing w:before="0" w:after="0"/>
              <w:ind w:left="0" w:right="0" w:hanging="0"/>
              <w:jc w:val="left"/>
              <w:rPr/>
            </w:pPr>
            <w:r>
              <w:rPr/>
              <w:t> </w:t>
            </w:r>
          </w:p>
        </w:tc>
        <w:tc>
          <w:tcPr>
            <w:tcW w:w="3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(31,870</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3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Less: net loss attributable to noncontrolling interest</w:t>
            </w:r>
          </w:p>
        </w:tc>
        <w:tc>
          <w:tcPr>
            <w:tcW w:w="146" w:type="dxa"/>
            <w:tcBorders/>
            <w:shd w:fill="auto" w:val="clear"/>
            <w:vAlign w:val="center"/>
          </w:tcPr>
          <w:p>
            <w:pPr>
              <w:pStyle w:val="TableContents"/>
              <w:spacing w:before="0" w:after="0"/>
              <w:ind w:left="0" w:right="0" w:hanging="0"/>
              <w:jc w:val="left"/>
              <w:rPr/>
            </w:pPr>
            <w:r>
              <w:rPr/>
              <w:t> </w:t>
            </w:r>
          </w:p>
        </w:tc>
        <w:tc>
          <w:tcPr>
            <w:tcW w:w="3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(968</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3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attributable to discontinued operations</w:t>
            </w:r>
          </w:p>
        </w:tc>
        <w:tc>
          <w:tcPr>
            <w:tcW w:w="146" w:type="dxa"/>
            <w:tcBorders/>
            <w:shd w:fill="auto" w:val="clear"/>
            <w:vAlign w:val="center"/>
          </w:tcPr>
          <w:p>
            <w:pPr>
              <w:pStyle w:val="TableContents"/>
              <w:spacing w:before="0" w:after="0"/>
              <w:ind w:left="0" w:right="0" w:hanging="0"/>
              <w:jc w:val="left"/>
              <w:rPr/>
            </w:pPr>
            <w:r>
              <w:rPr/>
              <w:t> </w:t>
            </w:r>
          </w:p>
        </w:tc>
        <w:tc>
          <w:tcPr>
            <w:tcW w:w="39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(30,902</w:t>
            </w:r>
          </w:p>
        </w:tc>
        <w:tc>
          <w:tcPr>
            <w:tcW w:w="5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240" w:after="0"/>
        <w:jc w:val="left"/>
        <w:rPr>
          <w:rFonts w:ascii="Times New Roman;serif" w:hAnsi="Times New Roman;serif"/>
          <w:b w:val="false"/>
          <w:i/>
          <w:sz w:val="20"/>
        </w:rPr>
      </w:pPr>
      <w:r>
        <w:rPr>
          <w:rFonts w:ascii="Times New Roman;serif" w:hAnsi="Times New Roman;serif"/>
          <w:b w:val="false"/>
          <w:i/>
          <w:sz w:val="20"/>
        </w:rPr>
        <w:t>Net Cash Flows of Discontinued Operations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following table presents selected financial information related to cash flows from discontinued operations (in thousands):</w:t>
      </w:r>
    </w:p>
    <w:p>
      <w:pPr>
        <w:pStyle w:val="TextBody"/>
        <w:spacing w:before="0" w:after="0"/>
        <w:jc w:val="left"/>
        <w:rPr/>
      </w:pPr>
      <w:r>
        <w:rPr/>
        <w:t> </w:t>
      </w:r>
    </w:p>
    <w:tbl>
      <w:tblPr>
        <w:tblW w:w="5083" w:type="dxa"/>
        <w:jc w:val="left"/>
        <w:tblInd w:w="0" w:type="dxa"/>
        <w:tblCellMar>
          <w:top w:w="28" w:type="dxa"/>
          <w:left w:w="28" w:type="dxa"/>
          <w:bottom w:w="28" w:type="dxa"/>
          <w:right w:w="28" w:type="dxa"/>
        </w:tblCellMar>
      </w:tblPr>
      <w:tblGrid>
        <w:gridCol w:w="2851"/>
        <w:gridCol w:w="146"/>
        <w:gridCol w:w="417"/>
        <w:gridCol w:w="1458"/>
        <w:gridCol w:w="211"/>
      </w:tblGrid>
      <w:tr>
        <w:trPr/>
        <w:tc>
          <w:tcPr>
            <w:tcW w:w="28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17" w:type="dxa"/>
            <w:tcBorders/>
            <w:shd w:fill="auto" w:val="clear"/>
            <w:vAlign w:val="center"/>
          </w:tcPr>
          <w:p>
            <w:pPr>
              <w:pStyle w:val="TableContents"/>
              <w:spacing w:before="0" w:after="283"/>
              <w:rPr>
                <w:sz w:val="4"/>
                <w:szCs w:val="4"/>
              </w:rPr>
            </w:pPr>
            <w:r>
              <w:rPr>
                <w:sz w:val="4"/>
                <w:szCs w:val="4"/>
              </w:rPr>
            </w:r>
          </w:p>
        </w:tc>
        <w:tc>
          <w:tcPr>
            <w:tcW w:w="145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28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7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Three Months Ended</w:t>
              <w:br/>
              <w:t>March 31, 2022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8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from operating activities</w:t>
            </w:r>
          </w:p>
        </w:tc>
        <w:tc>
          <w:tcPr>
            <w:tcW w:w="146" w:type="dxa"/>
            <w:tcBorders/>
            <w:shd w:fill="auto" w:val="clear"/>
            <w:vAlign w:val="center"/>
          </w:tcPr>
          <w:p>
            <w:pPr>
              <w:pStyle w:val="TableContents"/>
              <w:spacing w:before="0" w:after="0"/>
              <w:ind w:left="0" w:right="0" w:hanging="0"/>
              <w:jc w:val="left"/>
              <w:rPr/>
            </w:pPr>
            <w:r>
              <w:rPr/>
              <w:t> </w:t>
            </w:r>
          </w:p>
        </w:tc>
        <w:tc>
          <w:tcPr>
            <w:tcW w:w="41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5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(18,709</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8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from investing activities</w:t>
            </w:r>
          </w:p>
        </w:tc>
        <w:tc>
          <w:tcPr>
            <w:tcW w:w="146" w:type="dxa"/>
            <w:tcBorders/>
            <w:shd w:fill="auto" w:val="clear"/>
            <w:vAlign w:val="center"/>
          </w:tcPr>
          <w:p>
            <w:pPr>
              <w:pStyle w:val="TableContents"/>
              <w:spacing w:before="0" w:after="0"/>
              <w:ind w:left="0" w:right="0" w:hanging="0"/>
              <w:jc w:val="left"/>
              <w:rPr/>
            </w:pPr>
            <w:r>
              <w:rPr/>
              <w:t> </w:t>
            </w:r>
          </w:p>
        </w:tc>
        <w:tc>
          <w:tcPr>
            <w:tcW w:w="41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5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(4,452</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p>
      <w:pPr>
        <w:pStyle w:val="TextBody"/>
        <w:spacing w:before="240" w:after="0"/>
        <w:jc w:val="left"/>
        <w:rPr>
          <w:rFonts w:ascii="Times New Roman" w:hAnsi="Times New Roman"/>
          <w:sz w:val="20"/>
        </w:rPr>
      </w:pPr>
      <w:r>
        <w:rPr>
          <w:rFonts w:ascii="Times New Roman;serif" w:hAnsi="Times New Roman;serif"/>
          <w:b/>
          <w:sz w:val="20"/>
        </w:rPr>
        <w:t>NOTE 8 – GOODWILL AND IDENTIFIED INTANGIBLE ASSETS</w:t>
      </w:r>
      <w:r>
        <w:rPr>
          <w:rFonts w:ascii="Times New Roman" w:hAnsi="Times New Roman"/>
          <w:sz w:val="20"/>
        </w:rPr>
        <w:t xml:space="preserve"> </w:t>
      </w:r>
    </w:p>
    <w:p>
      <w:pPr>
        <w:pStyle w:val="TextBody"/>
        <w:spacing w:before="240" w:after="0"/>
        <w:jc w:val="left"/>
        <w:rPr>
          <w:rFonts w:ascii="Times New Roman;serif" w:hAnsi="Times New Roman;serif"/>
          <w:b w:val="false"/>
          <w:i/>
          <w:sz w:val="20"/>
        </w:rPr>
      </w:pPr>
      <w:r>
        <w:rPr>
          <w:rFonts w:ascii="Times New Roman;serif" w:hAnsi="Times New Roman;serif"/>
          <w:b w:val="false"/>
          <w:i/>
          <w:sz w:val="20"/>
        </w:rPr>
        <w:t>Goodwill</w:t>
      </w:r>
    </w:p>
    <w:p>
      <w:pPr>
        <w:pStyle w:val="TextBody"/>
        <w:spacing w:before="240" w:after="200"/>
        <w:jc w:val="left"/>
        <w:rPr>
          <w:rFonts w:ascii="Times New Roman" w:hAnsi="Times New Roman"/>
          <w:sz w:val="20"/>
        </w:rPr>
      </w:pPr>
      <w:r>
        <w:rPr>
          <w:rFonts w:ascii="Times New Roman;serif" w:hAnsi="Times New Roman;serif"/>
          <w:b w:val="false"/>
          <w:sz w:val="20"/>
        </w:rPr>
        <w:t>The carrying value of goodwill at March 31, 2023 and December 31, 2022 was $313.7</w:t>
      </w:r>
      <w:r>
        <w:rPr>
          <w:rFonts w:ascii="Times New Roman" w:hAnsi="Times New Roman"/>
          <w:sz w:val="20"/>
        </w:rPr>
        <w:t xml:space="preserve"> </w:t>
      </w:r>
      <w:r>
        <w:rPr>
          <w:rFonts w:ascii="Times New Roman;serif" w:hAnsi="Times New Roman;serif"/>
          <w:b w:val="false"/>
          <w:sz w:val="20"/>
        </w:rPr>
        <w:t>million. There were no</w:t>
      </w:r>
      <w:r>
        <w:rPr>
          <w:rFonts w:ascii="Times New Roman" w:hAnsi="Times New Roman"/>
          <w:sz w:val="20"/>
        </w:rPr>
        <w:t xml:space="preserve"> </w:t>
      </w:r>
      <w:r>
        <w:rPr>
          <w:rFonts w:ascii="Times New Roman;serif" w:hAnsi="Times New Roman;serif"/>
          <w:b w:val="false"/>
          <w:sz w:val="20"/>
        </w:rPr>
        <w:t>changes to the carrying value of goodwill from January 1, through March 31, 2023.</w:t>
      </w:r>
    </w:p>
    <w:p>
      <w:pPr>
        <w:pStyle w:val="TextBody"/>
        <w:spacing w:before="240" w:after="200"/>
        <w:jc w:val="left"/>
        <w:rPr>
          <w:rFonts w:ascii="Times New Roman" w:hAnsi="Times New Roman"/>
          <w:sz w:val="20"/>
        </w:rPr>
      </w:pPr>
      <w:r>
        <w:rPr>
          <w:rFonts w:ascii="Times New Roman;serif" w:hAnsi="Times New Roman;serif"/>
          <w:b w:val="false"/>
          <w:sz w:val="20"/>
        </w:rPr>
        <w:t>Goodwill at its reporting unit is evaluated for potential impairment annually, as of the beginning of the fourth quarter, and whenever events or changes in circumstances indicate the carrying amount of goodwill may not be recoverable. The process of evaluating goodwill for potential impairment is subjective and requires significant estimates, assumptions and judgments particularly related to the identification of reporting units, the assignment of assets and liabilities to reporting units and estimating the fair value of each reporting unit. No</w:t>
      </w:r>
      <w:r>
        <w:rPr>
          <w:rFonts w:ascii="Times New Roman" w:hAnsi="Times New Roman"/>
          <w:sz w:val="20"/>
        </w:rPr>
        <w:t xml:space="preserve"> </w:t>
      </w:r>
      <w:r>
        <w:rPr>
          <w:rFonts w:ascii="Times New Roman;serif" w:hAnsi="Times New Roman;serif"/>
          <w:b w:val="false"/>
          <w:sz w:val="20"/>
        </w:rPr>
        <w:t>impairment charges were recognized for the three months ended March 31, 2023 and 2022.</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19</w:t>
      </w:r>
    </w:p>
    <w:p>
      <w:pPr>
        <w:pStyle w:val="HorizontalLine"/>
        <w:rPr/>
      </w:pPr>
      <w:r>
        <w:rPr/>
      </w:r>
    </w:p>
    <w:p>
      <w:pPr>
        <w:pStyle w:val="TextBody"/>
        <w:spacing w:before="0" w:after="0"/>
        <w:jc w:val="left"/>
        <w:rPr/>
      </w:pPr>
      <w:r>
        <w:rPr/>
        <w:t> </w:t>
      </w:r>
    </w:p>
    <w:p>
      <w:pPr>
        <w:pStyle w:val="TextBody"/>
        <w:spacing w:before="240" w:after="200"/>
        <w:jc w:val="left"/>
        <w:rPr>
          <w:rFonts w:ascii="Times New Roman;serif" w:hAnsi="Times New Roman;serif"/>
          <w:b w:val="false"/>
          <w:i/>
          <w:sz w:val="20"/>
        </w:rPr>
      </w:pPr>
      <w:r>
        <w:rPr>
          <w:rFonts w:ascii="Times New Roman;serif" w:hAnsi="Times New Roman;serif"/>
          <w:b w:val="false"/>
          <w:i/>
          <w:sz w:val="20"/>
        </w:rPr>
        <w:t>Identified Intangible Assets</w:t>
      </w:r>
    </w:p>
    <w:p>
      <w:pPr>
        <w:pStyle w:val="TextBody"/>
        <w:spacing w:before="240" w:after="200"/>
        <w:jc w:val="left"/>
        <w:rPr>
          <w:rFonts w:ascii="Times New Roman;serif" w:hAnsi="Times New Roman;serif"/>
          <w:b w:val="false"/>
          <w:sz w:val="20"/>
        </w:rPr>
      </w:pPr>
      <w:r>
        <w:rPr>
          <w:rFonts w:ascii="Times New Roman;serif" w:hAnsi="Times New Roman;serif"/>
          <w:b w:val="false"/>
          <w:sz w:val="20"/>
        </w:rPr>
        <w:t>Identified intangible assets consisted of the following (in thousands):</w:t>
      </w:r>
    </w:p>
    <w:tbl>
      <w:tblPr>
        <w:tblW w:w="10740" w:type="dxa"/>
        <w:jc w:val="left"/>
        <w:tblInd w:w="0" w:type="dxa"/>
        <w:tblCellMar>
          <w:top w:w="28" w:type="dxa"/>
          <w:left w:w="28" w:type="dxa"/>
          <w:bottom w:w="28" w:type="dxa"/>
          <w:right w:w="28" w:type="dxa"/>
        </w:tblCellMar>
      </w:tblPr>
      <w:tblGrid>
        <w:gridCol w:w="1171"/>
        <w:gridCol w:w="146"/>
        <w:gridCol w:w="826"/>
        <w:gridCol w:w="146"/>
        <w:gridCol w:w="211"/>
        <w:gridCol w:w="781"/>
        <w:gridCol w:w="146"/>
        <w:gridCol w:w="146"/>
        <w:gridCol w:w="249"/>
        <w:gridCol w:w="997"/>
        <w:gridCol w:w="166"/>
        <w:gridCol w:w="146"/>
        <w:gridCol w:w="211"/>
        <w:gridCol w:w="781"/>
        <w:gridCol w:w="146"/>
        <w:gridCol w:w="146"/>
        <w:gridCol w:w="211"/>
        <w:gridCol w:w="781"/>
        <w:gridCol w:w="146"/>
        <w:gridCol w:w="146"/>
        <w:gridCol w:w="249"/>
        <w:gridCol w:w="997"/>
        <w:gridCol w:w="166"/>
        <w:gridCol w:w="146"/>
        <w:gridCol w:w="211"/>
        <w:gridCol w:w="781"/>
        <w:gridCol w:w="491"/>
      </w:tblGrid>
      <w:tr>
        <w:trPr/>
        <w:tc>
          <w:tcPr>
            <w:tcW w:w="11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997"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997"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r>
      <w:tr>
        <w:trPr/>
        <w:tc>
          <w:tcPr>
            <w:tcW w:w="117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26" w:type="dxa"/>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Average</w:t>
            </w:r>
          </w:p>
        </w:tc>
        <w:tc>
          <w:tcPr>
            <w:tcW w:w="146" w:type="dxa"/>
            <w:tcBorders/>
            <w:shd w:fill="auto" w:val="clear"/>
            <w:vAlign w:val="center"/>
          </w:tcPr>
          <w:p>
            <w:pPr>
              <w:pStyle w:val="TableContents"/>
              <w:spacing w:before="0" w:after="0"/>
              <w:ind w:left="0" w:right="0" w:hanging="0"/>
              <w:jc w:val="center"/>
              <w:rPr/>
            </w:pPr>
            <w:r>
              <w:rPr/>
              <w:t> </w:t>
            </w:r>
          </w:p>
        </w:tc>
        <w:tc>
          <w:tcPr>
            <w:tcW w:w="3834" w:type="dxa"/>
            <w:gridSpan w:val="1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March 31, 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834" w:type="dxa"/>
            <w:gridSpan w:val="1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December 31, 2022</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17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Life</w:t>
              <w:br/>
              <w:t>(Years)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Gross</w:t>
              <w:br/>
              <w:t>Assets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4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Accumulated</w:t>
              <w:br/>
              <w:t>Amortization</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Net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Gross</w:t>
              <w:br/>
              <w:t>Assets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4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Accumulated</w:t>
              <w:br/>
              <w:t>Amortization</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Net</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1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Finite-lived intangible assets</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6"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6"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491" w:type="dxa"/>
            <w:tcBorders/>
            <w:shd w:fill="auto" w:val="clear"/>
            <w:vAlign w:val="center"/>
          </w:tcPr>
          <w:p>
            <w:pPr>
              <w:pStyle w:val="TableContents"/>
              <w:spacing w:before="0" w:after="0"/>
              <w:ind w:left="0" w:right="0" w:firstLine="100"/>
              <w:jc w:val="right"/>
              <w:rPr/>
            </w:pPr>
            <w:r>
              <w:rPr/>
              <w:t> </w:t>
            </w:r>
          </w:p>
        </w:tc>
      </w:tr>
      <w:tr>
        <w:trPr/>
        <w:tc>
          <w:tcPr>
            <w:tcW w:w="117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Acquired patents / core technology</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3-10</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645,928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(283,505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362,423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645,928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(270,275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375,653</w:t>
            </w:r>
          </w:p>
        </w:tc>
        <w:tc>
          <w:tcPr>
            <w:tcW w:w="491" w:type="dxa"/>
            <w:tcBorders/>
            <w:shd w:fill="auto" w:val="clear"/>
            <w:vAlign w:val="center"/>
          </w:tcPr>
          <w:p>
            <w:pPr>
              <w:pStyle w:val="TableContents"/>
              <w:spacing w:before="0" w:after="0"/>
              <w:ind w:left="0" w:right="0" w:firstLine="100"/>
              <w:jc w:val="left"/>
              <w:rPr/>
            </w:pPr>
            <w:r>
              <w:rPr/>
              <w:t> </w:t>
            </w:r>
          </w:p>
        </w:tc>
      </w:tr>
      <w:tr>
        <w:trPr/>
        <w:tc>
          <w:tcPr>
            <w:tcW w:w="117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Existing technology / content database</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5-10</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38,681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9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(37,389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1,292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38,681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9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(36,614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2,067</w:t>
            </w:r>
          </w:p>
        </w:tc>
        <w:tc>
          <w:tcPr>
            <w:tcW w:w="491" w:type="dxa"/>
            <w:tcBorders/>
            <w:shd w:fill="auto" w:val="clear"/>
            <w:vAlign w:val="center"/>
          </w:tcPr>
          <w:p>
            <w:pPr>
              <w:pStyle w:val="TableContents"/>
              <w:spacing w:before="0" w:after="0"/>
              <w:ind w:left="0" w:right="0" w:firstLine="100"/>
              <w:jc w:val="left"/>
              <w:rPr/>
            </w:pPr>
            <w:r>
              <w:rPr/>
              <w:t> </w:t>
            </w:r>
          </w:p>
        </w:tc>
      </w:tr>
      <w:tr>
        <w:trPr/>
        <w:tc>
          <w:tcPr>
            <w:tcW w:w="117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Customer contracts and related relationships</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3-9</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155,900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9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(110,896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45,004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155,900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9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(101,252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54,648</w:t>
            </w:r>
          </w:p>
        </w:tc>
        <w:tc>
          <w:tcPr>
            <w:tcW w:w="491" w:type="dxa"/>
            <w:tcBorders/>
            <w:shd w:fill="auto" w:val="clear"/>
            <w:vAlign w:val="center"/>
          </w:tcPr>
          <w:p>
            <w:pPr>
              <w:pStyle w:val="TableContents"/>
              <w:spacing w:before="0" w:after="0"/>
              <w:ind w:left="0" w:right="0" w:firstLine="100"/>
              <w:jc w:val="left"/>
              <w:rPr/>
            </w:pPr>
            <w:r>
              <w:rPr/>
              <w:t> </w:t>
            </w:r>
          </w:p>
        </w:tc>
      </w:tr>
      <w:tr>
        <w:trPr/>
        <w:tc>
          <w:tcPr>
            <w:tcW w:w="117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Trademarks/trade name</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4-10</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1,300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(1,232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1,300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(1,192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108</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300"/>
              <w:jc w:val="left"/>
              <w:rPr/>
            </w:pPr>
            <w:r>
              <w:rPr/>
              <w:t> </w:t>
            </w:r>
          </w:p>
        </w:tc>
      </w:tr>
      <w:tr>
        <w:trPr/>
        <w:tc>
          <w:tcPr>
            <w:tcW w:w="1171" w:type="dxa"/>
            <w:tcBorders/>
            <w:shd w:fill="auto" w:val="clear"/>
            <w:vAlign w:val="center"/>
          </w:tcPr>
          <w:p>
            <w:pPr>
              <w:pStyle w:val="TableContents"/>
              <w:spacing w:before="0" w:after="0"/>
              <w:ind w:left="300" w:right="0" w:hanging="0"/>
              <w:jc w:val="left"/>
              <w:rPr>
                <w:rFonts w:ascii="Times New Roman;serif" w:hAnsi="Times New Roman;serif"/>
                <w:b w:val="false"/>
                <w:sz w:val="20"/>
              </w:rPr>
            </w:pPr>
            <w:r>
              <w:rPr>
                <w:rFonts w:ascii="Times New Roman;serif" w:hAnsi="Times New Roman;serif"/>
                <w:b w:val="false"/>
                <w:sz w:val="20"/>
              </w:rPr>
              <w:t>Total intangible assets</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841,809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(433,022</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408,787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841,809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(409,333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432,476</w:t>
            </w:r>
          </w:p>
        </w:tc>
        <w:tc>
          <w:tcPr>
            <w:tcW w:w="4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40" w:after="0"/>
        <w:jc w:val="left"/>
        <w:rPr>
          <w:rFonts w:ascii="Times New Roman;serif" w:hAnsi="Times New Roman;serif"/>
          <w:b w:val="false"/>
          <w:sz w:val="20"/>
        </w:rPr>
      </w:pPr>
      <w:r>
        <w:rPr>
          <w:rFonts w:ascii="Times New Roman;serif" w:hAnsi="Times New Roman;serif"/>
          <w:b w:val="false"/>
          <w:sz w:val="20"/>
        </w:rPr>
        <w:t>As of March 31, 2023, the estimated future amortization expense of total finite-lived intangible assets was as follows (in thousands):</w:t>
      </w:r>
    </w:p>
    <w:p>
      <w:pPr>
        <w:pStyle w:val="TextBody"/>
        <w:spacing w:before="0" w:after="0"/>
        <w:jc w:val="left"/>
        <w:rPr/>
      </w:pPr>
      <w:r>
        <w:rPr/>
        <w:t> </w:t>
      </w:r>
    </w:p>
    <w:tbl>
      <w:tblPr>
        <w:tblW w:w="3655" w:type="dxa"/>
        <w:jc w:val="left"/>
        <w:tblInd w:w="0" w:type="dxa"/>
        <w:tblCellMar>
          <w:top w:w="28" w:type="dxa"/>
          <w:left w:w="28" w:type="dxa"/>
          <w:bottom w:w="28" w:type="dxa"/>
          <w:right w:w="28" w:type="dxa"/>
        </w:tblCellMar>
      </w:tblPr>
      <w:tblGrid>
        <w:gridCol w:w="2326"/>
        <w:gridCol w:w="146"/>
        <w:gridCol w:w="211"/>
        <w:gridCol w:w="781"/>
        <w:gridCol w:w="191"/>
      </w:tblGrid>
      <w:tr>
        <w:trPr/>
        <w:tc>
          <w:tcPr>
            <w:tcW w:w="23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3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Amounts</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3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2023 (remaining 9 months)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69,851</w:t>
            </w:r>
          </w:p>
        </w:tc>
        <w:tc>
          <w:tcPr>
            <w:tcW w:w="191" w:type="dxa"/>
            <w:tcBorders/>
            <w:shd w:fill="auto" w:val="clear"/>
            <w:vAlign w:val="center"/>
          </w:tcPr>
          <w:p>
            <w:pPr>
              <w:pStyle w:val="TableContents"/>
              <w:spacing w:before="0" w:after="0"/>
              <w:ind w:left="0" w:right="0" w:hanging="0"/>
              <w:jc w:val="left"/>
              <w:rPr/>
            </w:pPr>
            <w:r>
              <w:rPr/>
              <w:t> </w:t>
            </w:r>
          </w:p>
        </w:tc>
      </w:tr>
      <w:tr>
        <w:trPr/>
        <w:tc>
          <w:tcPr>
            <w:tcW w:w="23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2024</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68,809</w:t>
            </w:r>
          </w:p>
        </w:tc>
        <w:tc>
          <w:tcPr>
            <w:tcW w:w="191" w:type="dxa"/>
            <w:tcBorders/>
            <w:shd w:fill="auto" w:val="clear"/>
            <w:vAlign w:val="center"/>
          </w:tcPr>
          <w:p>
            <w:pPr>
              <w:pStyle w:val="TableContents"/>
              <w:spacing w:before="0" w:after="0"/>
              <w:ind w:left="0" w:right="0" w:hanging="0"/>
              <w:jc w:val="left"/>
              <w:rPr/>
            </w:pPr>
            <w:r>
              <w:rPr/>
              <w:t> </w:t>
            </w:r>
          </w:p>
        </w:tc>
      </w:tr>
      <w:tr>
        <w:trPr/>
        <w:tc>
          <w:tcPr>
            <w:tcW w:w="23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2025</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52,731</w:t>
            </w:r>
          </w:p>
        </w:tc>
        <w:tc>
          <w:tcPr>
            <w:tcW w:w="191" w:type="dxa"/>
            <w:tcBorders/>
            <w:shd w:fill="auto" w:val="clear"/>
            <w:vAlign w:val="center"/>
          </w:tcPr>
          <w:p>
            <w:pPr>
              <w:pStyle w:val="TableContents"/>
              <w:spacing w:before="0" w:after="0"/>
              <w:ind w:left="0" w:right="0" w:hanging="0"/>
              <w:jc w:val="left"/>
              <w:rPr/>
            </w:pPr>
            <w:r>
              <w:rPr/>
              <w:t> </w:t>
            </w:r>
          </w:p>
        </w:tc>
      </w:tr>
      <w:tr>
        <w:trPr/>
        <w:tc>
          <w:tcPr>
            <w:tcW w:w="23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2026</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52,597</w:t>
            </w:r>
          </w:p>
        </w:tc>
        <w:tc>
          <w:tcPr>
            <w:tcW w:w="191" w:type="dxa"/>
            <w:tcBorders/>
            <w:shd w:fill="auto" w:val="clear"/>
            <w:vAlign w:val="center"/>
          </w:tcPr>
          <w:p>
            <w:pPr>
              <w:pStyle w:val="TableContents"/>
              <w:spacing w:before="0" w:after="0"/>
              <w:ind w:left="0" w:right="0" w:hanging="0"/>
              <w:jc w:val="left"/>
              <w:rPr/>
            </w:pPr>
            <w:r>
              <w:rPr/>
              <w:t> </w:t>
            </w:r>
          </w:p>
        </w:tc>
      </w:tr>
      <w:tr>
        <w:trPr/>
        <w:tc>
          <w:tcPr>
            <w:tcW w:w="23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2027</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52,246</w:t>
            </w:r>
          </w:p>
        </w:tc>
        <w:tc>
          <w:tcPr>
            <w:tcW w:w="191" w:type="dxa"/>
            <w:tcBorders/>
            <w:shd w:fill="auto" w:val="clear"/>
            <w:vAlign w:val="center"/>
          </w:tcPr>
          <w:p>
            <w:pPr>
              <w:pStyle w:val="TableContents"/>
              <w:spacing w:before="0" w:after="0"/>
              <w:ind w:left="0" w:right="0" w:hanging="0"/>
              <w:jc w:val="left"/>
              <w:rPr/>
            </w:pPr>
            <w:r>
              <w:rPr/>
              <w:t> </w:t>
            </w:r>
          </w:p>
        </w:tc>
      </w:tr>
      <w:tr>
        <w:trPr/>
        <w:tc>
          <w:tcPr>
            <w:tcW w:w="23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Thereafter</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112,553</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3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408,787</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40" w:after="0"/>
        <w:jc w:val="left"/>
        <w:rPr>
          <w:rFonts w:ascii="Times New Roman" w:hAnsi="Times New Roman"/>
          <w:sz w:val="20"/>
        </w:rPr>
      </w:pPr>
      <w:r>
        <w:rPr>
          <w:rFonts w:ascii="Times New Roman;serif" w:hAnsi="Times New Roman;serif"/>
          <w:b/>
          <w:sz w:val="20"/>
        </w:rPr>
        <w:t>NOTE 9 – DEBT</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The outstanding amounts of debt were as follows (in thousands):</w:t>
      </w:r>
      <w:r>
        <w:rPr>
          <w:rFonts w:ascii="Times New Roman" w:hAnsi="Times New Roman"/>
          <w:sz w:val="20"/>
        </w:rPr>
        <w:t xml:space="preserve"> </w:t>
      </w:r>
    </w:p>
    <w:p>
      <w:pPr>
        <w:pStyle w:val="TextBody"/>
        <w:spacing w:before="0" w:after="0"/>
        <w:jc w:val="left"/>
        <w:rPr/>
      </w:pPr>
      <w:r>
        <w:rPr/>
        <w:t> </w:t>
      </w:r>
    </w:p>
    <w:tbl>
      <w:tblPr>
        <w:tblW w:w="8545" w:type="dxa"/>
        <w:jc w:val="left"/>
        <w:tblInd w:w="0" w:type="dxa"/>
        <w:tblCellMar>
          <w:top w:w="28" w:type="dxa"/>
          <w:left w:w="28" w:type="dxa"/>
          <w:bottom w:w="28" w:type="dxa"/>
          <w:right w:w="28" w:type="dxa"/>
        </w:tblCellMar>
      </w:tblPr>
      <w:tblGrid>
        <w:gridCol w:w="5041"/>
        <w:gridCol w:w="146"/>
        <w:gridCol w:w="1441"/>
        <w:gridCol w:w="146"/>
        <w:gridCol w:w="1771"/>
      </w:tblGrid>
      <w:tr>
        <w:trPr/>
        <w:tc>
          <w:tcPr>
            <w:tcW w:w="50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771" w:type="dxa"/>
            <w:tcBorders/>
            <w:shd w:fill="auto" w:val="clear"/>
            <w:vAlign w:val="center"/>
          </w:tcPr>
          <w:p>
            <w:pPr>
              <w:pStyle w:val="TableContents"/>
              <w:spacing w:before="0" w:after="283"/>
              <w:rPr>
                <w:sz w:val="4"/>
                <w:szCs w:val="4"/>
              </w:rPr>
            </w:pPr>
            <w:r>
              <w:rPr>
                <w:sz w:val="4"/>
                <w:szCs w:val="4"/>
              </w:rPr>
            </w:r>
          </w:p>
        </w:tc>
      </w:tr>
      <w:tr>
        <w:trPr/>
        <w:tc>
          <w:tcPr>
            <w:tcW w:w="504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March 31, 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December 31, 2022</w:t>
            </w:r>
          </w:p>
        </w:tc>
      </w:tr>
      <w:tr>
        <w:trPr/>
        <w:tc>
          <w:tcPr>
            <w:tcW w:w="50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Refinanced Term B Loans</w:t>
            </w:r>
          </w:p>
        </w:tc>
        <w:tc>
          <w:tcPr>
            <w:tcW w:w="146" w:type="dxa"/>
            <w:tcBorders/>
            <w:shd w:fill="auto" w:val="clear"/>
            <w:vAlign w:val="center"/>
          </w:tcPr>
          <w:p>
            <w:pPr>
              <w:pStyle w:val="TableContents"/>
              <w:spacing w:before="0" w:after="0"/>
              <w:ind w:left="0" w:right="0" w:hanging="0"/>
              <w:jc w:val="left"/>
              <w:rPr/>
            </w:pPr>
            <w:r>
              <w:rPr/>
              <w:t> </w:t>
            </w:r>
          </w:p>
        </w:tc>
        <w:tc>
          <w:tcPr>
            <w:tcW w:w="14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$665,625</w:t>
            </w:r>
          </w:p>
        </w:tc>
        <w:tc>
          <w:tcPr>
            <w:tcW w:w="146" w:type="dxa"/>
            <w:tcBorders/>
            <w:shd w:fill="auto" w:val="clear"/>
            <w:vAlign w:val="center"/>
          </w:tcPr>
          <w:p>
            <w:pPr>
              <w:pStyle w:val="TableContents"/>
              <w:spacing w:before="0" w:after="0"/>
              <w:ind w:left="0" w:right="0" w:hanging="0"/>
              <w:jc w:val="left"/>
              <w:rPr/>
            </w:pPr>
            <w:r>
              <w:rPr/>
              <w:t> </w:t>
            </w:r>
          </w:p>
        </w:tc>
        <w:tc>
          <w:tcPr>
            <w:tcW w:w="17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$749,250</w:t>
            </w:r>
          </w:p>
        </w:tc>
      </w:tr>
      <w:tr>
        <w:trPr/>
        <w:tc>
          <w:tcPr>
            <w:tcW w:w="50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Unamortized debt discount and issuance costs</w:t>
            </w:r>
          </w:p>
        </w:tc>
        <w:tc>
          <w:tcPr>
            <w:tcW w:w="146" w:type="dxa"/>
            <w:tcBorders/>
            <w:shd w:fill="auto" w:val="clear"/>
            <w:vAlign w:val="center"/>
          </w:tcPr>
          <w:p>
            <w:pPr>
              <w:pStyle w:val="TableContents"/>
              <w:spacing w:before="0" w:after="0"/>
              <w:ind w:left="0" w:right="0" w:hanging="0"/>
              <w:jc w:val="left"/>
              <w:rPr/>
            </w:pPr>
            <w:r>
              <w:rPr/>
              <w:t> </w:t>
            </w:r>
          </w:p>
        </w:tc>
        <w:tc>
          <w:tcPr>
            <w:tcW w:w="14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(18,687)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(19,857)</w:t>
            </w:r>
          </w:p>
        </w:tc>
      </w:tr>
      <w:tr>
        <w:trPr/>
        <w:tc>
          <w:tcPr>
            <w:tcW w:w="50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646,938</w:t>
            </w:r>
          </w:p>
        </w:tc>
        <w:tc>
          <w:tcPr>
            <w:tcW w:w="146" w:type="dxa"/>
            <w:tcBorders/>
            <w:shd w:fill="auto" w:val="clear"/>
            <w:vAlign w:val="center"/>
          </w:tcPr>
          <w:p>
            <w:pPr>
              <w:pStyle w:val="TableContents"/>
              <w:spacing w:before="0" w:after="0"/>
              <w:ind w:left="0" w:right="0" w:hanging="0"/>
              <w:jc w:val="left"/>
              <w:rPr/>
            </w:pPr>
            <w:r>
              <w:rPr/>
              <w:t> </w:t>
            </w:r>
          </w:p>
        </w:tc>
        <w:tc>
          <w:tcPr>
            <w:tcW w:w="17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729,393</w:t>
            </w:r>
          </w:p>
        </w:tc>
      </w:tr>
      <w:tr>
        <w:trPr/>
        <w:tc>
          <w:tcPr>
            <w:tcW w:w="50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Less: current portion, net of debt discount and issuance costs</w:t>
            </w:r>
          </w:p>
        </w:tc>
        <w:tc>
          <w:tcPr>
            <w:tcW w:w="146" w:type="dxa"/>
            <w:tcBorders/>
            <w:shd w:fill="auto" w:val="clear"/>
            <w:vAlign w:val="center"/>
          </w:tcPr>
          <w:p>
            <w:pPr>
              <w:pStyle w:val="TableContents"/>
              <w:spacing w:before="0" w:after="0"/>
              <w:ind w:left="0" w:right="0" w:hanging="0"/>
              <w:jc w:val="left"/>
              <w:rPr/>
            </w:pPr>
            <w:r>
              <w:rPr/>
              <w:t> </w:t>
            </w:r>
          </w:p>
        </w:tc>
        <w:tc>
          <w:tcPr>
            <w:tcW w:w="14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(36,344)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(109,813)</w:t>
            </w:r>
          </w:p>
        </w:tc>
      </w:tr>
      <w:tr>
        <w:trPr/>
        <w:tc>
          <w:tcPr>
            <w:tcW w:w="50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long-term debt, net of current portion</w:t>
            </w:r>
          </w:p>
        </w:tc>
        <w:tc>
          <w:tcPr>
            <w:tcW w:w="146" w:type="dxa"/>
            <w:tcBorders/>
            <w:shd w:fill="auto" w:val="clear"/>
            <w:vAlign w:val="center"/>
          </w:tcPr>
          <w:p>
            <w:pPr>
              <w:pStyle w:val="TableContents"/>
              <w:spacing w:before="0" w:after="0"/>
              <w:ind w:left="0" w:right="0" w:hanging="0"/>
              <w:jc w:val="left"/>
              <w:rPr/>
            </w:pPr>
            <w:r>
              <w:rPr/>
              <w:t> </w:t>
            </w:r>
          </w:p>
        </w:tc>
        <w:tc>
          <w:tcPr>
            <w:tcW w:w="14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$610,594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$619,580</w:t>
            </w:r>
          </w:p>
        </w:tc>
      </w:tr>
    </w:tbl>
    <w:p>
      <w:pPr>
        <w:pStyle w:val="TextBody"/>
        <w:spacing w:before="240" w:after="0"/>
        <w:jc w:val="left"/>
        <w:rPr>
          <w:rFonts w:ascii="Times New Roman;serif" w:hAnsi="Times New Roman;serif"/>
          <w:b w:val="false"/>
          <w:i/>
          <w:sz w:val="20"/>
        </w:rPr>
      </w:pPr>
      <w:r>
        <w:rPr>
          <w:rFonts w:ascii="Times New Roman;serif" w:hAnsi="Times New Roman;serif"/>
          <w:b w:val="false"/>
          <w:i/>
          <w:sz w:val="20"/>
        </w:rPr>
        <w:t>Refinanced Term B Loans</w:t>
      </w:r>
    </w:p>
    <w:p>
      <w:pPr>
        <w:pStyle w:val="TextBody"/>
        <w:spacing w:before="240" w:after="0"/>
        <w:jc w:val="left"/>
        <w:rPr>
          <w:rFonts w:ascii="Times New Roman" w:hAnsi="Times New Roman"/>
          <w:sz w:val="20"/>
        </w:rPr>
      </w:pPr>
      <w:r>
        <w:rPr>
          <w:rFonts w:ascii="Times New Roman;serif" w:hAnsi="Times New Roman;serif"/>
          <w:b w:val="false"/>
          <w:sz w:val="20"/>
        </w:rPr>
        <w:t>On June 8, 2021, the Company amended that certain Credit Agreement dated June 1, 2020 by and among the Company, the lenders party thereto and Bank of America, N.A., as administrative agent and collateral agent (the “2020 Credit Agreement”). The 2020 Credit Agreement initially provided for a</w:t>
      </w:r>
      <w:r>
        <w:rPr>
          <w:rFonts w:ascii="Times New Roman" w:hAnsi="Times New Roman"/>
          <w:sz w:val="20"/>
        </w:rPr>
        <w:t xml:space="preserve"> </w:t>
      </w:r>
      <w:r>
        <w:rPr>
          <w:rFonts w:ascii="Times New Roman;serif" w:hAnsi="Times New Roman;serif"/>
          <w:b w:val="false"/>
          <w:sz w:val="20"/>
        </w:rPr>
        <w:t>five-year</w:t>
      </w:r>
      <w:r>
        <w:rPr>
          <w:rFonts w:ascii="Times New Roman" w:hAnsi="Times New Roman"/>
          <w:sz w:val="20"/>
        </w:rPr>
        <w:t xml:space="preserve"> </w:t>
      </w:r>
      <w:r>
        <w:rPr>
          <w:rFonts w:ascii="Times New Roman;serif" w:hAnsi="Times New Roman;serif"/>
          <w:b w:val="false"/>
          <w:sz w:val="20"/>
        </w:rPr>
        <w:t>senior secured term B loan facility in an aggregate principal amount of $1,050</w:t>
      </w:r>
      <w:r>
        <w:rPr>
          <w:rFonts w:ascii="Times New Roman" w:hAnsi="Times New Roman"/>
          <w:sz w:val="20"/>
        </w:rPr>
        <w:t xml:space="preserve"> </w:t>
      </w:r>
      <w:r>
        <w:rPr>
          <w:rFonts w:ascii="Times New Roman;serif" w:hAnsi="Times New Roman;serif"/>
          <w:b w:val="false"/>
          <w:sz w:val="20"/>
        </w:rPr>
        <w:t>million (the “2020 Term B Loan Facility”).</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In connection with the amendment (the “Amendment”), the Company made a voluntary prepayment of $50.6</w:t>
      </w:r>
      <w:r>
        <w:rPr>
          <w:rFonts w:ascii="Times New Roman" w:hAnsi="Times New Roman"/>
          <w:sz w:val="20"/>
        </w:rPr>
        <w:t xml:space="preserve"> </w:t>
      </w:r>
      <w:r>
        <w:rPr>
          <w:rFonts w:ascii="Times New Roman;serif" w:hAnsi="Times New Roman;serif"/>
          <w:b w:val="false"/>
          <w:sz w:val="20"/>
        </w:rPr>
        <w:t>million of the term loan outstanding under the 2020 Credit Agreement using cash on hand. The Amendment provided for, among other things, (i) a new tranche of term loans (the “Refinanced Term B Loans”) in an aggregate principal amount of $810.0</w:t>
      </w:r>
      <w:r>
        <w:rPr>
          <w:rFonts w:ascii="Times New Roman" w:hAnsi="Times New Roman"/>
          <w:sz w:val="20"/>
        </w:rPr>
        <w:t xml:space="preserve"> </w:t>
      </w:r>
      <w:r>
        <w:rPr>
          <w:rFonts w:ascii="Times New Roman;serif" w:hAnsi="Times New Roman;serif"/>
          <w:b w:val="false"/>
          <w:sz w:val="20"/>
        </w:rPr>
        <w:t>million, (ii) a reduction of the interest rate margin applicable to such loans to (x) in the case of base rate loans, 2.50% per annum and (y) in the case of Eurodollar loans, LIBOR plus a margin of 3.50% per annum, (iii) a prepayment premium of 1.00% in connection with any repricing transaction with respect to the Refinanced Term B Loans within six months of the closing date of the Amendment, (iv) an extension of the maturity to June 8, 2028, and (v) certain additional amendments, including amendments to provide the Company with additional flexibility under the covenant governing restricted payments. The Company commenced repaying quarterly installments under the Refinanced Term B Loans in the third quarter of 2021.</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20</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obligations under the 2020 Credit Agreement, inclusive of any changes by the Amendment, continue to be guaranteed by the Company’s wholly-owned material domestic subsidiaries (collectively, the “Guarantors”) and continue to be secured by a lien on substantially all of the assets of the Company and the Guarantors.</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The 2020 Credit Agreement, as amended, contains customary events of default, upon the occurrence of which, after any applicable cure period, the lenders will have the ability to accelerate all outstanding loans thereunder. The 2020 Credit Agreement, as amended, also contains customary representations and warranties and affirmative and negative covenants that, among other things and subject to certain exceptions, restrict the ability of the Company and its subsidiaries to create or incur certain liens, incur or guarantee additional indebtedness, merge or consolidate with other companies, transfer or sell assets and make restricted payments. The Separation did not require the Company to obtain any waivers under the 2020 Credit Agreement, and the Company completed the Separation in compliance with all of the covenants contained in the 2020 Credit Agreement. The 2020 Credit Agreement, as amended, requires the Company to maintain a total net leverage ratio of no greater than 3.00x in order access an annual basket from which to make restricted payments (such as dividend payments and share repurchases). The Company was in compliance with all requirements as of March 31, 2023. The 2020 Credit Agreement, as amended, also requires the Company to make additional cash payments on an annual basis beginning in April 2023 based on certain leverage ratios and excess cash flow generated for the immediately preceding fiscal year. The additional cash payments are applied to the remaining principal balance due at final maturity. Accordingly, the Company made additional cash payments of $73.5</w:t>
      </w:r>
      <w:r>
        <w:rPr>
          <w:rFonts w:ascii="Times New Roman" w:hAnsi="Times New Roman"/>
          <w:sz w:val="20"/>
        </w:rPr>
        <w:t xml:space="preserve"> </w:t>
      </w:r>
      <w:r>
        <w:rPr>
          <w:rFonts w:ascii="Times New Roman;serif" w:hAnsi="Times New Roman;serif"/>
          <w:b w:val="false"/>
          <w:sz w:val="20"/>
        </w:rPr>
        <w:t>million during the three months ended March 31, 2023 under the excess cash flow provisions. The payments were made earlier than required under the 2020 Credit Agreement.</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After the Separation, the Company remains the obligor under the Refinanced B Term Loans.</w:t>
      </w:r>
      <w:r>
        <w:rPr>
          <w:rFonts w:ascii="Times New Roman" w:hAnsi="Times New Roman"/>
          <w:sz w:val="20"/>
        </w:rPr>
        <w:t xml:space="preserve"> </w:t>
      </w:r>
    </w:p>
    <w:p>
      <w:pPr>
        <w:pStyle w:val="TextBody"/>
        <w:spacing w:before="240" w:after="0"/>
        <w:jc w:val="left"/>
        <w:rPr>
          <w:rFonts w:ascii="Times New Roman;serif" w:hAnsi="Times New Roman;serif"/>
          <w:b w:val="false"/>
          <w:i/>
          <w:sz w:val="20"/>
        </w:rPr>
      </w:pPr>
      <w:r>
        <w:rPr>
          <w:rFonts w:ascii="Times New Roman;serif" w:hAnsi="Times New Roman;serif"/>
          <w:b w:val="false"/>
          <w:i/>
          <w:sz w:val="20"/>
        </w:rPr>
        <w:t>Interest Expense and Expected Principal Payments</w:t>
      </w:r>
    </w:p>
    <w:p>
      <w:pPr>
        <w:pStyle w:val="TextBody"/>
        <w:spacing w:before="240" w:after="0"/>
        <w:jc w:val="left"/>
        <w:rPr>
          <w:rFonts w:ascii="Times New Roman" w:hAnsi="Times New Roman"/>
          <w:sz w:val="20"/>
        </w:rPr>
      </w:pPr>
      <w:r>
        <w:rPr>
          <w:rFonts w:ascii="Times New Roman;serif" w:hAnsi="Times New Roman;serif"/>
          <w:b w:val="false"/>
          <w:sz w:val="20"/>
        </w:rPr>
        <w:t>At March 31, 2023, $665.6</w:t>
      </w:r>
      <w:r>
        <w:rPr>
          <w:rFonts w:ascii="Times New Roman" w:hAnsi="Times New Roman"/>
          <w:sz w:val="20"/>
        </w:rPr>
        <w:t xml:space="preserve"> </w:t>
      </w:r>
      <w:r>
        <w:rPr>
          <w:rFonts w:ascii="Times New Roman;serif" w:hAnsi="Times New Roman;serif"/>
          <w:b w:val="false"/>
          <w:sz w:val="20"/>
        </w:rPr>
        <w:t>million in total debt was outstanding. There were also $18.7</w:t>
      </w:r>
      <w:r>
        <w:rPr>
          <w:rFonts w:ascii="Times New Roman" w:hAnsi="Times New Roman"/>
          <w:sz w:val="20"/>
        </w:rPr>
        <w:t xml:space="preserve"> </w:t>
      </w:r>
      <w:r>
        <w:rPr>
          <w:rFonts w:ascii="Times New Roman;serif" w:hAnsi="Times New Roman;serif"/>
          <w:b w:val="false"/>
          <w:sz w:val="20"/>
        </w:rPr>
        <w:t>million of unamortized debt discount and issuance costs recorded as a reduction from the carrying amount of the debt. The interest rate on the Refinanced Term B Loans as of March 31, 2023, including the amortization of debt discount and issuance costs, was 9.43% and interest is payable monthly. Interest expense was $15.9</w:t>
      </w:r>
      <w:r>
        <w:rPr>
          <w:rFonts w:ascii="Times New Roman" w:hAnsi="Times New Roman"/>
          <w:sz w:val="20"/>
        </w:rPr>
        <w:t xml:space="preserve"> </w:t>
      </w:r>
      <w:r>
        <w:rPr>
          <w:rFonts w:ascii="Times New Roman;serif" w:hAnsi="Times New Roman;serif"/>
          <w:b w:val="false"/>
          <w:sz w:val="20"/>
        </w:rPr>
        <w:t>million and $8.4</w:t>
      </w:r>
      <w:r>
        <w:rPr>
          <w:rFonts w:ascii="Times New Roman" w:hAnsi="Times New Roman"/>
          <w:sz w:val="20"/>
        </w:rPr>
        <w:t xml:space="preserve"> </w:t>
      </w:r>
      <w:r>
        <w:rPr>
          <w:rFonts w:ascii="Times New Roman;serif" w:hAnsi="Times New Roman;serif"/>
          <w:b w:val="false"/>
          <w:sz w:val="20"/>
        </w:rPr>
        <w:t>million for the three months ended March 31, 2023 and 2022, respectively. Amortized debt discount and issuance costs, which were included in interest expense, amounted to $1.2</w:t>
      </w:r>
      <w:r>
        <w:rPr>
          <w:rFonts w:ascii="Times New Roman" w:hAnsi="Times New Roman"/>
          <w:sz w:val="20"/>
        </w:rPr>
        <w:t xml:space="preserve"> </w:t>
      </w:r>
      <w:r>
        <w:rPr>
          <w:rFonts w:ascii="Times New Roman;serif" w:hAnsi="Times New Roman;serif"/>
          <w:b w:val="false"/>
          <w:sz w:val="20"/>
        </w:rPr>
        <w:t>million and $1.1</w:t>
      </w:r>
      <w:r>
        <w:rPr>
          <w:rFonts w:ascii="Times New Roman" w:hAnsi="Times New Roman"/>
          <w:sz w:val="20"/>
        </w:rPr>
        <w:t xml:space="preserve"> </w:t>
      </w:r>
      <w:r>
        <w:rPr>
          <w:rFonts w:ascii="Times New Roman;serif" w:hAnsi="Times New Roman;serif"/>
          <w:b w:val="false"/>
          <w:sz w:val="20"/>
        </w:rPr>
        <w:t>million for the three months ended March 31, 2023 and 2022, respectively.</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As of March 31, 2023, future minimum principal payments for long-term debt, excluding any additional principal payment required by the excess cash flow provision, are summarized as follows (in thousands):</w:t>
      </w:r>
    </w:p>
    <w:p>
      <w:pPr>
        <w:pStyle w:val="TextBody"/>
        <w:spacing w:before="0" w:after="0"/>
        <w:jc w:val="left"/>
        <w:rPr/>
      </w:pPr>
      <w:r>
        <w:rPr/>
        <w:t> </w:t>
      </w:r>
    </w:p>
    <w:tbl>
      <w:tblPr>
        <w:tblW w:w="3655" w:type="dxa"/>
        <w:jc w:val="left"/>
        <w:tblInd w:w="0" w:type="dxa"/>
        <w:tblCellMar>
          <w:top w:w="28" w:type="dxa"/>
          <w:left w:w="28" w:type="dxa"/>
          <w:bottom w:w="28" w:type="dxa"/>
          <w:right w:w="28" w:type="dxa"/>
        </w:tblCellMar>
      </w:tblPr>
      <w:tblGrid>
        <w:gridCol w:w="2326"/>
        <w:gridCol w:w="146"/>
        <w:gridCol w:w="211"/>
        <w:gridCol w:w="781"/>
        <w:gridCol w:w="191"/>
      </w:tblGrid>
      <w:tr>
        <w:trPr/>
        <w:tc>
          <w:tcPr>
            <w:tcW w:w="23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3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Amounts</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3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2023 (remaining 9 months)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30,375</w:t>
            </w:r>
          </w:p>
        </w:tc>
        <w:tc>
          <w:tcPr>
            <w:tcW w:w="191" w:type="dxa"/>
            <w:tcBorders/>
            <w:shd w:fill="auto" w:val="clear"/>
            <w:vAlign w:val="center"/>
          </w:tcPr>
          <w:p>
            <w:pPr>
              <w:pStyle w:val="TableContents"/>
              <w:spacing w:before="0" w:after="0"/>
              <w:ind w:left="0" w:right="0" w:hanging="0"/>
              <w:jc w:val="left"/>
              <w:rPr/>
            </w:pPr>
            <w:r>
              <w:rPr/>
              <w:t> </w:t>
            </w:r>
          </w:p>
        </w:tc>
      </w:tr>
      <w:tr>
        <w:trPr/>
        <w:tc>
          <w:tcPr>
            <w:tcW w:w="23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2024</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40,500</w:t>
            </w:r>
          </w:p>
        </w:tc>
        <w:tc>
          <w:tcPr>
            <w:tcW w:w="191" w:type="dxa"/>
            <w:tcBorders/>
            <w:shd w:fill="auto" w:val="clear"/>
            <w:vAlign w:val="center"/>
          </w:tcPr>
          <w:p>
            <w:pPr>
              <w:pStyle w:val="TableContents"/>
              <w:spacing w:before="0" w:after="0"/>
              <w:ind w:left="0" w:right="0" w:hanging="0"/>
              <w:jc w:val="left"/>
              <w:rPr/>
            </w:pPr>
            <w:r>
              <w:rPr/>
              <w:t> </w:t>
            </w:r>
          </w:p>
        </w:tc>
      </w:tr>
      <w:tr>
        <w:trPr/>
        <w:tc>
          <w:tcPr>
            <w:tcW w:w="23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2025</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40,500</w:t>
            </w:r>
          </w:p>
        </w:tc>
        <w:tc>
          <w:tcPr>
            <w:tcW w:w="191" w:type="dxa"/>
            <w:tcBorders/>
            <w:shd w:fill="auto" w:val="clear"/>
            <w:vAlign w:val="center"/>
          </w:tcPr>
          <w:p>
            <w:pPr>
              <w:pStyle w:val="TableContents"/>
              <w:spacing w:before="0" w:after="0"/>
              <w:ind w:left="0" w:right="0" w:hanging="0"/>
              <w:jc w:val="left"/>
              <w:rPr/>
            </w:pPr>
            <w:r>
              <w:rPr/>
              <w:t> </w:t>
            </w:r>
          </w:p>
        </w:tc>
      </w:tr>
      <w:tr>
        <w:trPr/>
        <w:tc>
          <w:tcPr>
            <w:tcW w:w="23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2026</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40,500</w:t>
            </w:r>
          </w:p>
        </w:tc>
        <w:tc>
          <w:tcPr>
            <w:tcW w:w="191" w:type="dxa"/>
            <w:tcBorders/>
            <w:shd w:fill="auto" w:val="clear"/>
            <w:vAlign w:val="center"/>
          </w:tcPr>
          <w:p>
            <w:pPr>
              <w:pStyle w:val="TableContents"/>
              <w:spacing w:before="0" w:after="0"/>
              <w:ind w:left="0" w:right="0" w:hanging="0"/>
              <w:jc w:val="left"/>
              <w:rPr/>
            </w:pPr>
            <w:r>
              <w:rPr/>
              <w:t> </w:t>
            </w:r>
          </w:p>
        </w:tc>
      </w:tr>
      <w:tr>
        <w:trPr/>
        <w:tc>
          <w:tcPr>
            <w:tcW w:w="23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2027</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40,500</w:t>
            </w:r>
          </w:p>
        </w:tc>
        <w:tc>
          <w:tcPr>
            <w:tcW w:w="191" w:type="dxa"/>
            <w:tcBorders/>
            <w:shd w:fill="auto" w:val="clear"/>
            <w:vAlign w:val="center"/>
          </w:tcPr>
          <w:p>
            <w:pPr>
              <w:pStyle w:val="TableContents"/>
              <w:spacing w:before="0" w:after="0"/>
              <w:ind w:left="0" w:right="0" w:hanging="0"/>
              <w:jc w:val="left"/>
              <w:rPr/>
            </w:pPr>
            <w:r>
              <w:rPr/>
              <w:t> </w:t>
            </w:r>
          </w:p>
        </w:tc>
      </w:tr>
      <w:tr>
        <w:trPr/>
        <w:tc>
          <w:tcPr>
            <w:tcW w:w="23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Thereafter</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473,250</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3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665,625</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21</w:t>
      </w:r>
    </w:p>
    <w:p>
      <w:pPr>
        <w:pStyle w:val="HorizontalLine"/>
        <w:rPr/>
      </w:pPr>
      <w:r>
        <w:rPr/>
      </w:r>
    </w:p>
    <w:p>
      <w:pPr>
        <w:pStyle w:val="TextBody"/>
        <w:spacing w:before="0" w:after="0"/>
        <w:jc w:val="left"/>
        <w:rPr/>
      </w:pPr>
      <w:r>
        <w:rPr/>
        <w:t> </w:t>
      </w:r>
    </w:p>
    <w:p>
      <w:pPr>
        <w:pStyle w:val="TextBody"/>
        <w:spacing w:before="40" w:after="0"/>
        <w:jc w:val="left"/>
        <w:rPr>
          <w:rFonts w:ascii="Times New Roman" w:hAnsi="Times New Roman"/>
          <w:sz w:val="20"/>
        </w:rPr>
      </w:pPr>
      <w:r>
        <w:rPr>
          <w:rFonts w:ascii="Times New Roman;serif" w:hAnsi="Times New Roman;serif"/>
          <w:b/>
          <w:sz w:val="20"/>
        </w:rPr>
        <w:t>NOTE 10 – NET INCOME PER SHARE</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following table sets forth the computation of basic and diluted shares (in thousands):</w:t>
      </w:r>
    </w:p>
    <w:p>
      <w:pPr>
        <w:pStyle w:val="TextBody"/>
        <w:spacing w:before="0" w:after="0"/>
        <w:jc w:val="left"/>
        <w:rPr/>
      </w:pPr>
      <w:r>
        <w:rPr/>
        <w:t> </w:t>
      </w:r>
    </w:p>
    <w:tbl>
      <w:tblPr>
        <w:tblW w:w="9634" w:type="dxa"/>
        <w:jc w:val="left"/>
        <w:tblInd w:w="0" w:type="dxa"/>
        <w:tblCellMar>
          <w:top w:w="28" w:type="dxa"/>
          <w:left w:w="28" w:type="dxa"/>
          <w:bottom w:w="28" w:type="dxa"/>
          <w:right w:w="28" w:type="dxa"/>
        </w:tblCellMar>
      </w:tblPr>
      <w:tblGrid>
        <w:gridCol w:w="6721"/>
        <w:gridCol w:w="146"/>
        <w:gridCol w:w="211"/>
        <w:gridCol w:w="781"/>
        <w:gridCol w:w="146"/>
        <w:gridCol w:w="146"/>
        <w:gridCol w:w="211"/>
        <w:gridCol w:w="781"/>
        <w:gridCol w:w="491"/>
      </w:tblGrid>
      <w:tr>
        <w:trPr/>
        <w:tc>
          <w:tcPr>
            <w:tcW w:w="67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r>
      <w:tr>
        <w:trPr/>
        <w:tc>
          <w:tcPr>
            <w:tcW w:w="672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27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 xml:space="preserve">Three Months Ended </w:t>
              <w:br/>
              <w:t>March 31,</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72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7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Numerator:</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491" w:type="dxa"/>
            <w:tcBorders/>
            <w:shd w:fill="auto" w:val="clear"/>
            <w:vAlign w:val="center"/>
          </w:tcPr>
          <w:p>
            <w:pPr>
              <w:pStyle w:val="TableContents"/>
              <w:spacing w:before="0" w:after="0"/>
              <w:ind w:left="0" w:right="0" w:firstLine="100"/>
              <w:jc w:val="right"/>
              <w:rPr/>
            </w:pPr>
            <w:r>
              <w:rPr/>
              <w:t> </w:t>
            </w:r>
          </w:p>
        </w:tc>
      </w:tr>
      <w:tr>
        <w:trPr/>
        <w:tc>
          <w:tcPr>
            <w:tcW w:w="672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Net income from continuing operations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29,021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55,845</w:t>
            </w:r>
          </w:p>
        </w:tc>
        <w:tc>
          <w:tcPr>
            <w:tcW w:w="491" w:type="dxa"/>
            <w:tcBorders/>
            <w:shd w:fill="auto" w:val="clear"/>
            <w:vAlign w:val="center"/>
          </w:tcPr>
          <w:p>
            <w:pPr>
              <w:pStyle w:val="TableContents"/>
              <w:spacing w:before="0" w:after="0"/>
              <w:ind w:left="0" w:right="0" w:firstLine="100"/>
              <w:jc w:val="left"/>
              <w:rPr/>
            </w:pPr>
            <w:r>
              <w:rPr/>
              <w:t> </w:t>
            </w:r>
          </w:p>
        </w:tc>
      </w:tr>
      <w:tr>
        <w:trPr/>
        <w:tc>
          <w:tcPr>
            <w:tcW w:w="672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Net loss attributable to discontinued operations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(30,902</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672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Net income attributable to the Company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29,021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24,943</w:t>
            </w:r>
          </w:p>
        </w:tc>
        <w:tc>
          <w:tcPr>
            <w:tcW w:w="4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72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491" w:type="dxa"/>
            <w:tcBorders/>
            <w:shd w:fill="auto" w:val="clear"/>
            <w:vAlign w:val="center"/>
          </w:tcPr>
          <w:p>
            <w:pPr>
              <w:pStyle w:val="TableContents"/>
              <w:spacing w:before="0" w:after="0"/>
              <w:ind w:left="0" w:right="0" w:hanging="0"/>
              <w:jc w:val="right"/>
              <w:rPr/>
            </w:pPr>
            <w:r>
              <w:rPr/>
              <w:t> </w:t>
            </w:r>
          </w:p>
        </w:tc>
      </w:tr>
      <w:tr>
        <w:trPr/>
        <w:tc>
          <w:tcPr>
            <w:tcW w:w="67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Denominator:</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491" w:type="dxa"/>
            <w:tcBorders/>
            <w:shd w:fill="auto" w:val="clear"/>
            <w:vAlign w:val="center"/>
          </w:tcPr>
          <w:p>
            <w:pPr>
              <w:pStyle w:val="TableContents"/>
              <w:spacing w:before="0" w:after="0"/>
              <w:ind w:left="0" w:right="0" w:firstLine="100"/>
              <w:jc w:val="right"/>
              <w:rPr/>
            </w:pPr>
            <w:r>
              <w:rPr/>
              <w:t> </w:t>
            </w:r>
          </w:p>
        </w:tc>
      </w:tr>
      <w:tr>
        <w:trPr/>
        <w:tc>
          <w:tcPr>
            <w:tcW w:w="672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Weighted average shares of common stock outstanding</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105,585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103,679</w:t>
            </w:r>
          </w:p>
        </w:tc>
        <w:tc>
          <w:tcPr>
            <w:tcW w:w="491" w:type="dxa"/>
            <w:tcBorders/>
            <w:shd w:fill="auto" w:val="clear"/>
            <w:vAlign w:val="center"/>
          </w:tcPr>
          <w:p>
            <w:pPr>
              <w:pStyle w:val="TableContents"/>
              <w:spacing w:before="0" w:after="0"/>
              <w:ind w:left="0" w:right="0" w:firstLine="300"/>
              <w:jc w:val="left"/>
              <w:rPr/>
            </w:pPr>
            <w:r>
              <w:rPr/>
              <w:t> </w:t>
            </w:r>
          </w:p>
        </w:tc>
      </w:tr>
      <w:tr>
        <w:trPr/>
        <w:tc>
          <w:tcPr>
            <w:tcW w:w="6721" w:type="dxa"/>
            <w:tcBorders/>
            <w:shd w:fill="auto" w:val="clear"/>
            <w:vAlign w:val="center"/>
          </w:tcPr>
          <w:p>
            <w:pPr>
              <w:pStyle w:val="TableContents"/>
              <w:spacing w:before="0" w:after="0"/>
              <w:ind w:left="300" w:right="0" w:hanging="0"/>
              <w:jc w:val="left"/>
              <w:rPr>
                <w:rFonts w:ascii="Times New Roman;serif" w:hAnsi="Times New Roman;serif"/>
                <w:b w:val="false"/>
                <w:sz w:val="20"/>
              </w:rPr>
            </w:pPr>
            <w:r>
              <w:rPr>
                <w:rFonts w:ascii="Times New Roman;serif" w:hAnsi="Times New Roman;serif"/>
                <w:b w:val="false"/>
                <w:sz w:val="20"/>
              </w:rPr>
              <w:t>Add: Effect of dilutive securities associated with options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491" w:type="dxa"/>
            <w:tcBorders/>
            <w:shd w:fill="auto" w:val="clear"/>
            <w:vAlign w:val="center"/>
          </w:tcPr>
          <w:p>
            <w:pPr>
              <w:pStyle w:val="TableContents"/>
              <w:spacing w:before="0" w:after="0"/>
              <w:ind w:left="0" w:right="0" w:firstLine="300"/>
              <w:jc w:val="left"/>
              <w:rPr/>
            </w:pPr>
            <w:r>
              <w:rPr/>
              <w:t> </w:t>
            </w:r>
          </w:p>
        </w:tc>
      </w:tr>
      <w:tr>
        <w:trPr/>
        <w:tc>
          <w:tcPr>
            <w:tcW w:w="6721" w:type="dxa"/>
            <w:tcBorders/>
            <w:shd w:fill="auto" w:val="clear"/>
            <w:vAlign w:val="center"/>
          </w:tcPr>
          <w:p>
            <w:pPr>
              <w:pStyle w:val="TableContents"/>
              <w:spacing w:before="0" w:after="0"/>
              <w:ind w:left="300" w:right="0" w:hanging="0"/>
              <w:jc w:val="left"/>
              <w:rPr>
                <w:rFonts w:ascii="Times New Roman;serif" w:hAnsi="Times New Roman;serif"/>
                <w:b w:val="false"/>
                <w:sz w:val="20"/>
              </w:rPr>
            </w:pPr>
            <w:r>
              <w:rPr>
                <w:rFonts w:ascii="Times New Roman;serif" w:hAnsi="Times New Roman;serif"/>
                <w:b w:val="false"/>
                <w:sz w:val="20"/>
              </w:rPr>
              <w:t>Add: Effect of dilutive securities associated with restricted stock awards and units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7,861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1,650</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r>
      <w:tr>
        <w:trPr/>
        <w:tc>
          <w:tcPr>
            <w:tcW w:w="672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Weighted average common shares - dilutive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113,447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105,332</w:t>
            </w:r>
          </w:p>
        </w:tc>
        <w:tc>
          <w:tcPr>
            <w:tcW w:w="4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6721" w:type="dxa"/>
            <w:tcBorders/>
            <w:shd w:fill="auto" w:val="clear"/>
            <w:vAlign w:val="center"/>
          </w:tcPr>
          <w:p>
            <w:pPr>
              <w:pStyle w:val="TableContents"/>
              <w:spacing w:before="0" w:after="0"/>
              <w:ind w:left="20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491" w:type="dxa"/>
            <w:tcBorders/>
            <w:shd w:fill="auto" w:val="clear"/>
            <w:vAlign w:val="center"/>
          </w:tcPr>
          <w:p>
            <w:pPr>
              <w:pStyle w:val="TableContents"/>
              <w:spacing w:before="0" w:after="0"/>
              <w:ind w:left="0" w:right="0" w:hanging="0"/>
              <w:jc w:val="right"/>
              <w:rPr/>
            </w:pPr>
            <w:r>
              <w:rPr/>
              <w:t> </w:t>
            </w:r>
          </w:p>
        </w:tc>
      </w:tr>
      <w:tr>
        <w:trPr/>
        <w:tc>
          <w:tcPr>
            <w:tcW w:w="67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Basic net income (loss) per share</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491" w:type="dxa"/>
            <w:tcBorders/>
            <w:shd w:fill="auto" w:val="clear"/>
            <w:vAlign w:val="center"/>
          </w:tcPr>
          <w:p>
            <w:pPr>
              <w:pStyle w:val="TableContents"/>
              <w:spacing w:before="0" w:after="0"/>
              <w:ind w:left="0" w:right="0" w:firstLine="100"/>
              <w:jc w:val="right"/>
              <w:rPr/>
            </w:pPr>
            <w:r>
              <w:rPr/>
              <w:t> </w:t>
            </w:r>
          </w:p>
        </w:tc>
      </w:tr>
      <w:tr>
        <w:trPr/>
        <w:tc>
          <w:tcPr>
            <w:tcW w:w="672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Net income from continuing operations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0.54</w:t>
            </w:r>
          </w:p>
        </w:tc>
        <w:tc>
          <w:tcPr>
            <w:tcW w:w="491" w:type="dxa"/>
            <w:tcBorders/>
            <w:shd w:fill="auto" w:val="clear"/>
            <w:vAlign w:val="center"/>
          </w:tcPr>
          <w:p>
            <w:pPr>
              <w:pStyle w:val="TableContents"/>
              <w:spacing w:before="0" w:after="0"/>
              <w:ind w:left="0" w:right="0" w:firstLine="100"/>
              <w:jc w:val="left"/>
              <w:rPr/>
            </w:pPr>
            <w:r>
              <w:rPr/>
              <w:t> </w:t>
            </w:r>
          </w:p>
        </w:tc>
      </w:tr>
      <w:tr>
        <w:trPr/>
        <w:tc>
          <w:tcPr>
            <w:tcW w:w="672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Net loss attributable to discontinued operations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(0.30</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672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Net income attributable to the Company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0.24</w:t>
            </w:r>
          </w:p>
        </w:tc>
        <w:tc>
          <w:tcPr>
            <w:tcW w:w="4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6721" w:type="dxa"/>
            <w:tcBorders/>
            <w:shd w:fill="auto" w:val="clear"/>
            <w:vAlign w:val="center"/>
          </w:tcPr>
          <w:p>
            <w:pPr>
              <w:pStyle w:val="TableContents"/>
              <w:spacing w:before="0" w:after="0"/>
              <w:ind w:left="20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491" w:type="dxa"/>
            <w:tcBorders/>
            <w:shd w:fill="auto" w:val="clear"/>
            <w:vAlign w:val="center"/>
          </w:tcPr>
          <w:p>
            <w:pPr>
              <w:pStyle w:val="TableContents"/>
              <w:spacing w:before="0" w:after="0"/>
              <w:ind w:left="0" w:right="0" w:hanging="0"/>
              <w:jc w:val="right"/>
              <w:rPr/>
            </w:pPr>
            <w:r>
              <w:rPr/>
              <w:t> </w:t>
            </w:r>
          </w:p>
        </w:tc>
      </w:tr>
      <w:tr>
        <w:trPr/>
        <w:tc>
          <w:tcPr>
            <w:tcW w:w="67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Diluted net income (loss) per share</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491" w:type="dxa"/>
            <w:tcBorders/>
            <w:shd w:fill="auto" w:val="clear"/>
            <w:vAlign w:val="center"/>
          </w:tcPr>
          <w:p>
            <w:pPr>
              <w:pStyle w:val="TableContents"/>
              <w:spacing w:before="0" w:after="0"/>
              <w:ind w:left="0" w:right="0" w:firstLine="100"/>
              <w:jc w:val="right"/>
              <w:rPr/>
            </w:pPr>
            <w:r>
              <w:rPr/>
              <w:t> </w:t>
            </w:r>
          </w:p>
        </w:tc>
      </w:tr>
      <w:tr>
        <w:trPr/>
        <w:tc>
          <w:tcPr>
            <w:tcW w:w="672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Net income from continuing operations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0.53</w:t>
            </w:r>
          </w:p>
        </w:tc>
        <w:tc>
          <w:tcPr>
            <w:tcW w:w="491" w:type="dxa"/>
            <w:tcBorders/>
            <w:shd w:fill="auto" w:val="clear"/>
            <w:vAlign w:val="center"/>
          </w:tcPr>
          <w:p>
            <w:pPr>
              <w:pStyle w:val="TableContents"/>
              <w:spacing w:before="0" w:after="0"/>
              <w:ind w:left="0" w:right="0" w:firstLine="100"/>
              <w:jc w:val="left"/>
              <w:rPr/>
            </w:pPr>
            <w:r>
              <w:rPr/>
              <w:t> </w:t>
            </w:r>
          </w:p>
        </w:tc>
      </w:tr>
      <w:tr>
        <w:trPr/>
        <w:tc>
          <w:tcPr>
            <w:tcW w:w="672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Net loss attributable to discontinued operations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(0.29</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672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Net income attributable to the Company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0.24</w:t>
            </w:r>
          </w:p>
        </w:tc>
        <w:tc>
          <w:tcPr>
            <w:tcW w:w="4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6721" w:type="dxa"/>
            <w:tcBorders/>
            <w:shd w:fill="auto" w:val="clear"/>
            <w:vAlign w:val="center"/>
          </w:tcPr>
          <w:p>
            <w:pPr>
              <w:pStyle w:val="TableContents"/>
              <w:spacing w:before="0" w:after="0"/>
              <w:ind w:left="20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491" w:type="dxa"/>
            <w:tcBorders/>
            <w:shd w:fill="auto" w:val="clear"/>
            <w:vAlign w:val="center"/>
          </w:tcPr>
          <w:p>
            <w:pPr>
              <w:pStyle w:val="TableContents"/>
              <w:spacing w:before="0" w:after="0"/>
              <w:ind w:left="0" w:right="0" w:hanging="0"/>
              <w:jc w:val="right"/>
              <w:rPr/>
            </w:pPr>
            <w:r>
              <w:rPr/>
              <w:t> </w:t>
            </w:r>
          </w:p>
        </w:tc>
      </w:tr>
      <w:tr>
        <w:trPr/>
        <w:tc>
          <w:tcPr>
            <w:tcW w:w="67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Anti-dilutive employee stock-based awards, excluded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3,600</w:t>
            </w:r>
          </w:p>
        </w:tc>
        <w:tc>
          <w:tcPr>
            <w:tcW w:w="4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40" w:after="0"/>
        <w:jc w:val="left"/>
        <w:rPr>
          <w:rFonts w:ascii="Times New Roman;serif" w:hAnsi="Times New Roman;serif"/>
          <w:b w:val="false"/>
          <w:sz w:val="20"/>
        </w:rPr>
      </w:pPr>
      <w:r>
        <w:rPr>
          <w:rFonts w:ascii="Times New Roman;serif" w:hAnsi="Times New Roman;serif"/>
          <w:b w:val="false"/>
          <w:sz w:val="20"/>
        </w:rPr>
        <w:t>Basic net income (loss) per share is computed using the weighted average number of shares of common stock outstanding during the period, excluding any unvested restricted stock units that are subject to repurchase. Diluted net income (loss) per share is computed using the treasury stock method to calculate the weighted average number of shares of common stock and, if dilutive, potential common shares outstanding during the period. Potentially dilutive common shares include unvested restricted stock units and incremental common shares issuable upon the exercise of stock options, less shares repurchased from assumed proceeds. The assumed proceeds calculation includes actual proceeds to be received from the employee upon exercise and the average unrecognized stock compensation cost during the period.</w:t>
      </w:r>
    </w:p>
    <w:p>
      <w:pPr>
        <w:pStyle w:val="TextBody"/>
        <w:spacing w:before="240" w:after="0"/>
        <w:jc w:val="left"/>
        <w:rPr>
          <w:rFonts w:ascii="Times New Roman;serif" w:hAnsi="Times New Roman;serif"/>
          <w:b/>
          <w:sz w:val="20"/>
        </w:rPr>
      </w:pPr>
      <w:r>
        <w:rPr>
          <w:rFonts w:ascii="Times New Roman;serif" w:hAnsi="Times New Roman;serif"/>
          <w:b/>
          <w:sz w:val="20"/>
        </w:rPr>
        <w:t>NOTE 11 – STOCKHOLDERS’ EQUITY</w:t>
      </w:r>
    </w:p>
    <w:p>
      <w:pPr>
        <w:pStyle w:val="TextBody"/>
        <w:spacing w:before="240" w:after="0"/>
        <w:jc w:val="left"/>
        <w:rPr>
          <w:rFonts w:ascii="Times New Roman;serif" w:hAnsi="Times New Roman;serif"/>
          <w:b/>
          <w:i/>
          <w:sz w:val="20"/>
        </w:rPr>
      </w:pPr>
      <w:r>
        <w:rPr>
          <w:rFonts w:ascii="Times New Roman;serif" w:hAnsi="Times New Roman;serif"/>
          <w:b/>
          <w:i/>
          <w:sz w:val="20"/>
        </w:rPr>
        <w:t>Equity Incentive Plans</w:t>
      </w:r>
    </w:p>
    <w:p>
      <w:pPr>
        <w:pStyle w:val="TextBody"/>
        <w:spacing w:before="240" w:after="0"/>
        <w:jc w:val="left"/>
        <w:rPr>
          <w:rFonts w:ascii="Times New Roman;serif" w:hAnsi="Times New Roman;serif"/>
          <w:b w:val="false"/>
          <w:i/>
          <w:sz w:val="20"/>
        </w:rPr>
      </w:pPr>
      <w:r>
        <w:rPr>
          <w:rFonts w:ascii="Times New Roman;serif" w:hAnsi="Times New Roman;serif"/>
          <w:b w:val="false"/>
          <w:i/>
          <w:sz w:val="20"/>
        </w:rPr>
        <w:t>The 2020 Equity Incentive Plan</w:t>
      </w:r>
    </w:p>
    <w:p>
      <w:pPr>
        <w:pStyle w:val="TextBody"/>
        <w:spacing w:before="240" w:after="0"/>
        <w:jc w:val="left"/>
        <w:rPr>
          <w:rFonts w:ascii="Times New Roman" w:hAnsi="Times New Roman"/>
          <w:sz w:val="20"/>
        </w:rPr>
      </w:pPr>
      <w:r>
        <w:rPr>
          <w:rFonts w:ascii="Times New Roman;serif" w:hAnsi="Times New Roman;serif"/>
          <w:b w:val="false"/>
          <w:sz w:val="20"/>
        </w:rPr>
        <w:t>On June 1, 2020, the Company adopted the 2020 Equity Incentive Plan (the “2020 EIP”). Under the 2020 EIP, the Company may grant equity-based awards to employees, non-employee directors, and consultants for services rendered to the Company (or any parent or subsidiary) in the form of stock options, stock awards, restricted stock awards, restricted stock units, stock appreciation rights, dividend equivalents and performance awards (or any combination thereof).</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A total of 16.8</w:t>
      </w:r>
      <w:r>
        <w:rPr>
          <w:rFonts w:ascii="Times New Roman" w:hAnsi="Times New Roman"/>
          <w:sz w:val="20"/>
        </w:rPr>
        <w:t xml:space="preserve"> </w:t>
      </w:r>
      <w:r>
        <w:rPr>
          <w:rFonts w:ascii="Times New Roman;serif" w:hAnsi="Times New Roman;serif"/>
          <w:b w:val="false"/>
          <w:sz w:val="20"/>
        </w:rPr>
        <w:t>million shares have been reserved for issuance under the 2020 EIP provided that each share issued pursuant to “full value” awards (i.e., stock awards, restricted stock awards, restricted stock units, performance awards and dividend equivalents) are counted against shares available for issuance under the 2020 EIP on a 1.5</w:t>
      </w:r>
      <w:r>
        <w:rPr>
          <w:rFonts w:ascii="Times New Roman" w:hAnsi="Times New Roman"/>
          <w:sz w:val="20"/>
        </w:rPr>
        <w:t xml:space="preserve"> </w:t>
      </w:r>
      <w:r>
        <w:rPr>
          <w:rFonts w:ascii="Times New Roman;serif" w:hAnsi="Times New Roman;serif"/>
          <w:b w:val="false"/>
          <w:sz w:val="20"/>
        </w:rPr>
        <w:t>to 1 ratio. At the 2022 Annual Stockholders Meeting on April 29, 2022, the Company's shareholders approved an amendment to the 2020 EIP and increased by 8.8</w:t>
      </w:r>
      <w:r>
        <w:rPr>
          <w:rFonts w:ascii="Times New Roman" w:hAnsi="Times New Roman"/>
          <w:sz w:val="20"/>
        </w:rPr>
        <w:t xml:space="preserve"> </w:t>
      </w:r>
      <w:r>
        <w:rPr>
          <w:rFonts w:ascii="Times New Roman;serif" w:hAnsi="Times New Roman;serif"/>
          <w:b w:val="false"/>
          <w:sz w:val="20"/>
        </w:rPr>
        <w:t>million the number of shares reserved for issuance.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The 2020 EIP provides for option grants designed as either incentive stock options or nonstatutory options. Options generally are granted with an exercise price not less than the value of the common stock on the grant date and have a term of ten years</w:t>
      </w:r>
      <w:r>
        <w:rPr>
          <w:rFonts w:ascii="Times New Roman" w:hAnsi="Times New Roman"/>
          <w:sz w:val="20"/>
        </w:rPr>
        <w:t xml:space="preserve"> </w:t>
      </w:r>
      <w:r>
        <w:rPr>
          <w:rFonts w:ascii="Times New Roman;serif" w:hAnsi="Times New Roman;serif"/>
          <w:b w:val="false"/>
          <w:sz w:val="20"/>
        </w:rPr>
        <w:t>from the date of grant and vest over a four-year</w:t>
      </w:r>
      <w:r>
        <w:rPr>
          <w:rFonts w:ascii="Times New Roman" w:hAnsi="Times New Roman"/>
          <w:sz w:val="20"/>
        </w:rPr>
        <w:t xml:space="preserve"> </w:t>
      </w:r>
      <w:r>
        <w:rPr>
          <w:rFonts w:ascii="Times New Roman;serif" w:hAnsi="Times New Roman;serif"/>
          <w:b w:val="false"/>
          <w:sz w:val="20"/>
        </w:rPr>
        <w:t>period.</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22</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sz w:val="20"/>
        </w:rPr>
      </w:pPr>
      <w:r>
        <w:rPr>
          <w:rFonts w:ascii="Times New Roman;serif" w:hAnsi="Times New Roman;serif"/>
          <w:b w:val="false"/>
          <w:sz w:val="20"/>
        </w:rPr>
        <w:t>The vesting criteria for restricted stock awards and restricted stock units is generally the passage of time or meeting certain performance-based objectives, and continued employment through the vesting period, which is generally four years</w:t>
      </w:r>
      <w:r>
        <w:rPr>
          <w:rFonts w:ascii="Times New Roman" w:hAnsi="Times New Roman"/>
          <w:sz w:val="20"/>
        </w:rPr>
        <w:t xml:space="preserve"> </w:t>
      </w:r>
      <w:r>
        <w:rPr>
          <w:rFonts w:ascii="Times New Roman;serif" w:hAnsi="Times New Roman;serif"/>
          <w:b w:val="false"/>
          <w:sz w:val="20"/>
        </w:rPr>
        <w:t>for time-based awards.</w:t>
      </w:r>
    </w:p>
    <w:p>
      <w:pPr>
        <w:pStyle w:val="TextBody"/>
        <w:spacing w:before="240" w:after="0"/>
        <w:jc w:val="left"/>
        <w:rPr>
          <w:rFonts w:ascii="Times New Roman;serif" w:hAnsi="Times New Roman;serif"/>
          <w:b w:val="false"/>
          <w:i/>
          <w:sz w:val="20"/>
        </w:rPr>
      </w:pPr>
      <w:r>
        <w:rPr>
          <w:rFonts w:ascii="Times New Roman;serif" w:hAnsi="Times New Roman;serif"/>
          <w:b w:val="false"/>
          <w:i/>
          <w:sz w:val="20"/>
        </w:rPr>
        <w:t>Assumed Plans</w:t>
      </w:r>
    </w:p>
    <w:p>
      <w:pPr>
        <w:pStyle w:val="TextBody"/>
        <w:spacing w:before="240" w:after="0"/>
        <w:jc w:val="left"/>
        <w:rPr>
          <w:rFonts w:ascii="Times New Roman" w:hAnsi="Times New Roman"/>
          <w:sz w:val="20"/>
        </w:rPr>
      </w:pPr>
      <w:r>
        <w:rPr>
          <w:rFonts w:ascii="Times New Roman;serif" w:hAnsi="Times New Roman;serif"/>
          <w:b w:val="false"/>
          <w:sz w:val="20"/>
        </w:rPr>
        <w:t>On June 1, 2020, the Company assumed all then-outstanding stock options, awards, and shares available and reserved for issuance under all legacy Equity Incentive Plans of TiVo (collectively, the “Assumed Plans”). Stock options assumed from the Assumed Plans generally have vesting periods of four years</w:t>
      </w:r>
      <w:r>
        <w:rPr>
          <w:rFonts w:ascii="Times New Roman" w:hAnsi="Times New Roman"/>
          <w:sz w:val="20"/>
        </w:rPr>
        <w:t xml:space="preserve"> </w:t>
      </w:r>
      <w:r>
        <w:rPr>
          <w:rFonts w:ascii="Times New Roman;serif" w:hAnsi="Times New Roman;serif"/>
          <w:b w:val="false"/>
          <w:sz w:val="20"/>
        </w:rPr>
        <w:t>and a contractual term of seven years. Awards of restricted stock and restricted stock units assumed from the Assumed Plans are generally subject to a four year</w:t>
      </w:r>
      <w:r>
        <w:rPr>
          <w:rFonts w:ascii="Times New Roman" w:hAnsi="Times New Roman"/>
          <w:sz w:val="20"/>
        </w:rPr>
        <w:t xml:space="preserve"> </w:t>
      </w:r>
      <w:r>
        <w:rPr>
          <w:rFonts w:ascii="Times New Roman;serif" w:hAnsi="Times New Roman;serif"/>
          <w:b w:val="false"/>
          <w:sz w:val="20"/>
        </w:rPr>
        <w:t>vesting period. The number of shares subject to stock options and restricted stock units outstanding under these plans are included in the tables below. Shares reserved under the Assumed Plans will be available for future grants.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As of March 31, 2023, there were 3.2</w:t>
      </w:r>
      <w:r>
        <w:rPr>
          <w:rFonts w:ascii="Times New Roman" w:hAnsi="Times New Roman"/>
          <w:sz w:val="20"/>
        </w:rPr>
        <w:t xml:space="preserve"> </w:t>
      </w:r>
      <w:r>
        <w:rPr>
          <w:rFonts w:ascii="Times New Roman;serif" w:hAnsi="Times New Roman;serif"/>
          <w:b w:val="false"/>
          <w:sz w:val="20"/>
        </w:rPr>
        <w:t>million shares reserved for future grants under both the 2020 EIP and the Assumed Plans. A summary of the stock option activity is presented below (in thousands, except per share amounts):</w:t>
      </w:r>
    </w:p>
    <w:p>
      <w:pPr>
        <w:pStyle w:val="TextBody"/>
        <w:spacing w:before="0" w:after="0"/>
        <w:jc w:val="left"/>
        <w:rPr/>
      </w:pPr>
      <w:r>
        <w:rPr/>
        <w:t> </w:t>
      </w:r>
    </w:p>
    <w:tbl>
      <w:tblPr>
        <w:tblW w:w="5740" w:type="dxa"/>
        <w:jc w:val="left"/>
        <w:tblInd w:w="0" w:type="dxa"/>
        <w:tblCellMar>
          <w:top w:w="28" w:type="dxa"/>
          <w:left w:w="28" w:type="dxa"/>
          <w:bottom w:w="28" w:type="dxa"/>
          <w:right w:w="28" w:type="dxa"/>
        </w:tblCellMar>
      </w:tblPr>
      <w:tblGrid>
        <w:gridCol w:w="3136"/>
        <w:gridCol w:w="146"/>
        <w:gridCol w:w="257"/>
        <w:gridCol w:w="748"/>
        <w:gridCol w:w="184"/>
        <w:gridCol w:w="162"/>
        <w:gridCol w:w="247"/>
        <w:gridCol w:w="669"/>
        <w:gridCol w:w="191"/>
      </w:tblGrid>
      <w:tr>
        <w:trPr/>
        <w:tc>
          <w:tcPr>
            <w:tcW w:w="31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13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267"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Options Outstanding</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13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0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Number of</w:t>
              <w:br/>
              <w:t>Shares</w:t>
              <w:br/>
              <w:t>Subject</w:t>
              <w:br/>
              <w:t>to Options</w:t>
            </w:r>
          </w:p>
        </w:tc>
        <w:tc>
          <w:tcPr>
            <w:tcW w:w="1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2" w:type="dxa"/>
            <w:tcBorders/>
            <w:shd w:fill="auto" w:val="clear"/>
            <w:vAlign w:val="center"/>
          </w:tcPr>
          <w:p>
            <w:pPr>
              <w:pStyle w:val="TableContents"/>
              <w:spacing w:before="0" w:after="0"/>
              <w:ind w:left="0" w:right="0" w:hanging="0"/>
              <w:jc w:val="center"/>
              <w:rPr/>
            </w:pPr>
            <w:r>
              <w:rPr/>
              <w:t> </w:t>
            </w:r>
          </w:p>
        </w:tc>
        <w:tc>
          <w:tcPr>
            <w:tcW w:w="91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Weighted</w:t>
              <w:br/>
              <w:t>Average</w:t>
              <w:br/>
              <w:t>Exercise</w:t>
              <w:br/>
              <w:t>Price Per</w:t>
              <w:br/>
              <w:t>Share</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13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Balance at December 31, 2022</w:t>
            </w:r>
          </w:p>
        </w:tc>
        <w:tc>
          <w:tcPr>
            <w:tcW w:w="146" w:type="dxa"/>
            <w:tcBorders/>
            <w:shd w:fill="auto" w:val="clear"/>
            <w:vAlign w:val="center"/>
          </w:tcPr>
          <w:p>
            <w:pPr>
              <w:pStyle w:val="TableContents"/>
              <w:spacing w:before="0" w:after="0"/>
              <w:ind w:left="0" w:right="0" w:hanging="0"/>
              <w:jc w:val="left"/>
              <w:rPr/>
            </w:pPr>
            <w:r>
              <w:rPr/>
              <w:t> </w:t>
            </w:r>
          </w:p>
        </w:tc>
        <w:tc>
          <w:tcPr>
            <w:tcW w:w="257" w:type="dxa"/>
            <w:tcBorders/>
            <w:shd w:fill="auto" w:val="clear"/>
            <w:vAlign w:val="center"/>
          </w:tcPr>
          <w:p>
            <w:pPr>
              <w:pStyle w:val="TableContents"/>
              <w:spacing w:before="0" w:after="0"/>
              <w:ind w:left="0" w:right="0" w:hanging="0"/>
              <w:jc w:val="left"/>
              <w:rPr/>
            </w:pPr>
            <w:r>
              <w:rPr/>
              <w:t> </w:t>
            </w:r>
          </w:p>
        </w:tc>
        <w:tc>
          <w:tcPr>
            <w:tcW w:w="74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364</w:t>
            </w:r>
          </w:p>
        </w:tc>
        <w:tc>
          <w:tcPr>
            <w:tcW w:w="184"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24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13.06</w:t>
            </w:r>
          </w:p>
        </w:tc>
        <w:tc>
          <w:tcPr>
            <w:tcW w:w="191" w:type="dxa"/>
            <w:tcBorders/>
            <w:shd w:fill="auto" w:val="clear"/>
            <w:vAlign w:val="center"/>
          </w:tcPr>
          <w:p>
            <w:pPr>
              <w:pStyle w:val="TableContents"/>
              <w:spacing w:before="0" w:after="0"/>
              <w:ind w:left="0" w:right="0" w:hanging="0"/>
              <w:jc w:val="left"/>
              <w:rPr/>
            </w:pPr>
            <w:r>
              <w:rPr/>
              <w:t> </w:t>
            </w:r>
          </w:p>
        </w:tc>
      </w:tr>
      <w:tr>
        <w:trPr/>
        <w:tc>
          <w:tcPr>
            <w:tcW w:w="31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Options granted</w:t>
            </w:r>
          </w:p>
        </w:tc>
        <w:tc>
          <w:tcPr>
            <w:tcW w:w="146" w:type="dxa"/>
            <w:tcBorders/>
            <w:shd w:fill="auto" w:val="clear"/>
            <w:vAlign w:val="center"/>
          </w:tcPr>
          <w:p>
            <w:pPr>
              <w:pStyle w:val="TableContents"/>
              <w:spacing w:before="0" w:after="0"/>
              <w:ind w:left="0" w:right="0" w:hanging="0"/>
              <w:jc w:val="left"/>
              <w:rPr/>
            </w:pPr>
            <w:r>
              <w:rPr/>
              <w:t> </w:t>
            </w:r>
          </w:p>
        </w:tc>
        <w:tc>
          <w:tcPr>
            <w:tcW w:w="257" w:type="dxa"/>
            <w:tcBorders/>
            <w:shd w:fill="auto" w:val="clear"/>
            <w:vAlign w:val="center"/>
          </w:tcPr>
          <w:p>
            <w:pPr>
              <w:pStyle w:val="TableContents"/>
              <w:spacing w:before="0" w:after="0"/>
              <w:ind w:left="0" w:right="0" w:hanging="0"/>
              <w:jc w:val="left"/>
              <w:rPr/>
            </w:pPr>
            <w:r>
              <w:rPr/>
              <w:t> </w:t>
            </w:r>
          </w:p>
        </w:tc>
        <w:tc>
          <w:tcPr>
            <w:tcW w:w="748" w:type="dxa"/>
            <w:tcBorders/>
            <w:shd w:fill="auto" w:val="clear"/>
            <w:vAlign w:val="center"/>
          </w:tcPr>
          <w:p>
            <w:pPr>
              <w:pStyle w:val="TableContents"/>
              <w:spacing w:before="0" w:after="0"/>
              <w:ind w:left="0" w:right="0" w:hanging="0"/>
              <w:jc w:val="right"/>
              <w:rPr/>
            </w:pPr>
            <w:r>
              <w:rPr/>
              <w:t>—</w:t>
            </w:r>
          </w:p>
        </w:tc>
        <w:tc>
          <w:tcPr>
            <w:tcW w:w="184"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24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69"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31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Options exercised</w:t>
            </w:r>
          </w:p>
        </w:tc>
        <w:tc>
          <w:tcPr>
            <w:tcW w:w="146" w:type="dxa"/>
            <w:tcBorders/>
            <w:shd w:fill="auto" w:val="clear"/>
            <w:vAlign w:val="center"/>
          </w:tcPr>
          <w:p>
            <w:pPr>
              <w:pStyle w:val="TableContents"/>
              <w:spacing w:before="0" w:after="0"/>
              <w:ind w:left="0" w:right="0" w:hanging="0"/>
              <w:jc w:val="left"/>
              <w:rPr/>
            </w:pPr>
            <w:r>
              <w:rPr/>
              <w:t> </w:t>
            </w:r>
          </w:p>
        </w:tc>
        <w:tc>
          <w:tcPr>
            <w:tcW w:w="257" w:type="dxa"/>
            <w:tcBorders/>
            <w:shd w:fill="auto" w:val="clear"/>
            <w:vAlign w:val="center"/>
          </w:tcPr>
          <w:p>
            <w:pPr>
              <w:pStyle w:val="TableContents"/>
              <w:spacing w:before="0" w:after="0"/>
              <w:ind w:left="0" w:right="0" w:hanging="0"/>
              <w:jc w:val="left"/>
              <w:rPr/>
            </w:pPr>
            <w:r>
              <w:rPr/>
              <w:t> </w:t>
            </w:r>
          </w:p>
        </w:tc>
        <w:tc>
          <w:tcPr>
            <w:tcW w:w="74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w:t>
            </w:r>
          </w:p>
        </w:tc>
        <w:tc>
          <w:tcPr>
            <w:tcW w:w="18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0" w:hanging="0"/>
              <w:jc w:val="left"/>
              <w:rPr/>
            </w:pPr>
            <w:r>
              <w:rPr/>
              <w:t> </w:t>
            </w:r>
          </w:p>
        </w:tc>
        <w:tc>
          <w:tcPr>
            <w:tcW w:w="24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10.67</w:t>
            </w:r>
          </w:p>
        </w:tc>
        <w:tc>
          <w:tcPr>
            <w:tcW w:w="191" w:type="dxa"/>
            <w:tcBorders/>
            <w:shd w:fill="auto" w:val="clear"/>
            <w:vAlign w:val="center"/>
          </w:tcPr>
          <w:p>
            <w:pPr>
              <w:pStyle w:val="TableContents"/>
              <w:spacing w:before="0" w:after="0"/>
              <w:ind w:left="0" w:right="0" w:hanging="0"/>
              <w:jc w:val="left"/>
              <w:rPr/>
            </w:pPr>
            <w:r>
              <w:rPr/>
              <w:t> </w:t>
            </w:r>
          </w:p>
        </w:tc>
      </w:tr>
      <w:tr>
        <w:trPr/>
        <w:tc>
          <w:tcPr>
            <w:tcW w:w="31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Options canceled / forfeited / expired</w:t>
            </w:r>
          </w:p>
        </w:tc>
        <w:tc>
          <w:tcPr>
            <w:tcW w:w="146" w:type="dxa"/>
            <w:tcBorders/>
            <w:shd w:fill="auto" w:val="clear"/>
            <w:vAlign w:val="center"/>
          </w:tcPr>
          <w:p>
            <w:pPr>
              <w:pStyle w:val="TableContents"/>
              <w:spacing w:before="0" w:after="0"/>
              <w:ind w:left="0" w:right="0" w:hanging="0"/>
              <w:jc w:val="left"/>
              <w:rPr/>
            </w:pPr>
            <w:r>
              <w:rPr/>
              <w:t> </w:t>
            </w:r>
          </w:p>
        </w:tc>
        <w:tc>
          <w:tcPr>
            <w:tcW w:w="25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c>
          <w:tcPr>
            <w:tcW w:w="1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0" w:hanging="0"/>
              <w:jc w:val="left"/>
              <w:rPr/>
            </w:pPr>
            <w:r>
              <w:rPr/>
              <w:t> </w:t>
            </w:r>
          </w:p>
        </w:tc>
        <w:tc>
          <w:tcPr>
            <w:tcW w:w="24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10.99</w:t>
            </w:r>
          </w:p>
        </w:tc>
        <w:tc>
          <w:tcPr>
            <w:tcW w:w="191" w:type="dxa"/>
            <w:tcBorders/>
            <w:shd w:fill="auto" w:val="clear"/>
            <w:vAlign w:val="center"/>
          </w:tcPr>
          <w:p>
            <w:pPr>
              <w:pStyle w:val="TableContents"/>
              <w:spacing w:before="0" w:after="0"/>
              <w:ind w:left="0" w:right="0" w:hanging="0"/>
              <w:jc w:val="left"/>
              <w:rPr/>
            </w:pPr>
            <w:r>
              <w:rPr/>
              <w:t> </w:t>
            </w:r>
          </w:p>
        </w:tc>
      </w:tr>
      <w:tr>
        <w:trPr/>
        <w:tc>
          <w:tcPr>
            <w:tcW w:w="313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Balance at March 31, 2023</w:t>
            </w:r>
          </w:p>
        </w:tc>
        <w:tc>
          <w:tcPr>
            <w:tcW w:w="146" w:type="dxa"/>
            <w:tcBorders/>
            <w:shd w:fill="auto" w:val="clear"/>
            <w:vAlign w:val="center"/>
          </w:tcPr>
          <w:p>
            <w:pPr>
              <w:pStyle w:val="TableContents"/>
              <w:spacing w:before="0" w:after="0"/>
              <w:ind w:left="0" w:right="0" w:hanging="0"/>
              <w:jc w:val="left"/>
              <w:rPr/>
            </w:pPr>
            <w:r>
              <w:rPr/>
              <w:t> </w:t>
            </w:r>
          </w:p>
        </w:tc>
        <w:tc>
          <w:tcPr>
            <w:tcW w:w="25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300</w:t>
            </w:r>
          </w:p>
        </w:tc>
        <w:tc>
          <w:tcPr>
            <w:tcW w:w="18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24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13.54</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240" w:after="0"/>
        <w:jc w:val="left"/>
        <w:rPr>
          <w:rFonts w:ascii="Times New Roman" w:hAnsi="Times New Roman"/>
          <w:sz w:val="20"/>
        </w:rPr>
      </w:pPr>
      <w:r>
        <w:rPr>
          <w:rFonts w:ascii="Times New Roman;serif" w:hAnsi="Times New Roman;serif"/>
          <w:b/>
          <w:i/>
          <w:sz w:val="20"/>
        </w:rPr>
        <w:t>Restricted Stock Units</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Information with respect to outstanding restricted stock units (including both time-based vesting and performance-based vesting) as of March 31, 2023 is as follows (in thousands, except per share amounts):</w:t>
      </w:r>
    </w:p>
    <w:p>
      <w:pPr>
        <w:pStyle w:val="TextBody"/>
        <w:spacing w:before="0" w:after="0"/>
        <w:jc w:val="left"/>
        <w:rPr/>
      </w:pPr>
      <w:r>
        <w:rPr/>
        <w:t> </w:t>
      </w:r>
    </w:p>
    <w:tbl>
      <w:tblPr>
        <w:tblW w:w="8664" w:type="dxa"/>
        <w:jc w:val="left"/>
        <w:tblInd w:w="0" w:type="dxa"/>
        <w:tblCellMar>
          <w:top w:w="28" w:type="dxa"/>
          <w:left w:w="28" w:type="dxa"/>
          <w:bottom w:w="28" w:type="dxa"/>
          <w:right w:w="28" w:type="dxa"/>
        </w:tblCellMar>
      </w:tblPr>
      <w:tblGrid>
        <w:gridCol w:w="3121"/>
        <w:gridCol w:w="146"/>
        <w:gridCol w:w="222"/>
        <w:gridCol w:w="963"/>
        <w:gridCol w:w="166"/>
        <w:gridCol w:w="146"/>
        <w:gridCol w:w="241"/>
        <w:gridCol w:w="944"/>
        <w:gridCol w:w="146"/>
        <w:gridCol w:w="146"/>
        <w:gridCol w:w="168"/>
        <w:gridCol w:w="777"/>
        <w:gridCol w:w="166"/>
        <w:gridCol w:w="146"/>
        <w:gridCol w:w="262"/>
        <w:gridCol w:w="713"/>
        <w:gridCol w:w="191"/>
      </w:tblGrid>
      <w:tr>
        <w:trPr/>
        <w:tc>
          <w:tcPr>
            <w:tcW w:w="31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963"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94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777"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713"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12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206"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Restricted Stock and Restricted Stock Units</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12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8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Number of</w:t>
              <w:br/>
              <w:t>Shares</w:t>
              <w:br/>
              <w:t>Subject to</w:t>
              <w:br/>
              <w:t>Time-</w:t>
              <w:br/>
              <w:t>based Vesting</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8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Number of</w:t>
              <w:br/>
              <w:t>Shares</w:t>
              <w:br/>
              <w:t>Subject to</w:t>
              <w:br/>
              <w:t>Performance-</w:t>
              <w:br/>
              <w:t>based Vesting</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4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Total</w:t>
              <w:br/>
              <w:t>Number of</w:t>
              <w:br/>
              <w:t>Shares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7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Weighted</w:t>
              <w:br/>
              <w:t>Average</w:t>
              <w:br/>
              <w:t>Grant Date</w:t>
              <w:br/>
              <w:t>Fair Value</w:t>
              <w:br/>
              <w:t>Per Share</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12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Balance at December 31, 2022</w:t>
            </w:r>
          </w:p>
        </w:tc>
        <w:tc>
          <w:tcPr>
            <w:tcW w:w="146" w:type="dxa"/>
            <w:tcBorders/>
            <w:shd w:fill="auto" w:val="clear"/>
            <w:vAlign w:val="center"/>
          </w:tcPr>
          <w:p>
            <w:pPr>
              <w:pStyle w:val="TableContents"/>
              <w:spacing w:before="0" w:after="0"/>
              <w:ind w:left="0" w:right="0" w:hanging="0"/>
              <w:jc w:val="lef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9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9,048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1" w:type="dxa"/>
            <w:tcBorders/>
            <w:shd w:fill="auto" w:val="clear"/>
            <w:vAlign w:val="center"/>
          </w:tcPr>
          <w:p>
            <w:pPr>
              <w:pStyle w:val="TableContents"/>
              <w:spacing w:before="0" w:after="0"/>
              <w:ind w:left="0" w:right="0" w:hanging="0"/>
              <w:jc w:val="left"/>
              <w:rPr/>
            </w:pPr>
            <w:r>
              <w:rPr/>
              <w:t> </w:t>
            </w:r>
          </w:p>
        </w:tc>
        <w:tc>
          <w:tcPr>
            <w:tcW w:w="94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1,525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8" w:type="dxa"/>
            <w:tcBorders/>
            <w:shd w:fill="auto" w:val="clear"/>
            <w:vAlign w:val="center"/>
          </w:tcPr>
          <w:p>
            <w:pPr>
              <w:pStyle w:val="TableContents"/>
              <w:spacing w:before="0" w:after="0"/>
              <w:ind w:left="0" w:right="0" w:hanging="0"/>
              <w:jc w:val="left"/>
              <w:rPr/>
            </w:pPr>
            <w:r>
              <w:rPr/>
              <w:t> </w:t>
            </w:r>
          </w:p>
        </w:tc>
        <w:tc>
          <w:tcPr>
            <w:tcW w:w="77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10,573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10.48</w:t>
            </w:r>
          </w:p>
        </w:tc>
        <w:tc>
          <w:tcPr>
            <w:tcW w:w="191" w:type="dxa"/>
            <w:tcBorders/>
            <w:shd w:fill="auto" w:val="clear"/>
            <w:vAlign w:val="center"/>
          </w:tcPr>
          <w:p>
            <w:pPr>
              <w:pStyle w:val="TableContents"/>
              <w:spacing w:before="0" w:after="0"/>
              <w:ind w:left="0" w:right="0" w:hanging="0"/>
              <w:jc w:val="left"/>
              <w:rPr/>
            </w:pPr>
            <w:r>
              <w:rPr/>
              <w:t> </w:t>
            </w:r>
          </w:p>
        </w:tc>
      </w:tr>
      <w:tr>
        <w:trPr/>
        <w:tc>
          <w:tcPr>
            <w:tcW w:w="31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Awards and units granted</w:t>
            </w:r>
          </w:p>
        </w:tc>
        <w:tc>
          <w:tcPr>
            <w:tcW w:w="146" w:type="dxa"/>
            <w:tcBorders/>
            <w:shd w:fill="auto" w:val="clear"/>
            <w:vAlign w:val="center"/>
          </w:tcPr>
          <w:p>
            <w:pPr>
              <w:pStyle w:val="TableContents"/>
              <w:spacing w:before="0" w:after="0"/>
              <w:ind w:left="0" w:right="0" w:hanging="0"/>
              <w:jc w:val="lef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9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1,407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1" w:type="dxa"/>
            <w:tcBorders/>
            <w:shd w:fill="auto" w:val="clear"/>
            <w:vAlign w:val="center"/>
          </w:tcPr>
          <w:p>
            <w:pPr>
              <w:pStyle w:val="TableContents"/>
              <w:spacing w:before="0" w:after="0"/>
              <w:ind w:left="0" w:right="0" w:hanging="0"/>
              <w:jc w:val="left"/>
              <w:rPr/>
            </w:pPr>
            <w:r>
              <w:rPr/>
              <w:t> </w:t>
            </w:r>
          </w:p>
        </w:tc>
        <w:tc>
          <w:tcPr>
            <w:tcW w:w="94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8" w:type="dxa"/>
            <w:tcBorders/>
            <w:shd w:fill="auto" w:val="clear"/>
            <w:vAlign w:val="center"/>
          </w:tcPr>
          <w:p>
            <w:pPr>
              <w:pStyle w:val="TableContents"/>
              <w:spacing w:before="0" w:after="0"/>
              <w:ind w:left="0" w:right="0" w:hanging="0"/>
              <w:jc w:val="left"/>
              <w:rPr/>
            </w:pPr>
            <w:r>
              <w:rPr/>
              <w:t> </w:t>
            </w:r>
          </w:p>
        </w:tc>
        <w:tc>
          <w:tcPr>
            <w:tcW w:w="77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2,045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10.41</w:t>
            </w:r>
          </w:p>
        </w:tc>
        <w:tc>
          <w:tcPr>
            <w:tcW w:w="191" w:type="dxa"/>
            <w:tcBorders/>
            <w:shd w:fill="auto" w:val="clear"/>
            <w:vAlign w:val="center"/>
          </w:tcPr>
          <w:p>
            <w:pPr>
              <w:pStyle w:val="TableContents"/>
              <w:spacing w:before="0" w:after="0"/>
              <w:ind w:left="0" w:right="0" w:hanging="0"/>
              <w:jc w:val="left"/>
              <w:rPr/>
            </w:pPr>
            <w:r>
              <w:rPr/>
              <w:t> </w:t>
            </w:r>
          </w:p>
        </w:tc>
      </w:tr>
      <w:tr>
        <w:trPr/>
        <w:tc>
          <w:tcPr>
            <w:tcW w:w="31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Awards and units vested / earned</w:t>
            </w:r>
          </w:p>
        </w:tc>
        <w:tc>
          <w:tcPr>
            <w:tcW w:w="146" w:type="dxa"/>
            <w:tcBorders/>
            <w:shd w:fill="auto" w:val="clear"/>
            <w:vAlign w:val="center"/>
          </w:tcPr>
          <w:p>
            <w:pPr>
              <w:pStyle w:val="TableContents"/>
              <w:spacing w:before="0" w:after="0"/>
              <w:ind w:left="0" w:right="0" w:hanging="0"/>
              <w:jc w:val="lef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9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(1,744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41" w:type="dxa"/>
            <w:tcBorders/>
            <w:shd w:fill="auto" w:val="clear"/>
            <w:vAlign w:val="center"/>
          </w:tcPr>
          <w:p>
            <w:pPr>
              <w:pStyle w:val="TableContents"/>
              <w:spacing w:before="0" w:after="0"/>
              <w:ind w:left="0" w:right="0" w:hanging="0"/>
              <w:jc w:val="left"/>
              <w:rPr/>
            </w:pPr>
            <w:r>
              <w:rPr/>
              <w:t> </w:t>
            </w:r>
          </w:p>
        </w:tc>
        <w:tc>
          <w:tcPr>
            <w:tcW w:w="94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8" w:type="dxa"/>
            <w:tcBorders/>
            <w:shd w:fill="auto" w:val="clear"/>
            <w:vAlign w:val="center"/>
          </w:tcPr>
          <w:p>
            <w:pPr>
              <w:pStyle w:val="TableContents"/>
              <w:spacing w:before="0" w:after="0"/>
              <w:ind w:left="0" w:right="0" w:hanging="0"/>
              <w:jc w:val="left"/>
              <w:rPr/>
            </w:pPr>
            <w:r>
              <w:rPr/>
              <w:t> </w:t>
            </w:r>
          </w:p>
        </w:tc>
        <w:tc>
          <w:tcPr>
            <w:tcW w:w="77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(1,744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6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10.48</w:t>
            </w:r>
          </w:p>
        </w:tc>
        <w:tc>
          <w:tcPr>
            <w:tcW w:w="191" w:type="dxa"/>
            <w:tcBorders/>
            <w:shd w:fill="auto" w:val="clear"/>
            <w:vAlign w:val="center"/>
          </w:tcPr>
          <w:p>
            <w:pPr>
              <w:pStyle w:val="TableContents"/>
              <w:spacing w:before="0" w:after="0"/>
              <w:ind w:left="0" w:right="0" w:hanging="0"/>
              <w:jc w:val="left"/>
              <w:rPr/>
            </w:pPr>
            <w:r>
              <w:rPr/>
              <w:t> </w:t>
            </w:r>
          </w:p>
        </w:tc>
      </w:tr>
      <w:tr>
        <w:trPr/>
        <w:tc>
          <w:tcPr>
            <w:tcW w:w="31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Awards and units canceled / forfeited</w:t>
            </w:r>
          </w:p>
        </w:tc>
        <w:tc>
          <w:tcPr>
            <w:tcW w:w="146" w:type="dxa"/>
            <w:tcBorders/>
            <w:shd w:fill="auto" w:val="clear"/>
            <w:vAlign w:val="center"/>
          </w:tcPr>
          <w:p>
            <w:pPr>
              <w:pStyle w:val="TableContents"/>
              <w:spacing w:before="0" w:after="0"/>
              <w:ind w:left="0" w:right="0" w:hanging="0"/>
              <w:jc w:val="left"/>
              <w:rPr/>
            </w:pPr>
            <w:r>
              <w:rPr/>
              <w:t> </w:t>
            </w:r>
          </w:p>
        </w:tc>
        <w:tc>
          <w:tcPr>
            <w:tcW w:w="2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6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9.74</w:t>
            </w:r>
          </w:p>
        </w:tc>
        <w:tc>
          <w:tcPr>
            <w:tcW w:w="191" w:type="dxa"/>
            <w:tcBorders/>
            <w:shd w:fill="auto" w:val="clear"/>
            <w:vAlign w:val="center"/>
          </w:tcPr>
          <w:p>
            <w:pPr>
              <w:pStyle w:val="TableContents"/>
              <w:spacing w:before="0" w:after="0"/>
              <w:ind w:left="0" w:right="0" w:hanging="0"/>
              <w:jc w:val="left"/>
              <w:rPr/>
            </w:pPr>
            <w:r>
              <w:rPr/>
              <w:t> </w:t>
            </w:r>
          </w:p>
        </w:tc>
      </w:tr>
      <w:tr>
        <w:trPr/>
        <w:tc>
          <w:tcPr>
            <w:tcW w:w="312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Balance at March 31, 2023</w:t>
            </w:r>
          </w:p>
        </w:tc>
        <w:tc>
          <w:tcPr>
            <w:tcW w:w="146" w:type="dxa"/>
            <w:tcBorders/>
            <w:shd w:fill="auto" w:val="clear"/>
            <w:vAlign w:val="center"/>
          </w:tcPr>
          <w:p>
            <w:pPr>
              <w:pStyle w:val="TableContents"/>
              <w:spacing w:before="0" w:after="0"/>
              <w:ind w:left="0" w:right="0" w:hanging="0"/>
              <w:jc w:val="left"/>
              <w:rPr/>
            </w:pPr>
            <w:r>
              <w:rPr/>
              <w:t> </w:t>
            </w:r>
          </w:p>
        </w:tc>
        <w:tc>
          <w:tcPr>
            <w:tcW w:w="22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6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8,519</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4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2,163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7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10,682</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10.48</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240" w:after="0"/>
        <w:jc w:val="left"/>
        <w:rPr>
          <w:rFonts w:ascii="Times New Roman;serif" w:hAnsi="Times New Roman;serif"/>
          <w:b w:val="false"/>
          <w:i/>
          <w:sz w:val="20"/>
        </w:rPr>
      </w:pPr>
      <w:r>
        <w:rPr>
          <w:rFonts w:ascii="Times New Roman;serif" w:hAnsi="Times New Roman;serif"/>
          <w:b w:val="false"/>
          <w:i/>
          <w:sz w:val="20"/>
        </w:rPr>
        <w:t>Performance Awards and Units</w:t>
      </w:r>
    </w:p>
    <w:p>
      <w:pPr>
        <w:pStyle w:val="TextBody"/>
        <w:spacing w:before="240" w:after="0"/>
        <w:jc w:val="left"/>
        <w:rPr>
          <w:rFonts w:ascii="Times New Roman" w:hAnsi="Times New Roman"/>
          <w:sz w:val="20"/>
        </w:rPr>
      </w:pPr>
      <w:r>
        <w:rPr>
          <w:rFonts w:ascii="Times New Roman;serif" w:hAnsi="Times New Roman;serif"/>
          <w:b w:val="false"/>
          <w:sz w:val="20"/>
        </w:rPr>
        <w:t>Performance awards may be granted to employees or consultants based upon, among other things, the contributions, responsibilities and other compensation of the particular employee or consultant. The value and the vesting of such performance awards are generally linked to one or more performance goals or certain market conditions determined by the Company, in each case on a specified date or dates or over any period or periods determined by the Company, and may range from zero</w:t>
      </w:r>
      <w:r>
        <w:rPr>
          <w:rFonts w:ascii="Times New Roman" w:hAnsi="Times New Roman"/>
          <w:sz w:val="20"/>
        </w:rPr>
        <w:t xml:space="preserve"> </w:t>
      </w:r>
      <w:r>
        <w:rPr>
          <w:rFonts w:ascii="Times New Roman;serif" w:hAnsi="Times New Roman;serif"/>
          <w:b w:val="false"/>
          <w:sz w:val="20"/>
        </w:rPr>
        <w:t>to 200</w:t>
      </w:r>
      <w:r>
        <w:rPr>
          <w:rFonts w:ascii="Times New Roman" w:hAnsi="Times New Roman"/>
          <w:sz w:val="20"/>
        </w:rPr>
        <w:t xml:space="preserve"> </w:t>
      </w:r>
      <w:r>
        <w:rPr>
          <w:rFonts w:ascii="Times New Roman;serif" w:hAnsi="Times New Roman;serif"/>
          <w:b w:val="false"/>
          <w:sz w:val="20"/>
        </w:rPr>
        <w:t>percent of the grant.</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For performance awards subject to a market vesting condition (“market-based PSUs”), the fair value per award is fixed at the grant date and the amount of compensation expense is not adjusted during the performance period regardless of changes in the level of achievement of the market condition.</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23</w:t>
      </w:r>
    </w:p>
    <w:p>
      <w:pPr>
        <w:pStyle w:val="HorizontalLine"/>
        <w:rPr/>
      </w:pPr>
      <w:r>
        <w:rPr/>
      </w:r>
    </w:p>
    <w:p>
      <w:pPr>
        <w:pStyle w:val="TextBody"/>
        <w:spacing w:before="0" w:after="0"/>
        <w:jc w:val="left"/>
        <w:rPr/>
      </w:pPr>
      <w:r>
        <w:rPr/>
        <w:t> </w:t>
      </w:r>
    </w:p>
    <w:p>
      <w:pPr>
        <w:pStyle w:val="TextBody"/>
        <w:spacing w:before="240" w:after="0"/>
        <w:jc w:val="left"/>
        <w:rPr>
          <w:rFonts w:ascii="Times New Roman;serif" w:hAnsi="Times New Roman;serif"/>
          <w:b/>
          <w:i/>
          <w:sz w:val="20"/>
        </w:rPr>
      </w:pPr>
      <w:r>
        <w:rPr>
          <w:rFonts w:ascii="Times New Roman;serif" w:hAnsi="Times New Roman;serif"/>
          <w:b/>
          <w:i/>
          <w:sz w:val="20"/>
        </w:rPr>
        <w:t>Employee Stock Purchase Plans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On June 1, 2020, the Company adopted the 2020 Employee Stock Purchase Plan (the “2020 ESPP”). The 2020 ESPP is implemented through consecutive overlapping 24-month offering periods, each of which is comprised of four six-month purchase periods. The first offering period commenced on September 1, 2020 and ended on August 31, 2022. Due to the Separation, the next offering period under the 2020 ESPP plan commenced on December 1, 2022 and will end on November 30, 2024. Each subsequent offering period under the 2020 ESPP will be twenty-four (24) months long and will commence on each December 1 with four six-month purchase periods. Participants may contribute up to 100% of their base earnings and commissions through payroll deductions, and the accumulated deductions will be applied to the purchase of shares on each semi-annual purchase date. The purchase price per share will equal 85% of the fair market value per share on the start date of the offering period or, if lower, 85% of the fair market value per share on the semi-annual purchase date.</w:t>
      </w:r>
    </w:p>
    <w:p>
      <w:pPr>
        <w:pStyle w:val="TextBody"/>
        <w:spacing w:before="240" w:after="0"/>
        <w:jc w:val="left"/>
        <w:rPr>
          <w:rFonts w:ascii="Times New Roman" w:hAnsi="Times New Roman"/>
          <w:sz w:val="20"/>
        </w:rPr>
      </w:pPr>
      <w:r>
        <w:rPr>
          <w:rFonts w:ascii="Times New Roman;serif" w:hAnsi="Times New Roman;serif"/>
          <w:b w:val="false"/>
          <w:sz w:val="20"/>
        </w:rPr>
        <w:t>An eligible employee’s right to buy the Company’s common stock under the 2020 ESPP may not accrue at a rate in excess of $25,000</w:t>
      </w:r>
      <w:r>
        <w:rPr>
          <w:rFonts w:ascii="Times New Roman" w:hAnsi="Times New Roman"/>
          <w:sz w:val="20"/>
        </w:rPr>
        <w:t xml:space="preserve"> </w:t>
      </w:r>
      <w:r>
        <w:rPr>
          <w:rFonts w:ascii="Times New Roman;serif" w:hAnsi="Times New Roman;serif"/>
          <w:b w:val="false"/>
          <w:sz w:val="20"/>
        </w:rPr>
        <w:t>of the fair market value of such shares per calendar year for each calendar year of an offering period. If the fair market value per share of the Company’s common stock on any purchase date during an offering period is less than the fair market value per share on the start date of the 24-month offering period, then that offering period will automatically terminate and a new 24-month offering period will begin on the next business day. All participants in the terminated offering will be transferred to the new offering period.</w:t>
      </w:r>
    </w:p>
    <w:p>
      <w:pPr>
        <w:pStyle w:val="TextBody"/>
        <w:spacing w:before="240" w:after="0"/>
        <w:jc w:val="left"/>
        <w:rPr>
          <w:rFonts w:ascii="Times New Roman" w:hAnsi="Times New Roman"/>
          <w:sz w:val="20"/>
        </w:rPr>
      </w:pPr>
      <w:r>
        <w:rPr>
          <w:rFonts w:ascii="Times New Roman;serif" w:hAnsi="Times New Roman;serif"/>
          <w:b w:val="false"/>
          <w:sz w:val="20"/>
        </w:rPr>
        <w:t>At the 2022 Annual Stockholders Meeting on April 29, 2022, the Company's shareholders approved an amendment to the 2020 ESPP and increased by 6.0</w:t>
      </w:r>
      <w:r>
        <w:rPr>
          <w:rFonts w:ascii="Times New Roman" w:hAnsi="Times New Roman"/>
          <w:sz w:val="20"/>
        </w:rPr>
        <w:t xml:space="preserve"> </w:t>
      </w:r>
      <w:r>
        <w:rPr>
          <w:rFonts w:ascii="Times New Roman;serif" w:hAnsi="Times New Roman;serif"/>
          <w:b w:val="false"/>
          <w:sz w:val="20"/>
        </w:rPr>
        <w:t>million the number of shares reserved for issuance. As of March 31, 2023, there were 5.5</w:t>
      </w:r>
      <w:r>
        <w:rPr>
          <w:rFonts w:ascii="Times New Roman" w:hAnsi="Times New Roman"/>
          <w:sz w:val="20"/>
        </w:rPr>
        <w:t xml:space="preserve"> </w:t>
      </w:r>
      <w:r>
        <w:rPr>
          <w:rFonts w:ascii="Times New Roman;serif" w:hAnsi="Times New Roman;serif"/>
          <w:b w:val="false"/>
          <w:sz w:val="20"/>
        </w:rPr>
        <w:t>million shares reserved for grant under the Company’s 2020 ESPP.</w:t>
      </w:r>
      <w:r>
        <w:rPr>
          <w:rFonts w:ascii="Times New Roman" w:hAnsi="Times New Roman"/>
          <w:sz w:val="20"/>
        </w:rPr>
        <w:t xml:space="preserve"> </w:t>
      </w:r>
    </w:p>
    <w:p>
      <w:pPr>
        <w:pStyle w:val="TextBody"/>
        <w:spacing w:before="240" w:after="0"/>
        <w:jc w:val="left"/>
        <w:rPr>
          <w:rFonts w:ascii="Times New Roman;serif" w:hAnsi="Times New Roman;serif"/>
          <w:b/>
          <w:i/>
          <w:sz w:val="20"/>
        </w:rPr>
      </w:pPr>
      <w:r>
        <w:rPr>
          <w:rFonts w:ascii="Times New Roman;serif" w:hAnsi="Times New Roman;serif"/>
          <w:b/>
          <w:i/>
          <w:sz w:val="20"/>
        </w:rPr>
        <w:t>Modification of Equity Awards</w:t>
      </w:r>
    </w:p>
    <w:p>
      <w:pPr>
        <w:pStyle w:val="TextBody"/>
        <w:spacing w:before="240" w:after="0"/>
        <w:jc w:val="left"/>
        <w:rPr>
          <w:rFonts w:ascii="Times New Roman" w:hAnsi="Times New Roman"/>
          <w:sz w:val="20"/>
        </w:rPr>
      </w:pPr>
      <w:r>
        <w:rPr>
          <w:rFonts w:ascii="Times New Roman;serif" w:hAnsi="Times New Roman;serif"/>
          <w:b w:val="false"/>
          <w:sz w:val="20"/>
        </w:rPr>
        <w:t>In connection with the Separation and under the provisions of the existing plans described above, the Company’s outstanding stock options and equity awards were converted to units denominated in the equity of the Company, Xperi Inc., or both. The number of units and exercise prices of outstanding stock options and equity awards were converted based on the conversion ratios established in the Employee Matters Agreement that the Company entered into in connection with the Separation. The intent of the conversion ratios was to preserve the value of the awards immediately before and after the Separation. Upon the Separation, employees holding stock options and equity awards denominated in the Company’s pre-Separation stock received a number of otherwise-similar stock options and awards in post-Separation Company’s stock and/or Xperi Inc.’s stock based on the conversion ratios outlined for each group of employees. For purposes of the vesting of these equity awards, continued employment or service with the Company or with Xperi Inc. is treated as continued employment for purposes of both the Company’s and Xperi Inc.’s equity awards and the vesting terms of each converted grant remained unchanged. There were no changes to the plan terms described above with the exception that the price on the grant date, or October 1, 2022 was adjusted to exclude the value of Xperi Inc. based on the conversion ratios applied to other equity awards.</w:t>
      </w:r>
      <w:r>
        <w:rPr>
          <w:rFonts w:ascii="Times New Roman" w:hAnsi="Times New Roman"/>
          <w:sz w:val="20"/>
        </w:rPr>
        <w:t xml:space="preserve"> </w:t>
      </w:r>
    </w:p>
    <w:p>
      <w:pPr>
        <w:pStyle w:val="TextBody"/>
        <w:spacing w:before="240" w:after="0"/>
        <w:jc w:val="left"/>
        <w:rPr>
          <w:rFonts w:ascii="Times New Roman;serif" w:hAnsi="Times New Roman;serif"/>
          <w:b/>
          <w:i/>
          <w:sz w:val="20"/>
        </w:rPr>
      </w:pPr>
      <w:r>
        <w:rPr>
          <w:rFonts w:ascii="Times New Roman;serif" w:hAnsi="Times New Roman;serif"/>
          <w:b/>
          <w:i/>
          <w:sz w:val="20"/>
        </w:rPr>
        <w:t>Dividends</w:t>
      </w:r>
    </w:p>
    <w:p>
      <w:pPr>
        <w:pStyle w:val="TextBody"/>
        <w:spacing w:before="240" w:after="0"/>
        <w:jc w:val="left"/>
        <w:rPr>
          <w:rFonts w:ascii="Times New Roman" w:hAnsi="Times New Roman"/>
          <w:sz w:val="20"/>
        </w:rPr>
      </w:pPr>
      <w:r>
        <w:rPr>
          <w:rFonts w:ascii="Times New Roman;serif" w:hAnsi="Times New Roman;serif"/>
          <w:b w:val="false"/>
          <w:sz w:val="20"/>
        </w:rPr>
        <w:t>Stockholders of the Company’s common stock are entitled to receive dividends when declared by the Company’s board of directors (the “Board”). During the three months ended March 31, 2023 and 2022, dividends declared were $0.05</w:t>
      </w:r>
      <w:r>
        <w:rPr>
          <w:rFonts w:ascii="Times New Roman" w:hAnsi="Times New Roman"/>
          <w:sz w:val="20"/>
        </w:rPr>
        <w:t xml:space="preserve"> </w:t>
      </w:r>
      <w:r>
        <w:rPr>
          <w:rFonts w:ascii="Times New Roman;serif" w:hAnsi="Times New Roman;serif"/>
          <w:b w:val="false"/>
          <w:sz w:val="20"/>
        </w:rPr>
        <w:t>per common share. The capacity to pay dividends in the future depends on many factors, including the Company’s financial condition, results of operations, capital requirements, capital structure, industry practice and other business conditions that the Board considers relevant.</w:t>
      </w:r>
    </w:p>
    <w:p>
      <w:pPr>
        <w:pStyle w:val="TextBody"/>
        <w:spacing w:before="240" w:after="0"/>
        <w:jc w:val="left"/>
        <w:rPr>
          <w:rFonts w:ascii="Times New Roman;serif" w:hAnsi="Times New Roman;serif"/>
          <w:b/>
          <w:i/>
          <w:sz w:val="20"/>
        </w:rPr>
      </w:pPr>
      <w:r>
        <w:rPr>
          <w:rFonts w:ascii="Times New Roman;serif" w:hAnsi="Times New Roman;serif"/>
          <w:b/>
          <w:i/>
          <w:sz w:val="20"/>
        </w:rPr>
        <w:t>Stock Repurchase Programs</w:t>
      </w:r>
    </w:p>
    <w:p>
      <w:pPr>
        <w:pStyle w:val="TextBody"/>
        <w:spacing w:before="240" w:after="0"/>
        <w:jc w:val="left"/>
        <w:rPr>
          <w:rFonts w:ascii="Times New Roman" w:hAnsi="Times New Roman"/>
          <w:sz w:val="20"/>
        </w:rPr>
      </w:pPr>
      <w:r>
        <w:rPr>
          <w:rFonts w:ascii="Times New Roman;serif" w:hAnsi="Times New Roman;serif"/>
          <w:b w:val="false"/>
          <w:sz w:val="20"/>
        </w:rPr>
        <w:t>On June 12, 2020 the Board authorized a stock repurchase program providing for the repurchase of up to $150.0</w:t>
      </w:r>
      <w:r>
        <w:rPr>
          <w:rFonts w:ascii="Times New Roman" w:hAnsi="Times New Roman"/>
          <w:sz w:val="20"/>
        </w:rPr>
        <w:t xml:space="preserve"> </w:t>
      </w:r>
      <w:r>
        <w:rPr>
          <w:rFonts w:ascii="Times New Roman;serif" w:hAnsi="Times New Roman;serif"/>
          <w:b w:val="false"/>
          <w:sz w:val="20"/>
        </w:rPr>
        <w:t>million of the Company's Common Stock dependent on market conditions, share prices and other factors. On April 22, 2021, the Board authorized an additional $100.0</w:t>
      </w:r>
      <w:r>
        <w:rPr>
          <w:rFonts w:ascii="Times New Roman" w:hAnsi="Times New Roman"/>
          <w:sz w:val="20"/>
        </w:rPr>
        <w:t xml:space="preserve"> </w:t>
      </w:r>
      <w:r>
        <w:rPr>
          <w:rFonts w:ascii="Times New Roman;serif" w:hAnsi="Times New Roman;serif"/>
          <w:b w:val="false"/>
          <w:sz w:val="20"/>
        </w:rPr>
        <w:t>million of purchases under the existing stock repurchase plan.</w:t>
      </w:r>
    </w:p>
    <w:p>
      <w:pPr>
        <w:pStyle w:val="TextBody"/>
        <w:spacing w:before="240" w:after="0"/>
        <w:jc w:val="left"/>
        <w:rPr>
          <w:rFonts w:ascii="Times New Roman" w:hAnsi="Times New Roman"/>
          <w:sz w:val="20"/>
        </w:rPr>
      </w:pPr>
      <w:r>
        <w:rPr>
          <w:rFonts w:ascii="Times New Roman;serif" w:hAnsi="Times New Roman;serif"/>
          <w:b w:val="false"/>
          <w:sz w:val="20"/>
        </w:rPr>
        <w:t>As of March 31, 2023, the Company had repurchased a total of approximately 10.0</w:t>
      </w:r>
      <w:r>
        <w:rPr>
          <w:rFonts w:ascii="Times New Roman" w:hAnsi="Times New Roman"/>
          <w:sz w:val="20"/>
        </w:rPr>
        <w:t xml:space="preserve"> </w:t>
      </w:r>
      <w:r>
        <w:rPr>
          <w:rFonts w:ascii="Times New Roman;serif" w:hAnsi="Times New Roman;serif"/>
          <w:b w:val="false"/>
          <w:sz w:val="20"/>
        </w:rPr>
        <w:t>million shares of common stock, since inception of the plan, at an average price of $17.24</w:t>
      </w:r>
      <w:r>
        <w:rPr>
          <w:rFonts w:ascii="Times New Roman" w:hAnsi="Times New Roman"/>
          <w:sz w:val="20"/>
        </w:rPr>
        <w:t xml:space="preserve"> </w:t>
      </w:r>
      <w:r>
        <w:rPr>
          <w:rFonts w:ascii="Times New Roman;serif" w:hAnsi="Times New Roman;serif"/>
          <w:b w:val="false"/>
          <w:sz w:val="20"/>
        </w:rPr>
        <w:t>per share for a total cost of $172.2</w:t>
      </w:r>
      <w:r>
        <w:rPr>
          <w:rFonts w:ascii="Times New Roman" w:hAnsi="Times New Roman"/>
          <w:sz w:val="20"/>
        </w:rPr>
        <w:t xml:space="preserve"> </w:t>
      </w:r>
      <w:r>
        <w:rPr>
          <w:rFonts w:ascii="Times New Roman;serif" w:hAnsi="Times New Roman;serif"/>
          <w:b w:val="false"/>
          <w:sz w:val="20"/>
        </w:rPr>
        <w:t>million. The shares repurchased are recorded as treasury stock and are accounted for under the cost method.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No expiration date has been specified for this plan. As of March 31, 2023, the total remaining amount available for repurchase under this plan was $77.8</w:t>
      </w:r>
      <w:r>
        <w:rPr>
          <w:rFonts w:ascii="Times New Roman" w:hAnsi="Times New Roman"/>
          <w:sz w:val="20"/>
        </w:rPr>
        <w:t xml:space="preserve"> </w:t>
      </w:r>
      <w:r>
        <w:rPr>
          <w:rFonts w:ascii="Times New Roman;serif" w:hAnsi="Times New Roman;serif"/>
          <w:b w:val="false"/>
          <w:sz w:val="20"/>
        </w:rPr>
        <w:t>million. The Company may execute authorized repurchases from time to time under the plan.</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24</w:t>
      </w:r>
    </w:p>
    <w:p>
      <w:pPr>
        <w:pStyle w:val="HorizontalLine"/>
        <w:rPr/>
      </w:pPr>
      <w:r>
        <w:rPr/>
      </w:r>
    </w:p>
    <w:p>
      <w:pPr>
        <w:pStyle w:val="TextBody"/>
        <w:spacing w:before="0" w:after="0"/>
        <w:jc w:val="left"/>
        <w:rPr/>
      </w:pPr>
      <w:r>
        <w:rPr/>
        <w:t>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 connection with the stock repurchase program, all shares repurchased by the Company as of June 1, 2020 and recorded as treasury stock were canceled and retired. The Company accounts for stock repurchases using the cost method and records retirement of treasury stock as a reduction of the cumulative treasury stock paid-in capital balance. Once the cumulative balance is reduced to zero, any remaining difference resulting from the retirement of treasury stock is recorded as a reduction of retained earnings.</w:t>
      </w:r>
    </w:p>
    <w:p>
      <w:pPr>
        <w:pStyle w:val="TextBody"/>
        <w:spacing w:before="240" w:after="0"/>
        <w:jc w:val="left"/>
        <w:rPr>
          <w:rFonts w:ascii="Times New Roman" w:hAnsi="Times New Roman"/>
          <w:sz w:val="20"/>
        </w:rPr>
      </w:pPr>
      <w:r>
        <w:rPr>
          <w:rFonts w:ascii="Times New Roman;serif" w:hAnsi="Times New Roman;serif"/>
          <w:b w:val="false"/>
          <w:sz w:val="20"/>
        </w:rPr>
        <w:t>The Company issues restricted stock awards as part of the equity incentive plans described above. For the majority of restricted awards, shares are withheld to satisfy required withholding taxes at the vesting date. Shares withheld to satisfy required withholding taxes in connection with the vesting of restricted awards are treated as common stock repurchases in the Condensed Consolidated Financial Statements because they reduce the number of shares that would have been issued on vesting. However, these withheld shares are not included in common stock repurchases under the Company’s authorized share repurchase plan. During the three months ended March 31, 2023 and 2022, the Company withheld 0.7</w:t>
      </w:r>
      <w:r>
        <w:rPr>
          <w:rFonts w:ascii="Times New Roman" w:hAnsi="Times New Roman"/>
          <w:sz w:val="20"/>
        </w:rPr>
        <w:t xml:space="preserve"> </w:t>
      </w:r>
      <w:r>
        <w:rPr>
          <w:rFonts w:ascii="Times New Roman;serif" w:hAnsi="Times New Roman;serif"/>
          <w:b w:val="false"/>
          <w:sz w:val="20"/>
        </w:rPr>
        <w:t>million and 0.7</w:t>
      </w:r>
      <w:r>
        <w:rPr>
          <w:rFonts w:ascii="Times New Roman" w:hAnsi="Times New Roman"/>
          <w:sz w:val="20"/>
        </w:rPr>
        <w:t xml:space="preserve"> </w:t>
      </w:r>
      <w:r>
        <w:rPr>
          <w:rFonts w:ascii="Times New Roman;serif" w:hAnsi="Times New Roman;serif"/>
          <w:b w:val="false"/>
          <w:sz w:val="20"/>
        </w:rPr>
        <w:t>million shares of common stock to satisfy $6.6</w:t>
      </w:r>
      <w:r>
        <w:rPr>
          <w:rFonts w:ascii="Times New Roman" w:hAnsi="Times New Roman"/>
          <w:sz w:val="20"/>
        </w:rPr>
        <w:t xml:space="preserve"> </w:t>
      </w:r>
      <w:r>
        <w:rPr>
          <w:rFonts w:ascii="Times New Roman;serif" w:hAnsi="Times New Roman;serif"/>
          <w:b w:val="false"/>
          <w:sz w:val="20"/>
        </w:rPr>
        <w:t>million and $11.1</w:t>
      </w:r>
      <w:r>
        <w:rPr>
          <w:rFonts w:ascii="Times New Roman" w:hAnsi="Times New Roman"/>
          <w:sz w:val="20"/>
        </w:rPr>
        <w:t xml:space="preserve"> </w:t>
      </w:r>
      <w:r>
        <w:rPr>
          <w:rFonts w:ascii="Times New Roman;serif" w:hAnsi="Times New Roman;serif"/>
          <w:b w:val="false"/>
          <w:sz w:val="20"/>
        </w:rPr>
        <w:t>million of required withholding taxes, respectively.</w:t>
      </w:r>
    </w:p>
    <w:p>
      <w:pPr>
        <w:pStyle w:val="TextBody"/>
        <w:spacing w:before="240" w:after="0"/>
        <w:jc w:val="left"/>
        <w:rPr>
          <w:rFonts w:ascii="Times New Roman;serif" w:hAnsi="Times New Roman;serif"/>
          <w:b/>
          <w:sz w:val="20"/>
        </w:rPr>
      </w:pPr>
      <w:r>
        <w:rPr>
          <w:rFonts w:ascii="Times New Roman;serif" w:hAnsi="Times New Roman;serif"/>
          <w:b/>
          <w:sz w:val="20"/>
        </w:rPr>
        <w:t>NOTE 12 – STOCK-BASED COMPENSATION EXPENSE</w:t>
      </w:r>
    </w:p>
    <w:p>
      <w:pPr>
        <w:pStyle w:val="TextBody"/>
        <w:spacing w:before="240" w:after="0"/>
        <w:jc w:val="left"/>
        <w:rPr>
          <w:rFonts w:ascii="Times New Roman" w:hAnsi="Times New Roman"/>
          <w:sz w:val="20"/>
        </w:rPr>
      </w:pPr>
      <w:r>
        <w:rPr>
          <w:rFonts w:ascii="Times New Roman;serif" w:hAnsi="Times New Roman;serif"/>
          <w:b w:val="false"/>
          <w:sz w:val="20"/>
        </w:rPr>
        <w:t>The effect of recording stock-based compensation (“SBC”) expense for the three months ended March 31, 2023 and 2022 is as follows (in thousands):</w:t>
      </w:r>
      <w:r>
        <w:rPr>
          <w:rFonts w:ascii="Times New Roman" w:hAnsi="Times New Roman"/>
          <w:sz w:val="20"/>
        </w:rPr>
        <w:t xml:space="preserve"> </w:t>
      </w:r>
    </w:p>
    <w:p>
      <w:pPr>
        <w:pStyle w:val="TextBody"/>
        <w:spacing w:before="0" w:after="0"/>
        <w:jc w:val="left"/>
        <w:rPr/>
      </w:pPr>
      <w:r>
        <w:rPr/>
        <w:t> </w:t>
      </w:r>
    </w:p>
    <w:tbl>
      <w:tblPr>
        <w:tblW w:w="5706" w:type="dxa"/>
        <w:jc w:val="left"/>
        <w:tblInd w:w="0" w:type="dxa"/>
        <w:tblCellMar>
          <w:top w:w="28" w:type="dxa"/>
          <w:left w:w="28" w:type="dxa"/>
          <w:bottom w:w="28" w:type="dxa"/>
          <w:right w:w="28" w:type="dxa"/>
        </w:tblCellMar>
      </w:tblPr>
      <w:tblGrid>
        <w:gridCol w:w="3451"/>
        <w:gridCol w:w="146"/>
        <w:gridCol w:w="218"/>
        <w:gridCol w:w="590"/>
        <w:gridCol w:w="151"/>
        <w:gridCol w:w="151"/>
        <w:gridCol w:w="218"/>
        <w:gridCol w:w="590"/>
        <w:gridCol w:w="191"/>
      </w:tblGrid>
      <w:tr>
        <w:trPr/>
        <w:tc>
          <w:tcPr>
            <w:tcW w:w="34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4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1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 xml:space="preserve">Three Months Ended </w:t>
              <w:br/>
              <w:t>March 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4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0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80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4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594</w:t>
            </w:r>
          </w:p>
        </w:tc>
        <w:tc>
          <w:tcPr>
            <w:tcW w:w="151"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375</w:t>
            </w:r>
          </w:p>
        </w:tc>
        <w:tc>
          <w:tcPr>
            <w:tcW w:w="191" w:type="dxa"/>
            <w:tcBorders/>
            <w:shd w:fill="auto" w:val="clear"/>
            <w:vAlign w:val="center"/>
          </w:tcPr>
          <w:p>
            <w:pPr>
              <w:pStyle w:val="TableContents"/>
              <w:spacing w:before="0" w:after="0"/>
              <w:ind w:left="0" w:right="0" w:hanging="0"/>
              <w:jc w:val="left"/>
              <w:rPr/>
            </w:pPr>
            <w:r>
              <w:rPr/>
              <w:t> </w:t>
            </w:r>
          </w:p>
        </w:tc>
      </w:tr>
      <w:tr>
        <w:trPr/>
        <w:tc>
          <w:tcPr>
            <w:tcW w:w="34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Selling, general and administrative</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3,046</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2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7,771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4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stock-based compensation expense</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3,640</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21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8,146</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40" w:after="0"/>
        <w:jc w:val="left"/>
        <w:rPr>
          <w:rFonts w:ascii="Times New Roman" w:hAnsi="Times New Roman"/>
          <w:sz w:val="20"/>
        </w:rPr>
      </w:pPr>
      <w:r>
        <w:rPr>
          <w:rFonts w:ascii="Times New Roman;serif" w:hAnsi="Times New Roman;serif"/>
          <w:b w:val="false"/>
          <w:sz w:val="20"/>
        </w:rPr>
        <w:t>In connection with termination of employment with a former executive on March 1, 2022, the Company entered into a Separation Agreement and Release with the executive, dated February 18, 2022 (the “Separation Agreement”). Pursuant to the Separation Agreement, the Company approved, among other severance benefits, accelerated vesting of 372,244</w:t>
      </w:r>
      <w:r>
        <w:rPr>
          <w:rFonts w:ascii="Times New Roman" w:hAnsi="Times New Roman"/>
          <w:sz w:val="20"/>
        </w:rPr>
        <w:t xml:space="preserve"> </w:t>
      </w:r>
      <w:r>
        <w:rPr>
          <w:rFonts w:ascii="Times New Roman;serif" w:hAnsi="Times New Roman;serif"/>
          <w:b w:val="false"/>
          <w:sz w:val="20"/>
        </w:rPr>
        <w:t>of outstanding performance and time-based restricted stock units. As a result of this modification, the Company recorded incremental SBC of approximately $2.2</w:t>
      </w:r>
      <w:r>
        <w:rPr>
          <w:rFonts w:ascii="Times New Roman" w:hAnsi="Times New Roman"/>
          <w:sz w:val="20"/>
        </w:rPr>
        <w:t xml:space="preserve"> </w:t>
      </w:r>
      <w:r>
        <w:rPr>
          <w:rFonts w:ascii="Times New Roman;serif" w:hAnsi="Times New Roman;serif"/>
          <w:b w:val="false"/>
          <w:sz w:val="20"/>
        </w:rPr>
        <w:t>million during the three months ended March 31, 2022.</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There were no</w:t>
      </w:r>
      <w:r>
        <w:rPr>
          <w:rFonts w:ascii="Times New Roman" w:hAnsi="Times New Roman"/>
          <w:sz w:val="20"/>
        </w:rPr>
        <w:t xml:space="preserve"> </w:t>
      </w:r>
      <w:r>
        <w:rPr>
          <w:rFonts w:ascii="Times New Roman;serif" w:hAnsi="Times New Roman;serif"/>
          <w:b w:val="false"/>
          <w:sz w:val="20"/>
        </w:rPr>
        <w:t>options granted in the three months ended March 31, 2023 and 2022.</w:t>
      </w:r>
    </w:p>
    <w:p>
      <w:pPr>
        <w:pStyle w:val="TextBody"/>
        <w:spacing w:before="240" w:after="200"/>
        <w:jc w:val="left"/>
        <w:rPr>
          <w:rFonts w:ascii="Times New Roman;serif" w:hAnsi="Times New Roman;serif"/>
          <w:b w:val="false"/>
          <w:sz w:val="20"/>
        </w:rPr>
      </w:pPr>
      <w:r>
        <w:rPr>
          <w:rFonts w:ascii="Times New Roman;serif" w:hAnsi="Times New Roman;serif"/>
          <w:b w:val="false"/>
          <w:sz w:val="20"/>
        </w:rPr>
        <w:t>The following assumptions were used to value the restricted stock units subject to market conditions granted during the three months ended March 31, 2023:</w:t>
      </w:r>
    </w:p>
    <w:tbl>
      <w:tblPr>
        <w:tblW w:w="3648" w:type="dxa"/>
        <w:jc w:val="left"/>
        <w:tblInd w:w="0" w:type="dxa"/>
        <w:tblCellMar>
          <w:top w:w="28" w:type="dxa"/>
          <w:left w:w="28" w:type="dxa"/>
          <w:bottom w:w="28" w:type="dxa"/>
          <w:right w:w="28" w:type="dxa"/>
        </w:tblCellMar>
      </w:tblPr>
      <w:tblGrid>
        <w:gridCol w:w="1946"/>
        <w:gridCol w:w="146"/>
        <w:gridCol w:w="271"/>
        <w:gridCol w:w="869"/>
        <w:gridCol w:w="416"/>
      </w:tblGrid>
      <w:tr>
        <w:trPr/>
        <w:tc>
          <w:tcPr>
            <w:tcW w:w="19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869"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r>
      <w:tr>
        <w:trPr/>
        <w:tc>
          <w:tcPr>
            <w:tcW w:w="19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4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March 2023</w:t>
            </w:r>
          </w:p>
        </w:tc>
        <w:tc>
          <w:tcPr>
            <w:tcW w:w="4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center"/>
              <w:rPr/>
            </w:pPr>
            <w:r>
              <w:rPr/>
              <w:t> </w:t>
            </w:r>
          </w:p>
        </w:tc>
      </w:tr>
      <w:tr>
        <w:trPr/>
        <w:tc>
          <w:tcPr>
            <w:tcW w:w="194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Expected life (years)</w:t>
            </w:r>
          </w:p>
        </w:tc>
        <w:tc>
          <w:tcPr>
            <w:tcW w:w="146" w:type="dxa"/>
            <w:tcBorders/>
            <w:shd w:fill="auto" w:val="clear"/>
            <w:vAlign w:val="center"/>
          </w:tcPr>
          <w:p>
            <w:pPr>
              <w:pStyle w:val="TableContents"/>
              <w:spacing w:before="0" w:after="0"/>
              <w:ind w:left="10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8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w:t>
            </w:r>
          </w:p>
        </w:tc>
        <w:tc>
          <w:tcPr>
            <w:tcW w:w="416" w:type="dxa"/>
            <w:tcBorders/>
            <w:shd w:fill="auto" w:val="clear"/>
            <w:vAlign w:val="center"/>
          </w:tcPr>
          <w:p>
            <w:pPr>
              <w:pStyle w:val="TableContents"/>
              <w:spacing w:before="0" w:after="0"/>
              <w:ind w:left="0" w:right="0" w:firstLine="100"/>
              <w:jc w:val="left"/>
              <w:rPr/>
            </w:pPr>
            <w:r>
              <w:rPr/>
              <w:t> </w:t>
            </w:r>
          </w:p>
        </w:tc>
      </w:tr>
      <w:tr>
        <w:trPr/>
        <w:tc>
          <w:tcPr>
            <w:tcW w:w="194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Risk-free interest rate</w:t>
            </w:r>
          </w:p>
        </w:tc>
        <w:tc>
          <w:tcPr>
            <w:tcW w:w="146" w:type="dxa"/>
            <w:tcBorders/>
            <w:shd w:fill="auto" w:val="clear"/>
            <w:vAlign w:val="center"/>
          </w:tcPr>
          <w:p>
            <w:pPr>
              <w:pStyle w:val="TableContents"/>
              <w:spacing w:before="0" w:after="0"/>
              <w:ind w:left="10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8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w:t>
            </w:r>
          </w:p>
        </w:tc>
        <w:tc>
          <w:tcPr>
            <w:tcW w:w="41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194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Dividend yield</w:t>
            </w:r>
          </w:p>
        </w:tc>
        <w:tc>
          <w:tcPr>
            <w:tcW w:w="146" w:type="dxa"/>
            <w:tcBorders/>
            <w:shd w:fill="auto" w:val="clear"/>
            <w:vAlign w:val="center"/>
          </w:tcPr>
          <w:p>
            <w:pPr>
              <w:pStyle w:val="TableContents"/>
              <w:spacing w:before="0" w:after="0"/>
              <w:ind w:left="10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8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w:t>
            </w:r>
          </w:p>
        </w:tc>
        <w:tc>
          <w:tcPr>
            <w:tcW w:w="41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194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Expected volatility</w:t>
            </w:r>
          </w:p>
        </w:tc>
        <w:tc>
          <w:tcPr>
            <w:tcW w:w="146" w:type="dxa"/>
            <w:tcBorders/>
            <w:shd w:fill="auto" w:val="clear"/>
            <w:vAlign w:val="center"/>
          </w:tcPr>
          <w:p>
            <w:pPr>
              <w:pStyle w:val="TableContents"/>
              <w:spacing w:before="0" w:after="0"/>
              <w:ind w:left="10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8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68.5</w:t>
            </w:r>
          </w:p>
        </w:tc>
        <w:tc>
          <w:tcPr>
            <w:tcW w:w="4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240" w:after="0"/>
        <w:jc w:val="left"/>
        <w:rPr>
          <w:rFonts w:ascii="Times New Roman" w:hAnsi="Times New Roman"/>
          <w:sz w:val="20"/>
        </w:rPr>
      </w:pPr>
      <w:r>
        <w:rPr>
          <w:rFonts w:ascii="Times New Roman;serif" w:hAnsi="Times New Roman;serif"/>
          <w:b w:val="false"/>
          <w:sz w:val="20"/>
        </w:rPr>
        <w:t>There were no</w:t>
      </w:r>
      <w:r>
        <w:rPr>
          <w:rFonts w:ascii="Times New Roman" w:hAnsi="Times New Roman"/>
          <w:sz w:val="20"/>
        </w:rPr>
        <w:t xml:space="preserve"> </w:t>
      </w:r>
      <w:r>
        <w:rPr>
          <w:rFonts w:ascii="Times New Roman;serif" w:hAnsi="Times New Roman;serif"/>
          <w:b w:val="false"/>
          <w:sz w:val="20"/>
        </w:rPr>
        <w:t>market-based restricted stock units granted in the three months ended March 31, 2022.</w:t>
      </w:r>
    </w:p>
    <w:p>
      <w:pPr>
        <w:pStyle w:val="TextBody"/>
        <w:spacing w:before="240" w:after="0"/>
        <w:jc w:val="left"/>
        <w:rPr>
          <w:rFonts w:ascii="Times New Roman" w:hAnsi="Times New Roman"/>
          <w:sz w:val="20"/>
        </w:rPr>
      </w:pPr>
      <w:r>
        <w:rPr>
          <w:rFonts w:ascii="Times New Roman;serif" w:hAnsi="Times New Roman;serif"/>
          <w:b w:val="false"/>
          <w:sz w:val="20"/>
        </w:rPr>
        <w:t xml:space="preserve">Prior to the Separation, ESPP grants occurred in March and September. Due to the Separation, the offering period under the 2020 ESPP plan commenced on December 1, 2022 as discussed in “Note 11 </w:t>
      </w:r>
      <w:r>
        <w:rPr>
          <w:rFonts w:ascii="Times New Roman" w:hAnsi="Times New Roman"/>
          <w:sz w:val="20"/>
        </w:rPr>
        <w:t xml:space="preserve">– </w:t>
      </w:r>
      <w:r>
        <w:rPr>
          <w:rFonts w:ascii="Times New Roman;serif" w:hAnsi="Times New Roman;serif"/>
          <w:b w:val="false"/>
          <w:i/>
          <w:sz w:val="20"/>
        </w:rPr>
        <w:t>Stockholders' Equity.</w:t>
      </w:r>
      <w:r>
        <w:rPr>
          <w:rFonts w:ascii="Times New Roman" w:hAnsi="Times New Roman"/>
          <w:sz w:val="20"/>
        </w:rPr>
        <w:t xml:space="preserve">” </w:t>
      </w:r>
      <w:r>
        <w:rPr>
          <w:rFonts w:ascii="Times New Roman;serif" w:hAnsi="Times New Roman;serif"/>
          <w:b w:val="false"/>
          <w:sz w:val="20"/>
        </w:rPr>
        <w:t>Accordingly, there were no</w:t>
      </w:r>
      <w:r>
        <w:rPr>
          <w:rFonts w:ascii="Times New Roman" w:hAnsi="Times New Roman"/>
          <w:sz w:val="20"/>
        </w:rPr>
        <w:t xml:space="preserve"> </w:t>
      </w:r>
      <w:r>
        <w:rPr>
          <w:rFonts w:ascii="Times New Roman;serif" w:hAnsi="Times New Roman;serif"/>
          <w:b w:val="false"/>
          <w:sz w:val="20"/>
        </w:rPr>
        <w:t>ESPP grants during the three months ended March 31, 2023. The following assumptions were used to value the ESPP shares granted during the three months ended March 31, 2022:</w:t>
      </w:r>
    </w:p>
    <w:p>
      <w:pPr>
        <w:pStyle w:val="TextBody"/>
        <w:spacing w:before="0" w:after="0"/>
        <w:jc w:val="left"/>
        <w:rPr/>
      </w:pPr>
      <w:r>
        <w:rPr/>
        <w:t> </w:t>
      </w:r>
    </w:p>
    <w:tbl>
      <w:tblPr>
        <w:tblW w:w="3448" w:type="dxa"/>
        <w:jc w:val="left"/>
        <w:tblInd w:w="0" w:type="dxa"/>
        <w:tblCellMar>
          <w:top w:w="28" w:type="dxa"/>
          <w:left w:w="28" w:type="dxa"/>
          <w:bottom w:w="28" w:type="dxa"/>
          <w:right w:w="28" w:type="dxa"/>
        </w:tblCellMar>
      </w:tblPr>
      <w:tblGrid>
        <w:gridCol w:w="1846"/>
        <w:gridCol w:w="146"/>
        <w:gridCol w:w="271"/>
        <w:gridCol w:w="869"/>
        <w:gridCol w:w="316"/>
      </w:tblGrid>
      <w:tr>
        <w:trPr/>
        <w:tc>
          <w:tcPr>
            <w:tcW w:w="18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869"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18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March 2022</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8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life (years)</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8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316" w:type="dxa"/>
            <w:tcBorders/>
            <w:shd w:fill="auto" w:val="clear"/>
            <w:vAlign w:val="center"/>
          </w:tcPr>
          <w:p>
            <w:pPr>
              <w:pStyle w:val="TableContents"/>
              <w:spacing w:before="0" w:after="0"/>
              <w:ind w:left="0" w:right="0" w:hanging="0"/>
              <w:jc w:val="left"/>
              <w:rPr/>
            </w:pPr>
            <w:r>
              <w:rPr/>
              <w:t> </w:t>
            </w:r>
          </w:p>
        </w:tc>
      </w:tr>
      <w:tr>
        <w:trPr/>
        <w:tc>
          <w:tcPr>
            <w:tcW w:w="18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Risk-free interest rate</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8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8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Dividend yield</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8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8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volatility</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8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48.5</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25</w:t>
      </w:r>
    </w:p>
    <w:p>
      <w:pPr>
        <w:pStyle w:val="HorizontalLine"/>
        <w:rPr/>
      </w:pPr>
      <w:r>
        <w:rPr/>
      </w:r>
    </w:p>
    <w:p>
      <w:pPr>
        <w:pStyle w:val="TextBody"/>
        <w:spacing w:before="0" w:after="0"/>
        <w:jc w:val="left"/>
        <w:rPr/>
      </w:pPr>
      <w:r>
        <w:rPr/>
        <w:t> </w:t>
      </w:r>
    </w:p>
    <w:p>
      <w:pPr>
        <w:pStyle w:val="TextBody"/>
        <w:spacing w:before="40" w:after="0"/>
        <w:jc w:val="left"/>
        <w:rPr>
          <w:rFonts w:ascii="Times New Roman;serif" w:hAnsi="Times New Roman;serif"/>
          <w:b/>
          <w:sz w:val="20"/>
        </w:rPr>
      </w:pPr>
      <w:r>
        <w:rPr>
          <w:rFonts w:ascii="Times New Roman;serif" w:hAnsi="Times New Roman;serif"/>
          <w:b/>
          <w:sz w:val="20"/>
        </w:rPr>
        <w:t>NOTE 13 – INCOME TAXES</w:t>
      </w:r>
    </w:p>
    <w:p>
      <w:pPr>
        <w:pStyle w:val="TextBody"/>
        <w:spacing w:before="240" w:after="0"/>
        <w:jc w:val="left"/>
        <w:rPr>
          <w:rFonts w:ascii="Times New Roman" w:hAnsi="Times New Roman"/>
          <w:sz w:val="20"/>
        </w:rPr>
      </w:pPr>
      <w:r>
        <w:rPr>
          <w:rFonts w:ascii="Times New Roman;serif" w:hAnsi="Times New Roman;serif"/>
          <w:b w:val="false"/>
          <w:sz w:val="20"/>
        </w:rPr>
        <w:t>For the three months ended March 31, 2023, the Company recorded an income tax expense of $11.8</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on pretax income of $40.8</w:t>
      </w:r>
      <w:r>
        <w:rPr>
          <w:rFonts w:ascii="Times New Roman" w:hAnsi="Times New Roman"/>
          <w:sz w:val="20"/>
        </w:rPr>
        <w:t xml:space="preserve"> </w:t>
      </w:r>
      <w:r>
        <w:rPr>
          <w:rFonts w:ascii="Times New Roman;serif" w:hAnsi="Times New Roman;serif"/>
          <w:b w:val="false"/>
          <w:sz w:val="20"/>
        </w:rPr>
        <w:t>million, which resulted in an effective tax rate of 28.9% for the three months ended March 31, 2023. The income tax expense for the three months ended March 31, 2023 was primarily related to foreign withholding taxes, U.S. federal and state income taxes, and unrealized foreign exchange loss from the prior year South Korea refund claims, offset by U.S. foreign tax credits. The Company’s effective tax rate was based on a projected 2023 U.S. GAAP pretax income and varies from the 21% U.S. federal tax rate. The Company's effective tax rate varies period over period because the most significant components of tax expense, foreign withholding taxes and foreign exchange gains or losses on the South Korea withholding tax refund claims, are not directly affected by changes in pre-tax income.</w:t>
      </w:r>
    </w:p>
    <w:p>
      <w:pPr>
        <w:pStyle w:val="TextBody"/>
        <w:spacing w:before="240" w:after="0"/>
        <w:jc w:val="left"/>
        <w:rPr>
          <w:rFonts w:ascii="Times New Roman" w:hAnsi="Times New Roman"/>
          <w:sz w:val="20"/>
        </w:rPr>
      </w:pPr>
      <w:r>
        <w:rPr>
          <w:rFonts w:ascii="Times New Roman;serif" w:hAnsi="Times New Roman;serif"/>
          <w:b w:val="false"/>
          <w:sz w:val="20"/>
        </w:rPr>
        <w:t>For the three months ended March 31, 2022, the Company recorded an income tax expense of $5.5</w:t>
      </w:r>
      <w:r>
        <w:rPr>
          <w:rFonts w:ascii="Times New Roman" w:hAnsi="Times New Roman"/>
          <w:sz w:val="20"/>
        </w:rPr>
        <w:t xml:space="preserve"> </w:t>
      </w:r>
      <w:r>
        <w:rPr>
          <w:rFonts w:ascii="Times New Roman;serif" w:hAnsi="Times New Roman;serif"/>
          <w:b w:val="false"/>
          <w:sz w:val="20"/>
        </w:rPr>
        <w:t>million on pretax income of $61.4</w:t>
      </w:r>
      <w:r>
        <w:rPr>
          <w:rFonts w:ascii="Times New Roman" w:hAnsi="Times New Roman"/>
          <w:sz w:val="20"/>
        </w:rPr>
        <w:t xml:space="preserve"> </w:t>
      </w:r>
      <w:r>
        <w:rPr>
          <w:rFonts w:ascii="Times New Roman;serif" w:hAnsi="Times New Roman;serif"/>
          <w:b w:val="false"/>
          <w:sz w:val="20"/>
        </w:rPr>
        <w:t>million, which resulted in an effective tax rate of 9.0%. The income tax expense for the three months ended March 31, 2022 was primarily related to foreign withholding taxes, state income taxes and unrealized foreign exchange loss from the prior year South Korea refund claims. The recorded effective tax rate was lower than the applicable statutory tax rate due to income earned in jurisdictions for which a full valuation allowance was recorded.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sz w:val="20"/>
        </w:rPr>
        <w:t>NOTE 14 – LEASES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The Company leases office and research facilities and office equipment under operating leases which expire through 2027. The Company’s leases have remaining lease terms of two</w:t>
      </w:r>
      <w:r>
        <w:rPr>
          <w:rFonts w:ascii="Times New Roman;serif" w:hAnsi="Times New Roman;serif"/>
          <w:sz w:val="20"/>
        </w:rPr>
        <w:t xml:space="preserve"> </w:t>
      </w:r>
      <w:r>
        <w:rPr>
          <w:rFonts w:ascii="Times New Roman;serif" w:hAnsi="Times New Roman;serif"/>
          <w:b w:val="false"/>
          <w:sz w:val="20"/>
        </w:rPr>
        <w:t>to four years, some of which may include options to extend</w:t>
      </w:r>
      <w:r>
        <w:rPr>
          <w:rFonts w:ascii="Times New Roman;serif" w:hAnsi="Times New Roman;serif"/>
          <w:sz w:val="20"/>
        </w:rPr>
        <w:t xml:space="preserve"> </w:t>
      </w:r>
      <w:r>
        <w:rPr>
          <w:rFonts w:ascii="Times New Roman;serif" w:hAnsi="Times New Roman;serif"/>
          <w:b w:val="false"/>
          <w:sz w:val="20"/>
        </w:rPr>
        <w:t>the leases for five years</w:t>
      </w:r>
      <w:r>
        <w:rPr>
          <w:rFonts w:ascii="Times New Roman;serif" w:hAnsi="Times New Roman;serif"/>
          <w:sz w:val="20"/>
        </w:rPr>
        <w:t xml:space="preserve"> </w:t>
      </w:r>
      <w:r>
        <w:rPr>
          <w:rFonts w:ascii="Times New Roman;serif" w:hAnsi="Times New Roman;serif"/>
          <w:b w:val="false"/>
          <w:sz w:val="20"/>
        </w:rPr>
        <w:t>or longer, and some of which may include options to terminate the leases within the next five years or less. Leases with an initial term of 12 months or less are not recorded on the Condensed Consolidated Balance Sheets;</w:t>
      </w:r>
      <w:r>
        <w:rPr>
          <w:rFonts w:ascii="Times New Roman" w:hAnsi="Times New Roman"/>
          <w:sz w:val="20"/>
        </w:rPr>
        <w:t xml:space="preserve"> </w:t>
      </w:r>
      <w:r>
        <w:rPr>
          <w:rFonts w:ascii="Times New Roman;serif" w:hAnsi="Times New Roman;serif"/>
          <w:b w:val="false"/>
          <w:sz w:val="20"/>
        </w:rPr>
        <w:t>expense for these leases is recognized on a straight-line basis over the lease term. Variable lease payments are expensed as incurred and are not included within the lease liability and right-of-use assets calculation. As a practical expedient, the Company elected, for all office and facility leases, not to separate nonlease components (e.g., common-area maintenance costs) from lease components (e.g., fixed payments including rent) and instead to account for each separate lease component and its associated non-lease components as a single lease component. As most of the leases do not provide an implicit rate, the Company generally, for purposes of discounting lease payments, uses its incremental borrowing rate based on the estimated rate of interest for collateralized borrowing over a similar term of the lease payments at commencement date.</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components of operating lease costs were as follows (in thousands):</w:t>
      </w:r>
    </w:p>
    <w:p>
      <w:pPr>
        <w:pStyle w:val="TextBody"/>
        <w:spacing w:before="0" w:after="0"/>
        <w:jc w:val="left"/>
        <w:rPr/>
      </w:pPr>
      <w:r>
        <w:rPr/>
        <w:t> </w:t>
      </w:r>
    </w:p>
    <w:tbl>
      <w:tblPr>
        <w:tblW w:w="4461" w:type="dxa"/>
        <w:jc w:val="left"/>
        <w:tblInd w:w="0" w:type="dxa"/>
        <w:tblCellMar>
          <w:top w:w="28" w:type="dxa"/>
          <w:left w:w="28" w:type="dxa"/>
          <w:bottom w:w="28" w:type="dxa"/>
          <w:right w:w="28" w:type="dxa"/>
        </w:tblCellMar>
      </w:tblPr>
      <w:tblGrid>
        <w:gridCol w:w="2206"/>
        <w:gridCol w:w="146"/>
        <w:gridCol w:w="260"/>
        <w:gridCol w:w="519"/>
        <w:gridCol w:w="180"/>
        <w:gridCol w:w="180"/>
        <w:gridCol w:w="260"/>
        <w:gridCol w:w="519"/>
        <w:gridCol w:w="191"/>
      </w:tblGrid>
      <w:tr>
        <w:trPr/>
        <w:tc>
          <w:tcPr>
            <w:tcW w:w="22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20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1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 xml:space="preserve">Three Months Ended </w:t>
              <w:br/>
              <w:t>March 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20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7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80" w:type="dxa"/>
            <w:tcBorders/>
            <w:shd w:fill="auto" w:val="clear"/>
            <w:vAlign w:val="center"/>
          </w:tcPr>
          <w:p>
            <w:pPr>
              <w:pStyle w:val="TableContents"/>
              <w:spacing w:before="0" w:after="0"/>
              <w:ind w:left="0" w:right="0" w:hanging="0"/>
              <w:jc w:val="center"/>
              <w:rPr/>
            </w:pPr>
            <w:r>
              <w:rPr/>
              <w:t> </w:t>
            </w:r>
          </w:p>
        </w:tc>
        <w:tc>
          <w:tcPr>
            <w:tcW w:w="77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2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Fixed lease cost</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1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571</w:t>
            </w:r>
          </w:p>
        </w:tc>
        <w:tc>
          <w:tcPr>
            <w:tcW w:w="180" w:type="dxa"/>
            <w:tcBorders/>
            <w:shd w:fill="auto" w:val="clear"/>
            <w:vAlign w:val="center"/>
          </w:tcPr>
          <w:p>
            <w:pPr>
              <w:pStyle w:val="TableContents"/>
              <w:spacing w:before="0" w:after="0"/>
              <w:ind w:left="0" w:right="0" w:hanging="0"/>
              <w:jc w:val="left"/>
              <w:rPr/>
            </w:pPr>
            <w:r>
              <w:rPr/>
              <w:t> </w:t>
            </w:r>
          </w:p>
        </w:tc>
        <w:tc>
          <w:tcPr>
            <w:tcW w:w="180"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1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504</w:t>
            </w:r>
          </w:p>
        </w:tc>
        <w:tc>
          <w:tcPr>
            <w:tcW w:w="191" w:type="dxa"/>
            <w:tcBorders/>
            <w:shd w:fill="auto" w:val="clear"/>
            <w:vAlign w:val="center"/>
          </w:tcPr>
          <w:p>
            <w:pPr>
              <w:pStyle w:val="TableContents"/>
              <w:spacing w:before="0" w:after="0"/>
              <w:ind w:left="0" w:right="0" w:hanging="0"/>
              <w:jc w:val="left"/>
              <w:rPr/>
            </w:pPr>
            <w:r>
              <w:rPr/>
              <w:t> </w:t>
            </w:r>
          </w:p>
        </w:tc>
      </w:tr>
      <w:tr>
        <w:trPr/>
        <w:tc>
          <w:tcPr>
            <w:tcW w:w="22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Variable lease cost</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151</w:t>
            </w:r>
          </w:p>
        </w:tc>
        <w:tc>
          <w:tcPr>
            <w:tcW w:w="1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0" w:type="dxa"/>
            <w:tcBorders/>
            <w:shd w:fill="auto" w:val="clear"/>
            <w:vAlign w:val="center"/>
          </w:tcPr>
          <w:p>
            <w:pPr>
              <w:pStyle w:val="TableContents"/>
              <w:spacing w:before="0" w:after="0"/>
              <w:ind w:left="0" w:right="0" w:hanging="0"/>
              <w:jc w:val="center"/>
              <w:rPr/>
            </w:pPr>
            <w:r>
              <w:rPr/>
              <w:t> </w:t>
            </w:r>
          </w:p>
        </w:tc>
        <w:tc>
          <w:tcPr>
            <w:tcW w:w="2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219</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2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operating lease cost</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1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722</w:t>
            </w:r>
          </w:p>
        </w:tc>
        <w:tc>
          <w:tcPr>
            <w:tcW w:w="18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0" w:type="dxa"/>
            <w:tcBorders/>
            <w:shd w:fill="auto" w:val="clear"/>
            <w:vAlign w:val="center"/>
          </w:tcPr>
          <w:p>
            <w:pPr>
              <w:pStyle w:val="TableContents"/>
              <w:spacing w:before="0" w:after="0"/>
              <w:ind w:left="0" w:right="0" w:hanging="0"/>
              <w:jc w:val="left"/>
              <w:rPr/>
            </w:pPr>
            <w:r>
              <w:rPr/>
              <w:t> </w:t>
            </w:r>
          </w:p>
        </w:tc>
        <w:tc>
          <w:tcPr>
            <w:tcW w:w="26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1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723</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40" w:after="0"/>
        <w:jc w:val="left"/>
        <w:rPr>
          <w:rFonts w:ascii="Times New Roman;serif" w:hAnsi="Times New Roman;serif"/>
          <w:b w:val="false"/>
          <w:sz w:val="20"/>
        </w:rPr>
      </w:pPr>
      <w:r>
        <w:rPr>
          <w:rFonts w:ascii="Times New Roman;serif" w:hAnsi="Times New Roman;serif"/>
          <w:b w:val="false"/>
          <w:sz w:val="20"/>
        </w:rPr>
        <w:t>Other information related to leases was as follows (in thousands, except lease term and discount rate):</w:t>
      </w:r>
    </w:p>
    <w:p>
      <w:pPr>
        <w:pStyle w:val="TextBody"/>
        <w:spacing w:before="0" w:after="0"/>
        <w:jc w:val="left"/>
        <w:rPr/>
      </w:pPr>
      <w:r>
        <w:rPr/>
        <w:t> </w:t>
      </w:r>
    </w:p>
    <w:tbl>
      <w:tblPr>
        <w:tblW w:w="8316" w:type="dxa"/>
        <w:jc w:val="left"/>
        <w:tblInd w:w="0" w:type="dxa"/>
        <w:tblCellMar>
          <w:top w:w="28" w:type="dxa"/>
          <w:left w:w="28" w:type="dxa"/>
          <w:bottom w:w="28" w:type="dxa"/>
          <w:right w:w="28" w:type="dxa"/>
        </w:tblCellMar>
      </w:tblPr>
      <w:tblGrid>
        <w:gridCol w:w="6061"/>
        <w:gridCol w:w="146"/>
        <w:gridCol w:w="237"/>
        <w:gridCol w:w="474"/>
        <w:gridCol w:w="164"/>
        <w:gridCol w:w="164"/>
        <w:gridCol w:w="237"/>
        <w:gridCol w:w="642"/>
        <w:gridCol w:w="191"/>
      </w:tblGrid>
      <w:tr>
        <w:trPr/>
        <w:tc>
          <w:tcPr>
            <w:tcW w:w="60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642"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606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91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 xml:space="preserve">Three Months Ended </w:t>
              <w:br/>
              <w:t>March 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06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1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4" w:type="dxa"/>
            <w:tcBorders/>
            <w:shd w:fill="auto" w:val="clear"/>
            <w:vAlign w:val="center"/>
          </w:tcPr>
          <w:p>
            <w:pPr>
              <w:pStyle w:val="TableContents"/>
              <w:spacing w:before="0" w:after="0"/>
              <w:ind w:left="0" w:right="0" w:hanging="0"/>
              <w:jc w:val="left"/>
              <w:rPr/>
            </w:pPr>
            <w:r>
              <w:rPr/>
              <w:t> </w:t>
            </w:r>
          </w:p>
        </w:tc>
        <w:tc>
          <w:tcPr>
            <w:tcW w:w="87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06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Cash paid for amounts included in the measurement of lease liabilities:</w:t>
            </w:r>
          </w:p>
        </w:tc>
        <w:tc>
          <w:tcPr>
            <w:tcW w:w="146" w:type="dxa"/>
            <w:tcBorders/>
            <w:shd w:fill="auto" w:val="clear"/>
            <w:vAlign w:val="center"/>
          </w:tcPr>
          <w:p>
            <w:pPr>
              <w:pStyle w:val="TableContents"/>
              <w:spacing w:before="0" w:after="0"/>
              <w:ind w:left="0" w:right="0" w:hanging="0"/>
              <w:jc w:val="left"/>
              <w:rPr/>
            </w:pPr>
            <w:r>
              <w:rPr/>
              <w:t> </w:t>
            </w:r>
          </w:p>
        </w:tc>
        <w:tc>
          <w:tcPr>
            <w:tcW w:w="711" w:type="dxa"/>
            <w:gridSpan w:val="2"/>
            <w:tcBorders/>
            <w:shd w:fill="auto" w:val="clear"/>
            <w:vAlign w:val="center"/>
          </w:tcPr>
          <w:p>
            <w:pPr>
              <w:pStyle w:val="TableContents"/>
              <w:spacing w:before="0" w:after="0"/>
              <w:ind w:left="0" w:right="0" w:hanging="0"/>
              <w:jc w:val="right"/>
              <w:rPr/>
            </w:pPr>
            <w:r>
              <w:rPr/>
              <w:t> </w:t>
            </w:r>
          </w:p>
        </w:tc>
        <w:tc>
          <w:tcPr>
            <w:tcW w:w="164" w:type="dxa"/>
            <w:tcBorders/>
            <w:shd w:fill="auto" w:val="clear"/>
            <w:vAlign w:val="center"/>
          </w:tcPr>
          <w:p>
            <w:pPr>
              <w:pStyle w:val="TableContents"/>
              <w:spacing w:before="0" w:after="0"/>
              <w:ind w:left="0" w:right="0" w:hanging="0"/>
              <w:jc w:val="right"/>
              <w:rPr/>
            </w:pPr>
            <w:r>
              <w:rPr/>
              <w:t> </w:t>
            </w:r>
          </w:p>
        </w:tc>
        <w:tc>
          <w:tcPr>
            <w:tcW w:w="164" w:type="dxa"/>
            <w:tcBorders/>
            <w:shd w:fill="auto" w:val="clear"/>
            <w:vAlign w:val="center"/>
          </w:tcPr>
          <w:p>
            <w:pPr>
              <w:pStyle w:val="TableContents"/>
              <w:spacing w:before="0" w:after="0"/>
              <w:ind w:left="0" w:right="0" w:hanging="0"/>
              <w:jc w:val="right"/>
              <w:rPr/>
            </w:pPr>
            <w:r>
              <w:rPr/>
              <w:t> </w:t>
            </w:r>
          </w:p>
        </w:tc>
        <w:tc>
          <w:tcPr>
            <w:tcW w:w="879" w:type="dxa"/>
            <w:gridSpan w:val="2"/>
            <w:tcBorders/>
            <w:shd w:fill="auto" w:val="clear"/>
            <w:vAlign w:val="center"/>
          </w:tcPr>
          <w:p>
            <w:pPr>
              <w:pStyle w:val="TableContents"/>
              <w:spacing w:before="0" w:after="0"/>
              <w:ind w:left="0" w:right="0" w:hanging="0"/>
              <w:jc w:val="right"/>
              <w:rPr/>
            </w:pPr>
            <w:r>
              <w:rPr/>
              <w:t> </w:t>
            </w:r>
          </w:p>
        </w:tc>
        <w:tc>
          <w:tcPr>
            <w:tcW w:w="191" w:type="dxa"/>
            <w:tcBorders/>
            <w:shd w:fill="auto" w:val="clear"/>
            <w:vAlign w:val="center"/>
          </w:tcPr>
          <w:p>
            <w:pPr>
              <w:pStyle w:val="TableContents"/>
              <w:spacing w:before="0" w:after="0"/>
              <w:ind w:left="0" w:right="0" w:hanging="0"/>
              <w:jc w:val="right"/>
              <w:rPr/>
            </w:pPr>
            <w:r>
              <w:rPr/>
              <w:t> </w:t>
            </w:r>
          </w:p>
        </w:tc>
      </w:tr>
      <w:tr>
        <w:trPr/>
        <w:tc>
          <w:tcPr>
            <w:tcW w:w="60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cash flows from operating leases</w:t>
            </w:r>
          </w:p>
        </w:tc>
        <w:tc>
          <w:tcPr>
            <w:tcW w:w="146" w:type="dxa"/>
            <w:tcBorders/>
            <w:shd w:fill="auto" w:val="clear"/>
            <w:vAlign w:val="center"/>
          </w:tcPr>
          <w:p>
            <w:pPr>
              <w:pStyle w:val="TableContents"/>
              <w:spacing w:before="0" w:after="0"/>
              <w:ind w:left="0" w:right="0" w:hanging="0"/>
              <w:jc w:val="left"/>
              <w:rPr/>
            </w:pPr>
            <w:r>
              <w:rPr/>
              <w:t> </w:t>
            </w:r>
          </w:p>
        </w:tc>
        <w:tc>
          <w:tcPr>
            <w:tcW w:w="23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588</w:t>
            </w:r>
          </w:p>
        </w:tc>
        <w:tc>
          <w:tcPr>
            <w:tcW w:w="1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4" w:type="dxa"/>
            <w:tcBorders/>
            <w:shd w:fill="auto" w:val="clear"/>
            <w:vAlign w:val="center"/>
          </w:tcPr>
          <w:p>
            <w:pPr>
              <w:pStyle w:val="TableContents"/>
              <w:spacing w:before="0" w:after="0"/>
              <w:ind w:left="0" w:right="0" w:hanging="0"/>
              <w:jc w:val="right"/>
              <w:rPr/>
            </w:pPr>
            <w:r>
              <w:rPr/>
              <w:t> </w:t>
            </w:r>
          </w:p>
        </w:tc>
        <w:tc>
          <w:tcPr>
            <w:tcW w:w="23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550</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06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ROU assets obtained in exchange for new lease liabilities:</w:t>
            </w:r>
          </w:p>
        </w:tc>
        <w:tc>
          <w:tcPr>
            <w:tcW w:w="146" w:type="dxa"/>
            <w:tcBorders/>
            <w:shd w:fill="auto" w:val="clear"/>
            <w:vAlign w:val="center"/>
          </w:tcPr>
          <w:p>
            <w:pPr>
              <w:pStyle w:val="TableContents"/>
              <w:spacing w:before="0" w:after="0"/>
              <w:ind w:left="0" w:right="0" w:hanging="0"/>
              <w:jc w:val="left"/>
              <w:rPr/>
            </w:pPr>
            <w:r>
              <w:rPr/>
              <w:t> </w:t>
            </w:r>
          </w:p>
        </w:tc>
        <w:tc>
          <w:tcPr>
            <w:tcW w:w="711" w:type="dxa"/>
            <w:gridSpan w:val="2"/>
            <w:tcBorders/>
            <w:shd w:fill="auto" w:val="clear"/>
            <w:vAlign w:val="center"/>
          </w:tcPr>
          <w:p>
            <w:pPr>
              <w:pStyle w:val="TableContents"/>
              <w:spacing w:before="0" w:after="0"/>
              <w:ind w:left="0" w:right="0" w:hanging="0"/>
              <w:jc w:val="right"/>
              <w:rPr/>
            </w:pPr>
            <w:r>
              <w:rPr/>
              <w:t> </w:t>
            </w:r>
          </w:p>
        </w:tc>
        <w:tc>
          <w:tcPr>
            <w:tcW w:w="164" w:type="dxa"/>
            <w:tcBorders/>
            <w:shd w:fill="auto" w:val="clear"/>
            <w:vAlign w:val="center"/>
          </w:tcPr>
          <w:p>
            <w:pPr>
              <w:pStyle w:val="TableContents"/>
              <w:spacing w:before="0" w:after="0"/>
              <w:ind w:left="0" w:right="0" w:hanging="0"/>
              <w:jc w:val="right"/>
              <w:rPr/>
            </w:pPr>
            <w:r>
              <w:rPr/>
              <w:t> </w:t>
            </w:r>
          </w:p>
        </w:tc>
        <w:tc>
          <w:tcPr>
            <w:tcW w:w="164" w:type="dxa"/>
            <w:tcBorders/>
            <w:shd w:fill="auto" w:val="clear"/>
            <w:vAlign w:val="center"/>
          </w:tcPr>
          <w:p>
            <w:pPr>
              <w:pStyle w:val="TableContents"/>
              <w:spacing w:before="0" w:after="0"/>
              <w:ind w:left="0" w:right="0" w:hanging="0"/>
              <w:jc w:val="left"/>
              <w:rPr/>
            </w:pPr>
            <w:r>
              <w:rPr/>
              <w:t> </w:t>
            </w:r>
          </w:p>
        </w:tc>
        <w:tc>
          <w:tcPr>
            <w:tcW w:w="879" w:type="dxa"/>
            <w:gridSpan w:val="2"/>
            <w:tcBorders/>
            <w:shd w:fill="auto" w:val="clear"/>
            <w:vAlign w:val="center"/>
          </w:tcPr>
          <w:p>
            <w:pPr>
              <w:pStyle w:val="TableContents"/>
              <w:spacing w:before="0" w:after="0"/>
              <w:ind w:left="0" w:right="0" w:hanging="0"/>
              <w:jc w:val="right"/>
              <w:rPr/>
            </w:pPr>
            <w:r>
              <w:rPr/>
              <w:t> </w:t>
            </w:r>
          </w:p>
        </w:tc>
        <w:tc>
          <w:tcPr>
            <w:tcW w:w="191" w:type="dxa"/>
            <w:tcBorders/>
            <w:shd w:fill="auto" w:val="clear"/>
            <w:vAlign w:val="center"/>
          </w:tcPr>
          <w:p>
            <w:pPr>
              <w:pStyle w:val="TableContents"/>
              <w:spacing w:before="0" w:after="0"/>
              <w:ind w:left="0" w:right="0" w:hanging="0"/>
              <w:jc w:val="right"/>
              <w:rPr/>
            </w:pPr>
            <w:r>
              <w:rPr/>
              <w:t> </w:t>
            </w:r>
          </w:p>
        </w:tc>
      </w:tr>
      <w:tr>
        <w:trPr/>
        <w:tc>
          <w:tcPr>
            <w:tcW w:w="60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leases</w:t>
            </w:r>
          </w:p>
        </w:tc>
        <w:tc>
          <w:tcPr>
            <w:tcW w:w="146" w:type="dxa"/>
            <w:tcBorders/>
            <w:shd w:fill="auto" w:val="clear"/>
            <w:vAlign w:val="center"/>
          </w:tcPr>
          <w:p>
            <w:pPr>
              <w:pStyle w:val="TableContents"/>
              <w:spacing w:before="0" w:after="0"/>
              <w:ind w:left="0" w:right="0" w:hanging="0"/>
              <w:jc w:val="left"/>
              <w:rPr/>
            </w:pPr>
            <w:r>
              <w:rPr/>
              <w:t> </w:t>
            </w:r>
          </w:p>
        </w:tc>
        <w:tc>
          <w:tcPr>
            <w:tcW w:w="23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4" w:type="dxa"/>
            <w:tcBorders/>
            <w:shd w:fill="auto" w:val="clear"/>
            <w:vAlign w:val="center"/>
          </w:tcPr>
          <w:p>
            <w:pPr>
              <w:pStyle w:val="TableContents"/>
              <w:spacing w:before="0" w:after="0"/>
              <w:ind w:left="0" w:right="0" w:hanging="0"/>
              <w:jc w:val="left"/>
              <w:rPr/>
            </w:pPr>
            <w:r>
              <w:rPr/>
              <w:t> </w:t>
            </w:r>
          </w:p>
        </w:tc>
        <w:tc>
          <w:tcPr>
            <w:tcW w:w="23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1,153</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pPr>
      <w:r>
        <w:rPr/>
        <w:t> </w:t>
      </w:r>
    </w:p>
    <w:tbl>
      <w:tblPr>
        <w:tblW w:w="8260" w:type="dxa"/>
        <w:jc w:val="left"/>
        <w:tblInd w:w="0" w:type="dxa"/>
        <w:tblCellMar>
          <w:top w:w="28" w:type="dxa"/>
          <w:left w:w="28" w:type="dxa"/>
          <w:bottom w:w="28" w:type="dxa"/>
          <w:right w:w="28" w:type="dxa"/>
        </w:tblCellMar>
      </w:tblPr>
      <w:tblGrid>
        <w:gridCol w:w="4216"/>
        <w:gridCol w:w="146"/>
        <w:gridCol w:w="343"/>
        <w:gridCol w:w="1097"/>
        <w:gridCol w:w="271"/>
        <w:gridCol w:w="146"/>
        <w:gridCol w:w="411"/>
        <w:gridCol w:w="1314"/>
        <w:gridCol w:w="316"/>
      </w:tblGrid>
      <w:tr>
        <w:trPr/>
        <w:tc>
          <w:tcPr>
            <w:tcW w:w="42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1097"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1314"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42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4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March 31, 2023</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2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December 31, 2022</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21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Weighted-average remaining lease term (years):</w:t>
            </w:r>
          </w:p>
        </w:tc>
        <w:tc>
          <w:tcPr>
            <w:tcW w:w="146" w:type="dxa"/>
            <w:tcBorders/>
            <w:shd w:fill="auto" w:val="clear"/>
            <w:vAlign w:val="center"/>
          </w:tcPr>
          <w:p>
            <w:pPr>
              <w:pStyle w:val="TableContents"/>
              <w:spacing w:before="0" w:after="0"/>
              <w:ind w:left="0" w:right="0" w:hanging="0"/>
              <w:jc w:val="left"/>
              <w:rPr/>
            </w:pPr>
            <w:r>
              <w:rPr/>
              <w:t> </w:t>
            </w:r>
          </w:p>
        </w:tc>
        <w:tc>
          <w:tcPr>
            <w:tcW w:w="1440" w:type="dxa"/>
            <w:gridSpan w:val="2"/>
            <w:tcBorders/>
            <w:shd w:fill="auto" w:val="clear"/>
            <w:vAlign w:val="center"/>
          </w:tcPr>
          <w:p>
            <w:pPr>
              <w:pStyle w:val="TableContents"/>
              <w:spacing w:before="0" w:after="0"/>
              <w:ind w:left="0" w:right="0" w:hanging="0"/>
              <w:jc w:val="right"/>
              <w:rPr/>
            </w:pPr>
            <w:r>
              <w:rPr/>
              <w:t> </w:t>
            </w:r>
          </w:p>
        </w:tc>
        <w:tc>
          <w:tcPr>
            <w:tcW w:w="27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25" w:type="dxa"/>
            <w:gridSpan w:val="2"/>
            <w:tcBorders/>
            <w:shd w:fill="auto" w:val="clear"/>
            <w:vAlign w:val="center"/>
          </w:tcPr>
          <w:p>
            <w:pPr>
              <w:pStyle w:val="TableContents"/>
              <w:spacing w:before="0" w:after="0"/>
              <w:ind w:left="0" w:right="0" w:hanging="0"/>
              <w:jc w:val="right"/>
              <w:rPr/>
            </w:pPr>
            <w:r>
              <w:rPr/>
              <w:t> </w:t>
            </w:r>
          </w:p>
        </w:tc>
        <w:tc>
          <w:tcPr>
            <w:tcW w:w="316" w:type="dxa"/>
            <w:tcBorders/>
            <w:shd w:fill="auto" w:val="clear"/>
            <w:vAlign w:val="center"/>
          </w:tcPr>
          <w:p>
            <w:pPr>
              <w:pStyle w:val="TableContents"/>
              <w:spacing w:before="0" w:after="0"/>
              <w:ind w:left="0" w:right="0" w:hanging="0"/>
              <w:jc w:val="right"/>
              <w:rPr/>
            </w:pPr>
            <w:r>
              <w:rPr/>
              <w:t> </w:t>
            </w:r>
          </w:p>
        </w:tc>
      </w:tr>
      <w:tr>
        <w:trPr/>
        <w:tc>
          <w:tcPr>
            <w:tcW w:w="42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leases</w:t>
            </w:r>
          </w:p>
        </w:tc>
        <w:tc>
          <w:tcPr>
            <w:tcW w:w="146" w:type="dxa"/>
            <w:tcBorders/>
            <w:shd w:fill="auto" w:val="clear"/>
            <w:vAlign w:val="center"/>
          </w:tcPr>
          <w:p>
            <w:pPr>
              <w:pStyle w:val="TableContents"/>
              <w:spacing w:before="0" w:after="0"/>
              <w:ind w:left="0" w:right="0" w:hanging="0"/>
              <w:jc w:val="left"/>
              <w:rPr/>
            </w:pPr>
            <w:r>
              <w:rPr/>
              <w:t> </w:t>
            </w:r>
          </w:p>
        </w:tc>
        <w:tc>
          <w:tcPr>
            <w:tcW w:w="3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2.95</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3.19</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21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Weighted-average discount rate:</w:t>
            </w:r>
          </w:p>
        </w:tc>
        <w:tc>
          <w:tcPr>
            <w:tcW w:w="146" w:type="dxa"/>
            <w:tcBorders/>
            <w:shd w:fill="auto" w:val="clear"/>
            <w:vAlign w:val="center"/>
          </w:tcPr>
          <w:p>
            <w:pPr>
              <w:pStyle w:val="TableContents"/>
              <w:spacing w:before="0" w:after="0"/>
              <w:ind w:left="0" w:right="0" w:hanging="0"/>
              <w:jc w:val="left"/>
              <w:rPr/>
            </w:pPr>
            <w:r>
              <w:rPr/>
              <w:t> </w:t>
            </w:r>
          </w:p>
        </w:tc>
        <w:tc>
          <w:tcPr>
            <w:tcW w:w="1440" w:type="dxa"/>
            <w:gridSpan w:val="2"/>
            <w:tcBorders/>
            <w:shd w:fill="auto" w:val="clear"/>
            <w:vAlign w:val="center"/>
          </w:tcPr>
          <w:p>
            <w:pPr>
              <w:pStyle w:val="TableContents"/>
              <w:spacing w:before="0" w:after="0"/>
              <w:ind w:left="0" w:right="0" w:hanging="0"/>
              <w:jc w:val="right"/>
              <w:rPr/>
            </w:pPr>
            <w:r>
              <w:rPr/>
              <w:t> </w:t>
            </w:r>
          </w:p>
        </w:tc>
        <w:tc>
          <w:tcPr>
            <w:tcW w:w="27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25" w:type="dxa"/>
            <w:gridSpan w:val="2"/>
            <w:tcBorders/>
            <w:shd w:fill="auto" w:val="clear"/>
            <w:vAlign w:val="center"/>
          </w:tcPr>
          <w:p>
            <w:pPr>
              <w:pStyle w:val="TableContents"/>
              <w:spacing w:before="0" w:after="0"/>
              <w:ind w:left="0" w:right="0" w:hanging="0"/>
              <w:jc w:val="right"/>
              <w:rPr/>
            </w:pPr>
            <w:r>
              <w:rPr/>
              <w:t> </w:t>
            </w:r>
          </w:p>
        </w:tc>
        <w:tc>
          <w:tcPr>
            <w:tcW w:w="316" w:type="dxa"/>
            <w:tcBorders/>
            <w:shd w:fill="auto" w:val="clear"/>
            <w:vAlign w:val="center"/>
          </w:tcPr>
          <w:p>
            <w:pPr>
              <w:pStyle w:val="TableContents"/>
              <w:spacing w:before="0" w:after="0"/>
              <w:ind w:left="0" w:right="0" w:hanging="0"/>
              <w:jc w:val="right"/>
              <w:rPr/>
            </w:pPr>
            <w:r>
              <w:rPr/>
              <w:t> </w:t>
            </w:r>
          </w:p>
        </w:tc>
      </w:tr>
      <w:tr>
        <w:trPr/>
        <w:tc>
          <w:tcPr>
            <w:tcW w:w="42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leases</w:t>
            </w:r>
          </w:p>
        </w:tc>
        <w:tc>
          <w:tcPr>
            <w:tcW w:w="146" w:type="dxa"/>
            <w:tcBorders/>
            <w:shd w:fill="auto" w:val="clear"/>
            <w:vAlign w:val="center"/>
          </w:tcPr>
          <w:p>
            <w:pPr>
              <w:pStyle w:val="TableContents"/>
              <w:spacing w:before="0" w:after="0"/>
              <w:ind w:left="0" w:right="0" w:hanging="0"/>
              <w:jc w:val="left"/>
              <w:rPr/>
            </w:pPr>
            <w:r>
              <w:rPr/>
              <w:t> </w:t>
            </w:r>
          </w:p>
        </w:tc>
        <w:tc>
          <w:tcPr>
            <w:tcW w:w="3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26</w:t>
      </w:r>
    </w:p>
    <w:p>
      <w:pPr>
        <w:pStyle w:val="HorizontalLine"/>
        <w:rPr/>
      </w:pPr>
      <w:r>
        <w:rPr/>
      </w:r>
    </w:p>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Future minimum lease payments and related lease liabilities as of March 31, 2023 were as follows (in thousands):</w:t>
      </w:r>
    </w:p>
    <w:p>
      <w:pPr>
        <w:pStyle w:val="TextBody"/>
        <w:spacing w:before="0" w:after="0"/>
        <w:jc w:val="left"/>
        <w:rPr/>
      </w:pPr>
      <w:r>
        <w:rPr/>
        <w:t> </w:t>
      </w:r>
    </w:p>
    <w:tbl>
      <w:tblPr>
        <w:tblW w:w="7738" w:type="dxa"/>
        <w:jc w:val="left"/>
        <w:tblInd w:w="0" w:type="dxa"/>
        <w:tblCellMar>
          <w:top w:w="28" w:type="dxa"/>
          <w:left w:w="28" w:type="dxa"/>
          <w:bottom w:w="28" w:type="dxa"/>
          <w:right w:w="28" w:type="dxa"/>
        </w:tblCellMar>
      </w:tblPr>
      <w:tblGrid>
        <w:gridCol w:w="4786"/>
        <w:gridCol w:w="146"/>
        <w:gridCol w:w="699"/>
        <w:gridCol w:w="1896"/>
        <w:gridCol w:w="211"/>
      </w:tblGrid>
      <w:tr>
        <w:trPr/>
        <w:tc>
          <w:tcPr>
            <w:tcW w:w="47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99" w:type="dxa"/>
            <w:tcBorders/>
            <w:shd w:fill="auto" w:val="clear"/>
            <w:vAlign w:val="center"/>
          </w:tcPr>
          <w:p>
            <w:pPr>
              <w:pStyle w:val="TableContents"/>
              <w:spacing w:before="0" w:after="283"/>
              <w:rPr>
                <w:sz w:val="4"/>
                <w:szCs w:val="4"/>
              </w:rPr>
            </w:pPr>
            <w:r>
              <w:rPr>
                <w:sz w:val="4"/>
                <w:szCs w:val="4"/>
              </w:rPr>
            </w:r>
          </w:p>
        </w:tc>
        <w:tc>
          <w:tcPr>
            <w:tcW w:w="189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47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5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sz w:val="20"/>
              </w:rPr>
              <w:t xml:space="preserve">Operating Lease Payments </w:t>
            </w:r>
            <w:r>
              <w:rPr>
                <w:rFonts w:ascii="Times New Roman;serif" w:hAnsi="Times New Roman;serif"/>
                <w:b/>
                <w:sz w:val="13"/>
              </w:rPr>
              <w:t>(1)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7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2023 (remaining 9 months)</w:t>
            </w:r>
          </w:p>
        </w:tc>
        <w:tc>
          <w:tcPr>
            <w:tcW w:w="146" w:type="dxa"/>
            <w:tcBorders/>
            <w:shd w:fill="auto" w:val="clear"/>
            <w:vAlign w:val="center"/>
          </w:tcPr>
          <w:p>
            <w:pPr>
              <w:pStyle w:val="TableContents"/>
              <w:spacing w:before="0" w:after="0"/>
              <w:ind w:left="0" w:right="0" w:hanging="0"/>
              <w:jc w:val="left"/>
              <w:rPr/>
            </w:pPr>
            <w:r>
              <w:rPr/>
              <w:t> </w:t>
            </w:r>
          </w:p>
        </w:tc>
        <w:tc>
          <w:tcPr>
            <w:tcW w:w="69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9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1,841</w:t>
            </w:r>
          </w:p>
        </w:tc>
        <w:tc>
          <w:tcPr>
            <w:tcW w:w="211" w:type="dxa"/>
            <w:tcBorders/>
            <w:shd w:fill="auto" w:val="clear"/>
            <w:vAlign w:val="center"/>
          </w:tcPr>
          <w:p>
            <w:pPr>
              <w:pStyle w:val="TableContents"/>
              <w:spacing w:before="0" w:after="0"/>
              <w:ind w:left="0" w:right="0" w:hanging="0"/>
              <w:jc w:val="left"/>
              <w:rPr/>
            </w:pPr>
            <w:r>
              <w:rPr/>
              <w:t> </w:t>
            </w:r>
          </w:p>
        </w:tc>
      </w:tr>
      <w:tr>
        <w:trPr/>
        <w:tc>
          <w:tcPr>
            <w:tcW w:w="47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2024</w:t>
            </w:r>
          </w:p>
        </w:tc>
        <w:tc>
          <w:tcPr>
            <w:tcW w:w="146" w:type="dxa"/>
            <w:tcBorders/>
            <w:shd w:fill="auto" w:val="clear"/>
            <w:vAlign w:val="center"/>
          </w:tcPr>
          <w:p>
            <w:pPr>
              <w:pStyle w:val="TableContents"/>
              <w:spacing w:before="0" w:after="0"/>
              <w:ind w:left="0" w:right="0" w:hanging="0"/>
              <w:jc w:val="left"/>
              <w:rPr/>
            </w:pPr>
            <w:r>
              <w:rPr/>
              <w:t> </w:t>
            </w:r>
          </w:p>
        </w:tc>
        <w:tc>
          <w:tcPr>
            <w:tcW w:w="699" w:type="dxa"/>
            <w:tcBorders/>
            <w:shd w:fill="auto" w:val="clear"/>
            <w:vAlign w:val="center"/>
          </w:tcPr>
          <w:p>
            <w:pPr>
              <w:pStyle w:val="TableContents"/>
              <w:spacing w:before="0" w:after="0"/>
              <w:ind w:left="0" w:right="0" w:hanging="0"/>
              <w:jc w:val="left"/>
              <w:rPr/>
            </w:pPr>
            <w:r>
              <w:rPr/>
              <w:t> </w:t>
            </w:r>
          </w:p>
        </w:tc>
        <w:tc>
          <w:tcPr>
            <w:tcW w:w="189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2,525</w:t>
            </w:r>
          </w:p>
        </w:tc>
        <w:tc>
          <w:tcPr>
            <w:tcW w:w="211" w:type="dxa"/>
            <w:tcBorders/>
            <w:shd w:fill="auto" w:val="clear"/>
            <w:vAlign w:val="center"/>
          </w:tcPr>
          <w:p>
            <w:pPr>
              <w:pStyle w:val="TableContents"/>
              <w:spacing w:before="0" w:after="0"/>
              <w:ind w:left="0" w:right="0" w:hanging="0"/>
              <w:jc w:val="left"/>
              <w:rPr/>
            </w:pPr>
            <w:r>
              <w:rPr/>
              <w:t> </w:t>
            </w:r>
          </w:p>
        </w:tc>
      </w:tr>
      <w:tr>
        <w:trPr/>
        <w:tc>
          <w:tcPr>
            <w:tcW w:w="47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2025</w:t>
            </w:r>
          </w:p>
        </w:tc>
        <w:tc>
          <w:tcPr>
            <w:tcW w:w="146" w:type="dxa"/>
            <w:tcBorders/>
            <w:shd w:fill="auto" w:val="clear"/>
            <w:vAlign w:val="center"/>
          </w:tcPr>
          <w:p>
            <w:pPr>
              <w:pStyle w:val="TableContents"/>
              <w:spacing w:before="0" w:after="0"/>
              <w:ind w:left="0" w:right="0" w:hanging="0"/>
              <w:jc w:val="left"/>
              <w:rPr/>
            </w:pPr>
            <w:r>
              <w:rPr/>
              <w:t> </w:t>
            </w:r>
          </w:p>
        </w:tc>
        <w:tc>
          <w:tcPr>
            <w:tcW w:w="699" w:type="dxa"/>
            <w:tcBorders/>
            <w:shd w:fill="auto" w:val="clear"/>
            <w:vAlign w:val="center"/>
          </w:tcPr>
          <w:p>
            <w:pPr>
              <w:pStyle w:val="TableContents"/>
              <w:spacing w:before="0" w:after="0"/>
              <w:ind w:left="0" w:right="0" w:hanging="0"/>
              <w:jc w:val="left"/>
              <w:rPr/>
            </w:pPr>
            <w:r>
              <w:rPr/>
              <w:t> </w:t>
            </w:r>
          </w:p>
        </w:tc>
        <w:tc>
          <w:tcPr>
            <w:tcW w:w="189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1,975</w:t>
            </w:r>
          </w:p>
        </w:tc>
        <w:tc>
          <w:tcPr>
            <w:tcW w:w="211" w:type="dxa"/>
            <w:tcBorders/>
            <w:shd w:fill="auto" w:val="clear"/>
            <w:vAlign w:val="center"/>
          </w:tcPr>
          <w:p>
            <w:pPr>
              <w:pStyle w:val="TableContents"/>
              <w:spacing w:before="0" w:after="0"/>
              <w:ind w:left="0" w:right="0" w:hanging="0"/>
              <w:jc w:val="left"/>
              <w:rPr/>
            </w:pPr>
            <w:r>
              <w:rPr/>
              <w:t> </w:t>
            </w:r>
          </w:p>
        </w:tc>
      </w:tr>
      <w:tr>
        <w:trPr/>
        <w:tc>
          <w:tcPr>
            <w:tcW w:w="47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2026</w:t>
            </w:r>
          </w:p>
        </w:tc>
        <w:tc>
          <w:tcPr>
            <w:tcW w:w="146" w:type="dxa"/>
            <w:tcBorders/>
            <w:shd w:fill="auto" w:val="clear"/>
            <w:vAlign w:val="center"/>
          </w:tcPr>
          <w:p>
            <w:pPr>
              <w:pStyle w:val="TableContents"/>
              <w:spacing w:before="0" w:after="0"/>
              <w:ind w:left="0" w:right="0" w:hanging="0"/>
              <w:jc w:val="left"/>
              <w:rPr/>
            </w:pPr>
            <w:r>
              <w:rPr/>
              <w:t> </w:t>
            </w:r>
          </w:p>
        </w:tc>
        <w:tc>
          <w:tcPr>
            <w:tcW w:w="699" w:type="dxa"/>
            <w:tcBorders/>
            <w:shd w:fill="auto" w:val="clear"/>
            <w:vAlign w:val="center"/>
          </w:tcPr>
          <w:p>
            <w:pPr>
              <w:pStyle w:val="TableContents"/>
              <w:spacing w:before="0" w:after="0"/>
              <w:ind w:left="0" w:right="0" w:hanging="0"/>
              <w:jc w:val="left"/>
              <w:rPr/>
            </w:pPr>
            <w:r>
              <w:rPr/>
              <w:t> </w:t>
            </w:r>
          </w:p>
        </w:tc>
        <w:tc>
          <w:tcPr>
            <w:tcW w:w="189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291</w:t>
            </w:r>
          </w:p>
        </w:tc>
        <w:tc>
          <w:tcPr>
            <w:tcW w:w="211" w:type="dxa"/>
            <w:tcBorders/>
            <w:shd w:fill="auto" w:val="clear"/>
            <w:vAlign w:val="center"/>
          </w:tcPr>
          <w:p>
            <w:pPr>
              <w:pStyle w:val="TableContents"/>
              <w:spacing w:before="0" w:after="0"/>
              <w:ind w:left="0" w:right="0" w:hanging="0"/>
              <w:jc w:val="left"/>
              <w:rPr/>
            </w:pPr>
            <w:r>
              <w:rPr/>
              <w:t> </w:t>
            </w:r>
          </w:p>
        </w:tc>
      </w:tr>
      <w:tr>
        <w:trPr/>
        <w:tc>
          <w:tcPr>
            <w:tcW w:w="47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2027</w:t>
            </w:r>
          </w:p>
        </w:tc>
        <w:tc>
          <w:tcPr>
            <w:tcW w:w="146" w:type="dxa"/>
            <w:tcBorders/>
            <w:shd w:fill="auto" w:val="clear"/>
            <w:vAlign w:val="center"/>
          </w:tcPr>
          <w:p>
            <w:pPr>
              <w:pStyle w:val="TableContents"/>
              <w:spacing w:before="0" w:after="0"/>
              <w:ind w:left="0" w:right="0" w:hanging="0"/>
              <w:jc w:val="left"/>
              <w:rPr/>
            </w:pPr>
            <w:r>
              <w:rPr/>
              <w:t> </w:t>
            </w:r>
          </w:p>
        </w:tc>
        <w:tc>
          <w:tcPr>
            <w:tcW w:w="699" w:type="dxa"/>
            <w:tcBorders/>
            <w:shd w:fill="auto" w:val="clear"/>
            <w:vAlign w:val="center"/>
          </w:tcPr>
          <w:p>
            <w:pPr>
              <w:pStyle w:val="TableContents"/>
              <w:spacing w:before="0" w:after="0"/>
              <w:ind w:left="0" w:right="0" w:hanging="0"/>
              <w:jc w:val="left"/>
              <w:rPr/>
            </w:pPr>
            <w:r>
              <w:rPr/>
              <w:t> </w:t>
            </w:r>
          </w:p>
        </w:tc>
        <w:tc>
          <w:tcPr>
            <w:tcW w:w="189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299</w:t>
            </w:r>
          </w:p>
        </w:tc>
        <w:tc>
          <w:tcPr>
            <w:tcW w:w="211" w:type="dxa"/>
            <w:tcBorders/>
            <w:shd w:fill="auto" w:val="clear"/>
            <w:vAlign w:val="center"/>
          </w:tcPr>
          <w:p>
            <w:pPr>
              <w:pStyle w:val="TableContents"/>
              <w:spacing w:before="0" w:after="0"/>
              <w:ind w:left="0" w:right="0" w:hanging="0"/>
              <w:jc w:val="left"/>
              <w:rPr/>
            </w:pPr>
            <w:r>
              <w:rPr/>
              <w:t> </w:t>
            </w:r>
          </w:p>
        </w:tc>
      </w:tr>
      <w:tr>
        <w:trPr/>
        <w:tc>
          <w:tcPr>
            <w:tcW w:w="47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Thereafter</w:t>
            </w:r>
          </w:p>
        </w:tc>
        <w:tc>
          <w:tcPr>
            <w:tcW w:w="146" w:type="dxa"/>
            <w:tcBorders/>
            <w:shd w:fill="auto" w:val="clear"/>
            <w:vAlign w:val="center"/>
          </w:tcPr>
          <w:p>
            <w:pPr>
              <w:pStyle w:val="TableContents"/>
              <w:spacing w:before="0" w:after="0"/>
              <w:ind w:left="0" w:right="0" w:hanging="0"/>
              <w:jc w:val="left"/>
              <w:rPr/>
            </w:pPr>
            <w:r>
              <w:rPr/>
              <w:t> </w:t>
            </w:r>
          </w:p>
        </w:tc>
        <w:tc>
          <w:tcPr>
            <w:tcW w:w="6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7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lease payments</w:t>
            </w:r>
          </w:p>
        </w:tc>
        <w:tc>
          <w:tcPr>
            <w:tcW w:w="146" w:type="dxa"/>
            <w:tcBorders/>
            <w:shd w:fill="auto" w:val="clear"/>
            <w:vAlign w:val="center"/>
          </w:tcPr>
          <w:p>
            <w:pPr>
              <w:pStyle w:val="TableContents"/>
              <w:spacing w:before="0" w:after="0"/>
              <w:ind w:left="0" w:right="0" w:hanging="0"/>
              <w:jc w:val="left"/>
              <w:rPr/>
            </w:pPr>
            <w:r>
              <w:rPr/>
              <w:t> </w:t>
            </w:r>
          </w:p>
        </w:tc>
        <w:tc>
          <w:tcPr>
            <w:tcW w:w="6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6,931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7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Less: imputed interest</w:t>
            </w:r>
          </w:p>
        </w:tc>
        <w:tc>
          <w:tcPr>
            <w:tcW w:w="146" w:type="dxa"/>
            <w:tcBorders/>
            <w:shd w:fill="auto" w:val="clear"/>
            <w:vAlign w:val="center"/>
          </w:tcPr>
          <w:p>
            <w:pPr>
              <w:pStyle w:val="TableContents"/>
              <w:spacing w:before="0" w:after="0"/>
              <w:ind w:left="0" w:right="0" w:hanging="0"/>
              <w:jc w:val="left"/>
              <w:rPr/>
            </w:pPr>
            <w:r>
              <w:rPr/>
              <w:t> </w:t>
            </w:r>
          </w:p>
        </w:tc>
        <w:tc>
          <w:tcPr>
            <w:tcW w:w="6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(525</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7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Present value of lease liabilities:</w:t>
            </w:r>
          </w:p>
        </w:tc>
        <w:tc>
          <w:tcPr>
            <w:tcW w:w="146" w:type="dxa"/>
            <w:tcBorders/>
            <w:shd w:fill="auto" w:val="clear"/>
            <w:vAlign w:val="center"/>
          </w:tcPr>
          <w:p>
            <w:pPr>
              <w:pStyle w:val="TableContents"/>
              <w:spacing w:before="0" w:after="0"/>
              <w:ind w:left="0" w:right="0" w:hanging="0"/>
              <w:jc w:val="left"/>
              <w:rPr/>
            </w:pPr>
            <w:r>
              <w:rPr/>
              <w:t> </w:t>
            </w:r>
          </w:p>
        </w:tc>
        <w:tc>
          <w:tcPr>
            <w:tcW w:w="69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6,406</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7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95" w:type="dxa"/>
            <w:gridSpan w:val="2"/>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right"/>
              <w:rPr/>
            </w:pPr>
            <w:r>
              <w:rPr/>
              <w:t> </w:t>
            </w:r>
          </w:p>
        </w:tc>
      </w:tr>
      <w:tr>
        <w:trPr/>
        <w:tc>
          <w:tcPr>
            <w:tcW w:w="47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Less: current obligations under leases (accrued liabilities)</w:t>
            </w:r>
          </w:p>
        </w:tc>
        <w:tc>
          <w:tcPr>
            <w:tcW w:w="146" w:type="dxa"/>
            <w:tcBorders/>
            <w:shd w:fill="auto" w:val="clear"/>
            <w:vAlign w:val="center"/>
          </w:tcPr>
          <w:p>
            <w:pPr>
              <w:pStyle w:val="TableContents"/>
              <w:spacing w:before="0" w:after="0"/>
              <w:ind w:left="0" w:right="0" w:hanging="0"/>
              <w:jc w:val="left"/>
              <w:rPr/>
            </w:pPr>
            <w:r>
              <w:rPr/>
              <w:t> </w:t>
            </w:r>
          </w:p>
        </w:tc>
        <w:tc>
          <w:tcPr>
            <w:tcW w:w="6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2,177</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7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Noncurrent operating lease liabilities</w:t>
            </w:r>
          </w:p>
        </w:tc>
        <w:tc>
          <w:tcPr>
            <w:tcW w:w="146" w:type="dxa"/>
            <w:tcBorders/>
            <w:shd w:fill="auto" w:val="clear"/>
            <w:vAlign w:val="center"/>
          </w:tcPr>
          <w:p>
            <w:pPr>
              <w:pStyle w:val="TableContents"/>
              <w:spacing w:before="0" w:after="0"/>
              <w:ind w:left="0" w:right="0" w:hanging="0"/>
              <w:jc w:val="left"/>
              <w:rPr/>
            </w:pPr>
            <w:r>
              <w:rPr/>
              <w:t> </w:t>
            </w:r>
          </w:p>
        </w:tc>
        <w:tc>
          <w:tcPr>
            <w:tcW w:w="69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4,229</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40" w:after="0"/>
        <w:jc w:val="left"/>
        <w:rPr>
          <w:rFonts w:ascii="Times New Roman" w:hAnsi="Times New Roman"/>
          <w:sz w:val="20"/>
        </w:rPr>
      </w:pPr>
      <w:r>
        <w:rPr>
          <w:rFonts w:ascii="Times New Roman;serif" w:hAnsi="Times New Roman;serif"/>
          <w:b w:val="false"/>
          <w:sz w:val="13"/>
        </w:rPr>
        <w:t>(1)</w:t>
      </w:r>
      <w:r>
        <w:rPr>
          <w:rFonts w:ascii="Times New Roman" w:hAnsi="Times New Roman"/>
          <w:sz w:val="20"/>
        </w:rPr>
        <w:t xml:space="preserve"> </w:t>
      </w:r>
      <w:r>
        <w:rPr>
          <w:rFonts w:ascii="Times New Roman;serif" w:hAnsi="Times New Roman;serif"/>
          <w:b w:val="false"/>
          <w:sz w:val="20"/>
        </w:rPr>
        <w:t>Future minimum lease payments exclude short-term leases as well as payments to landlords for variable common area maintenance, insurance and real estate taxes.</w:t>
      </w:r>
    </w:p>
    <w:p>
      <w:pPr>
        <w:pStyle w:val="TextBody"/>
        <w:spacing w:before="240" w:after="0"/>
        <w:jc w:val="left"/>
        <w:rPr>
          <w:rFonts w:ascii="Times New Roman" w:hAnsi="Times New Roman"/>
          <w:sz w:val="20"/>
        </w:rPr>
      </w:pPr>
      <w:bookmarkStart w:id="10" w:name="note_13___commitments_and_contingencies"/>
      <w:bookmarkEnd w:id="10"/>
      <w:r>
        <w:rPr>
          <w:rFonts w:ascii="Times New Roman;serif" w:hAnsi="Times New Roman;serif"/>
          <w:b/>
          <w:sz w:val="20"/>
        </w:rPr>
        <w:t>NOTE 15 – COMMITMENTS AND CONTINGENCIES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Purchase and Other Contractual Obligations</w:t>
      </w:r>
    </w:p>
    <w:p>
      <w:pPr>
        <w:pStyle w:val="TextBody"/>
        <w:spacing w:before="240" w:after="0"/>
        <w:jc w:val="left"/>
        <w:rPr>
          <w:rFonts w:ascii="Times New Roman" w:hAnsi="Times New Roman"/>
          <w:sz w:val="20"/>
        </w:rPr>
      </w:pPr>
      <w:r>
        <w:rPr>
          <w:rFonts w:ascii="Times New Roman;serif" w:hAnsi="Times New Roman;serif"/>
          <w:b w:val="false"/>
          <w:sz w:val="20"/>
        </w:rPr>
        <w:t>In the ordinary course of business, the Company enters into contractual agreements with third parties that include non-cancelable payment obligations, for which it is liable in future periods. These arrangements primarily include unconditional purchase obligations to service providers. As of March 31, 2023, the Company’s total future unconditional purchase obligations were approximately $3.5</w:t>
      </w:r>
      <w:r>
        <w:rPr>
          <w:rFonts w:ascii="Times New Roman" w:hAnsi="Times New Roman"/>
          <w:sz w:val="20"/>
        </w:rPr>
        <w:t xml:space="preserve"> </w:t>
      </w:r>
      <w:r>
        <w:rPr>
          <w:rFonts w:ascii="Times New Roman;serif" w:hAnsi="Times New Roman;serif"/>
          <w:b w:val="false"/>
          <w:sz w:val="20"/>
        </w:rPr>
        <w:t>million, including $1.3</w:t>
      </w:r>
      <w:r>
        <w:rPr>
          <w:rFonts w:ascii="Times New Roman" w:hAnsi="Times New Roman"/>
          <w:sz w:val="20"/>
        </w:rPr>
        <w:t xml:space="preserve"> </w:t>
      </w:r>
      <w:r>
        <w:rPr>
          <w:rFonts w:ascii="Times New Roman;serif" w:hAnsi="Times New Roman;serif"/>
          <w:b w:val="false"/>
          <w:sz w:val="20"/>
        </w:rPr>
        <w:t>million due in the remainder of 2023, $1.3</w:t>
      </w:r>
      <w:r>
        <w:rPr>
          <w:rFonts w:ascii="Times New Roman" w:hAnsi="Times New Roman"/>
          <w:sz w:val="20"/>
        </w:rPr>
        <w:t xml:space="preserve"> </w:t>
      </w:r>
      <w:r>
        <w:rPr>
          <w:rFonts w:ascii="Times New Roman;serif" w:hAnsi="Times New Roman;serif"/>
          <w:b w:val="false"/>
          <w:sz w:val="20"/>
        </w:rPr>
        <w:t>million due in 2024 and the remaining $0.9</w:t>
      </w:r>
      <w:r>
        <w:rPr>
          <w:rFonts w:ascii="Times New Roman" w:hAnsi="Times New Roman"/>
          <w:sz w:val="20"/>
        </w:rPr>
        <w:t xml:space="preserve"> </w:t>
      </w:r>
      <w:r>
        <w:rPr>
          <w:rFonts w:ascii="Times New Roman;serif" w:hAnsi="Times New Roman;serif"/>
          <w:b w:val="false"/>
          <w:sz w:val="20"/>
        </w:rPr>
        <w:t>million due in 2025.</w:t>
      </w:r>
      <w:r>
        <w:rPr>
          <w:rFonts w:ascii="Times New Roman" w:hAnsi="Times New Roman"/>
          <w:sz w:val="20"/>
        </w:rPr>
        <w:t xml:space="preserve"> </w:t>
      </w:r>
    </w:p>
    <w:p>
      <w:pPr>
        <w:pStyle w:val="TextBody"/>
        <w:spacing w:before="240" w:after="0"/>
        <w:jc w:val="left"/>
        <w:rPr>
          <w:rFonts w:ascii="Times New Roman;serif" w:hAnsi="Times New Roman;serif"/>
          <w:b/>
          <w:i/>
          <w:sz w:val="20"/>
        </w:rPr>
      </w:pPr>
      <w:r>
        <w:rPr>
          <w:rFonts w:ascii="Times New Roman;serif" w:hAnsi="Times New Roman;serif"/>
          <w:b/>
          <w:i/>
          <w:sz w:val="20"/>
        </w:rPr>
        <w:t>Guarantee</w:t>
      </w:r>
    </w:p>
    <w:p>
      <w:pPr>
        <w:pStyle w:val="TextBody"/>
        <w:spacing w:before="240" w:after="0"/>
        <w:jc w:val="left"/>
        <w:rPr>
          <w:rFonts w:ascii="Times New Roman" w:hAnsi="Times New Roman"/>
          <w:sz w:val="20"/>
        </w:rPr>
      </w:pPr>
      <w:r>
        <w:rPr>
          <w:rFonts w:ascii="Times New Roman;serif" w:hAnsi="Times New Roman;serif"/>
          <w:b w:val="false"/>
          <w:sz w:val="20"/>
        </w:rPr>
        <w:t>Prior to the Separation, Adeia Media LLC, a subsidiary of the Company (“Adeia Media”), and a subsidiary of Xperi Inc. (“Xperi Sub”) entered into an agreement (the “Specified Agreement”) with a third party pursuant to which Adeia Media guarantees the performance of Xperi Sub under the Specified Agreement, including its payment obligations to such third party. In connection with the Separation, Adeia Media and Xperi Sub entered into a separate cross business agreement (the “Cross Business Agreement”) effective as of October 1, 2022, under which Adeia Media agreed to make guarantee payments to Xperi Sub in amounts based on certain of its operating expenses and other minimum performance obligations under the Specified Agreement through 2031. Consequently, on October 1, 2022, the Company recognized a guarantee liability pursuant to ASC 460 “Guarantees” of $19.7</w:t>
      </w:r>
      <w:r>
        <w:rPr>
          <w:rFonts w:ascii="Times New Roman" w:hAnsi="Times New Roman"/>
          <w:sz w:val="20"/>
        </w:rPr>
        <w:t xml:space="preserve"> </w:t>
      </w:r>
      <w:r>
        <w:rPr>
          <w:rFonts w:ascii="Times New Roman;serif" w:hAnsi="Times New Roman;serif"/>
          <w:b w:val="false"/>
          <w:sz w:val="20"/>
        </w:rPr>
        <w:t>million, which represents the fair value of Adeia Media’s projected payments of such operating expenses during the term of the Cross Business Agreement. Subsequent changes to the carrying value of the guarantee are recognized as part of the Company’s results of operations. The maximum potential amount of future payments subject to the guarantee is approximately $7.5</w:t>
      </w:r>
      <w:r>
        <w:rPr>
          <w:rFonts w:ascii="Times New Roman" w:hAnsi="Times New Roman"/>
          <w:sz w:val="20"/>
        </w:rPr>
        <w:t xml:space="preserve"> </w:t>
      </w:r>
      <w:r>
        <w:rPr>
          <w:rFonts w:ascii="Times New Roman;serif" w:hAnsi="Times New Roman;serif"/>
          <w:b w:val="false"/>
          <w:sz w:val="20"/>
        </w:rPr>
        <w:t>million per annum between 2023</w:t>
      </w:r>
      <w:r>
        <w:rPr>
          <w:rFonts w:ascii="Times New Roman" w:hAnsi="Times New Roman"/>
          <w:sz w:val="20"/>
        </w:rPr>
        <w:t xml:space="preserve"> </w:t>
      </w:r>
      <w:r>
        <w:rPr>
          <w:rFonts w:ascii="Times New Roman;serif" w:hAnsi="Times New Roman;serif"/>
          <w:b w:val="false"/>
          <w:sz w:val="20"/>
        </w:rPr>
        <w:t>and 2031. As of March 31, 2023 and December 31, 2022, the balance of the guarantee liability was $19.7</w:t>
      </w:r>
      <w:r>
        <w:rPr>
          <w:rFonts w:ascii="Times New Roman" w:hAnsi="Times New Roman"/>
          <w:sz w:val="20"/>
        </w:rPr>
        <w:t xml:space="preserve"> </w:t>
      </w:r>
      <w:r>
        <w:rPr>
          <w:rFonts w:ascii="Times New Roman;serif" w:hAnsi="Times New Roman;serif"/>
          <w:b w:val="false"/>
          <w:sz w:val="20"/>
        </w:rPr>
        <w:t>million and $20.5</w:t>
      </w:r>
      <w:r>
        <w:rPr>
          <w:rFonts w:ascii="Times New Roman" w:hAnsi="Times New Roman"/>
          <w:sz w:val="20"/>
        </w:rPr>
        <w:t xml:space="preserve"> </w:t>
      </w:r>
      <w:r>
        <w:rPr>
          <w:rFonts w:ascii="Times New Roman;serif" w:hAnsi="Times New Roman;serif"/>
          <w:b w:val="false"/>
          <w:sz w:val="20"/>
        </w:rPr>
        <w:t>million, respectively. During the three months ended March 31, 2023, the Company made guarantee payments of $0.5</w:t>
      </w:r>
      <w:r>
        <w:rPr>
          <w:rFonts w:ascii="Times New Roman" w:hAnsi="Times New Roman"/>
          <w:sz w:val="20"/>
        </w:rPr>
        <w:t xml:space="preserve"> </w:t>
      </w:r>
      <w:r>
        <w:rPr>
          <w:rFonts w:ascii="Times New Roman;serif" w:hAnsi="Times New Roman;serif"/>
          <w:b w:val="false"/>
          <w:sz w:val="20"/>
        </w:rPr>
        <w:t>million and recognized other income of $0.3</w:t>
      </w:r>
      <w:r>
        <w:rPr>
          <w:rFonts w:ascii="Times New Roman" w:hAnsi="Times New Roman"/>
          <w:sz w:val="20"/>
        </w:rPr>
        <w:t xml:space="preserve"> </w:t>
      </w:r>
      <w:r>
        <w:rPr>
          <w:rFonts w:ascii="Times New Roman;serif" w:hAnsi="Times New Roman;serif"/>
          <w:b w:val="false"/>
          <w:sz w:val="20"/>
        </w:rPr>
        <w:t>million in the Condensed Consolidated Statement of Operations as a result of a change in the carrying value of the guarantee liability.</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Indemnifications</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 the normal course of business, the Company provides indemnifications of varying scopes and amounts to certain of its licensees, customers, and business partners against claims made by third parties arising from the use of the Company’s intellectual property, services or technologies. The Company cannot reasonably estimate the possible range of losses that may be incurred pursuant to its indemnification obligations, if any. Variables affecting any such assessment include, but are not limited to: the nature of the claim asserted; the relative merits of the claim; the financial ability of the party suing the indemnified party to engage in protracted litigation; the number of parties seeking indemnification; the nature and amount of damages claimed by the party suing the indemnified party; and the willingness of such party to engage in settlement negotiations. To date, no such claims have been filed against the Company and no liability has been recorded in the Company’s financial statements.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27</w:t>
      </w:r>
    </w:p>
    <w:p>
      <w:pPr>
        <w:pStyle w:val="HorizontalLine"/>
        <w:rPr/>
      </w:pPr>
      <w:r>
        <w:rPr/>
      </w:r>
    </w:p>
    <w:p>
      <w:pPr>
        <w:pStyle w:val="TextBody"/>
        <w:spacing w:before="0" w:after="0"/>
        <w:jc w:val="left"/>
        <w:rPr/>
      </w:pPr>
      <w:r>
        <w:rPr/>
        <w:t>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As permitted under Delaware law, the Company has agreements whereby it indemnifies its officers and directors for certain events or occurrences while the officer or director is, or was, serving at the Company’s request in such capacity. The maximum potential amount of future payments the Company could be required to make under these indemnification agreements is unlimited; however, the Company believes, given the absence of any such payments in the Company’s history, and the estimated low probability of such payments in the future, that the estimated fair value of these indemnification agreements is immaterial. In addition, the Company has directors’ and officers’ liability insurance coverage that is intended to reduce its financial exposure and may enable the Company to recover any payments under the indemnification agreements, should they occur.</w:t>
      </w:r>
    </w:p>
    <w:p>
      <w:pPr>
        <w:pStyle w:val="TextBody"/>
        <w:spacing w:before="240" w:after="0"/>
        <w:jc w:val="left"/>
        <w:rPr>
          <w:rFonts w:ascii="Times New Roman;serif" w:hAnsi="Times New Roman;serif"/>
          <w:b/>
          <w:i/>
          <w:sz w:val="20"/>
        </w:rPr>
      </w:pPr>
      <w:r>
        <w:rPr>
          <w:rFonts w:ascii="Times New Roman;serif" w:hAnsi="Times New Roman;serif"/>
          <w:b/>
          <w:i/>
          <w:sz w:val="20"/>
        </w:rPr>
        <w:t>Contingencies</w:t>
      </w:r>
    </w:p>
    <w:p>
      <w:pPr>
        <w:pStyle w:val="TextBody"/>
        <w:spacing w:before="240" w:after="0"/>
        <w:jc w:val="left"/>
        <w:rPr>
          <w:rFonts w:ascii="Times New Roman" w:hAnsi="Times New Roman"/>
          <w:sz w:val="20"/>
        </w:rPr>
      </w:pPr>
      <w:r>
        <w:rPr>
          <w:rFonts w:ascii="Times New Roman;serif" w:hAnsi="Times New Roman;serif"/>
          <w:b w:val="false"/>
          <w:sz w:val="20"/>
        </w:rPr>
        <w:t>At each reporting period, the Company evaluates whether or not a potential loss amount or a potential range of losses is probable and reasonably estimable under the provisions of the authoritative guidance that addresses accounting for contingencies.</w:t>
      </w:r>
      <w:r>
        <w:rPr>
          <w:rFonts w:ascii="Times New Roman" w:hAnsi="Times New Roman"/>
          <w:sz w:val="20"/>
        </w:rPr>
        <w:t xml:space="preserve"> </w:t>
      </w:r>
    </w:p>
    <w:p>
      <w:pPr>
        <w:pStyle w:val="TextBody"/>
        <w:spacing w:before="240" w:after="0"/>
        <w:jc w:val="left"/>
        <w:rPr>
          <w:rFonts w:ascii="Times New Roman;serif" w:hAnsi="Times New Roman;serif"/>
          <w:b/>
          <w:sz w:val="20"/>
        </w:rPr>
      </w:pPr>
      <w:r>
        <w:rPr>
          <w:rFonts w:ascii="Times New Roman;serif" w:hAnsi="Times New Roman;serif"/>
          <w:b/>
          <w:sz w:val="20"/>
        </w:rPr>
        <w:t>Litigation related</w:t>
      </w:r>
    </w:p>
    <w:p>
      <w:pPr>
        <w:pStyle w:val="TextBody"/>
        <w:spacing w:before="240" w:after="0"/>
        <w:jc w:val="left"/>
        <w:rPr>
          <w:rFonts w:ascii="Times New Roman" w:hAnsi="Times New Roman"/>
          <w:sz w:val="20"/>
        </w:rPr>
      </w:pPr>
      <w:r>
        <w:rPr>
          <w:rFonts w:ascii="Times New Roman;serif" w:hAnsi="Times New Roman;serif"/>
          <w:b w:val="false"/>
          <w:sz w:val="20"/>
        </w:rPr>
        <w:t>On June 23, 2017, Adeia Guides Inc. (formerly known as Rovi Guides, Inc.) and Adeia Media Solutions Inc. (formerly known as TiVo Solutions Inc.) (together, “Adeia Media”) filed a patent infringement complaint against Videotron Ltd. and Videotron G.P. (together, “Videotron”) in Toronto, Canada, alleging infringement of six patents (“Videotron 1”).</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On June 10, 2022, the Federal Court of Canada issued its decision in the case finding in favor of Videotron and its legacy illico platform. Specifically, the Court found invalid each of the asserted claims related to the four remaining patents involved in the case. In Canada, the prevailing party in patent litigation is entitled to reimbursement of certain of its costs and expenses. Accordingly, the Company accrued and paid $2.5</w:t>
      </w:r>
      <w:r>
        <w:rPr>
          <w:rFonts w:ascii="Times New Roman" w:hAnsi="Times New Roman"/>
          <w:sz w:val="20"/>
        </w:rPr>
        <w:t xml:space="preserve"> </w:t>
      </w:r>
      <w:r>
        <w:rPr>
          <w:rFonts w:ascii="Times New Roman;serif" w:hAnsi="Times New Roman;serif"/>
          <w:b w:val="false"/>
          <w:sz w:val="20"/>
        </w:rPr>
        <w:t>million for expense reimbursement during the year ended December 31, 2022. On September 12, 2022, Adeia Media filed a notice of appeal with the Federal Court of Appeal of Canada appealing the decision of the Federal Court of Canada. On January 30, 2023, Adeia Media filed its opening memorandum of fact and law. Videotron's memorandum of fact and law was filed on April 17, 2023.</w:t>
      </w:r>
    </w:p>
    <w:p>
      <w:pPr>
        <w:pStyle w:val="TextBody"/>
        <w:spacing w:before="240" w:after="0"/>
        <w:jc w:val="left"/>
        <w:rPr>
          <w:rFonts w:ascii="Times New Roman" w:hAnsi="Times New Roman"/>
          <w:sz w:val="20"/>
        </w:rPr>
      </w:pPr>
      <w:r>
        <w:rPr>
          <w:rFonts w:ascii="Times New Roman;serif" w:hAnsi="Times New Roman;serif"/>
          <w:b w:val="false"/>
          <w:sz w:val="20"/>
        </w:rPr>
        <w:t>On January 19, 2018, Adeia Media filed a patent infringement complaint against Bell Canada (and four of its affiliates) (collectively, "Bell") in Toronto, Canada, alleging infringement of six patents (“Bell 1”). On February 2, 2018, Adeia Media filed a patent infringement complaint against Telus Corporation (and two of its affiliates) (collectively, "Telus") in Toronto, Canada, alleging infringement of the same six patents (“Telus 1”). Bell 1and Telus 1 were heard together for purposes of pre-trial and trial proceedings. On October 7, 2022, the Federal Court of Canada issued its decision in the two cases finding in favor of Bell and Telus and their respective IPTV services, Bell Fibe TV and Telus Optik TV. Specifically, the Court found invalid each of the asserted claims of the four remaining patents involved in the case. In Canada, the prevailing party in patent litigation is entitled to reimbursement of certain of its costs and expenses. Accordingly, the Company accrued $2.6</w:t>
      </w:r>
      <w:r>
        <w:rPr>
          <w:rFonts w:ascii="Times New Roman" w:hAnsi="Times New Roman"/>
          <w:sz w:val="20"/>
        </w:rPr>
        <w:t xml:space="preserve"> </w:t>
      </w:r>
      <w:r>
        <w:rPr>
          <w:rFonts w:ascii="Times New Roman;serif" w:hAnsi="Times New Roman;serif"/>
          <w:b w:val="false"/>
          <w:sz w:val="20"/>
        </w:rPr>
        <w:t>million for expense reimbursement in the third quarter of 2022. On November 7, 2022, Adeia Media filed a notice of appeal with the Federal Court of Appeal of Canada appealing the decision of the Federal Court of Canada.</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Company is unable to predict the final outcome of other lawsuits, including other patent infringement lawsuits in Canada, to which it is a party and therefore cannot determine the likelihood of loss nor estimate a range of possible losses. An adverse decision in any of these proceedings could significantly harm the Company's business and consolidated financial position, results of operations or cash flows.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Company and its subsidiaries are involved in litigation matters and claims in the normal course of business. In the past, the Company and its subsidiaries have litigated to enforce their respective patents, to enforce the terms of license agreements, to determine the validity and scope of the proprietary rights of others and to defend itself or its customers against claims of infringement or invalidity. The Company expects it or its subsidiaries will be involved in similar legal proceedings in the future, including proceedings regarding infringement of its patents, and proceedings to ensure proper and full payment of royalties by licensees under the terms of its license agreements.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28</w:t>
      </w:r>
    </w:p>
    <w:p>
      <w:pPr>
        <w:pStyle w:val="HorizontalLine"/>
        <w:rPr/>
      </w:pPr>
      <w:r>
        <w:rPr/>
      </w:r>
    </w:p>
    <w:p>
      <w:pPr>
        <w:pStyle w:val="TextBody"/>
        <w:spacing w:before="0" w:after="0"/>
        <w:jc w:val="left"/>
        <w:rPr/>
      </w:pPr>
      <w:r>
        <w:rPr/>
        <w:t> </w:t>
      </w:r>
    </w:p>
    <w:p>
      <w:pPr>
        <w:pStyle w:val="TextBody"/>
        <w:spacing w:before="240" w:after="0"/>
        <w:jc w:val="left"/>
        <w:rPr>
          <w:rFonts w:ascii="Times New Roman;serif" w:hAnsi="Times New Roman;serif"/>
          <w:b/>
          <w:sz w:val="20"/>
        </w:rPr>
      </w:pPr>
      <w:bookmarkStart w:id="11" w:name="note_14___segment_and_geographic_informa"/>
      <w:bookmarkEnd w:id="11"/>
      <w:r>
        <w:rPr>
          <w:rFonts w:ascii="Times New Roman;serif" w:hAnsi="Times New Roman;serif"/>
          <w:b/>
          <w:sz w:val="20"/>
        </w:rPr>
        <w:t>NOTE 16 – SEGMENT AND GEOGRAPHIC INFORMATION</w:t>
      </w:r>
    </w:p>
    <w:p>
      <w:pPr>
        <w:pStyle w:val="TextBody"/>
        <w:spacing w:before="240" w:after="0"/>
        <w:jc w:val="left"/>
        <w:rPr>
          <w:rFonts w:ascii="Times New Roman" w:hAnsi="Times New Roman"/>
          <w:sz w:val="20"/>
        </w:rPr>
      </w:pPr>
      <w:r>
        <w:rPr>
          <w:rFonts w:ascii="Times New Roman;serif" w:hAnsi="Times New Roman;serif"/>
          <w:b w:val="false"/>
          <w:sz w:val="20"/>
        </w:rPr>
        <w:t>The Company changed its operational structure in the fourth quarter of 2022, resulting in one</w:t>
      </w:r>
      <w:r>
        <w:rPr>
          <w:rFonts w:ascii="Times New Roman" w:hAnsi="Times New Roman"/>
          <w:sz w:val="20"/>
        </w:rPr>
        <w:t xml:space="preserve"> </w:t>
      </w:r>
      <w:r>
        <w:rPr>
          <w:rFonts w:ascii="Times New Roman;serif" w:hAnsi="Times New Roman;serif"/>
          <w:b w:val="false"/>
          <w:sz w:val="20"/>
        </w:rPr>
        <w:t>reportable segment: Intellectual Property ("IP") Licensing. Reportable segments are identified based on the Company's organizational structure and information reviewed by the Company’s chief operating decision maker (“CODM”) to evaluate performance and allocate resources. The Company’s Chief Executive Officer is also the CODM as defined by the authoritative guidance on segment reporting.</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 portion of the Company’s revenue is derived from licensees headquartered outside of the U.S., and it is expected that this revenue will continue to account for a portion of total revenue in future periods. The table below lists the geographic revenue for the periods indicated (in thousands):</w:t>
      </w:r>
    </w:p>
    <w:p>
      <w:pPr>
        <w:pStyle w:val="TextBody"/>
        <w:spacing w:before="0" w:after="0"/>
        <w:jc w:val="left"/>
        <w:rPr/>
      </w:pPr>
      <w:r>
        <w:rPr/>
        <w:t> </w:t>
      </w:r>
    </w:p>
    <w:tbl>
      <w:tblPr>
        <w:tblW w:w="6667" w:type="dxa"/>
        <w:jc w:val="left"/>
        <w:tblInd w:w="0" w:type="dxa"/>
        <w:tblCellMar>
          <w:top w:w="28" w:type="dxa"/>
          <w:left w:w="28" w:type="dxa"/>
          <w:bottom w:w="28" w:type="dxa"/>
          <w:right w:w="28" w:type="dxa"/>
        </w:tblCellMar>
      </w:tblPr>
      <w:tblGrid>
        <w:gridCol w:w="2086"/>
        <w:gridCol w:w="146"/>
        <w:gridCol w:w="211"/>
        <w:gridCol w:w="781"/>
        <w:gridCol w:w="146"/>
        <w:gridCol w:w="146"/>
        <w:gridCol w:w="146"/>
        <w:gridCol w:w="421"/>
        <w:gridCol w:w="271"/>
        <w:gridCol w:w="146"/>
        <w:gridCol w:w="211"/>
        <w:gridCol w:w="781"/>
        <w:gridCol w:w="146"/>
        <w:gridCol w:w="146"/>
        <w:gridCol w:w="146"/>
        <w:gridCol w:w="421"/>
        <w:gridCol w:w="316"/>
      </w:tblGrid>
      <w:tr>
        <w:trPr/>
        <w:tc>
          <w:tcPr>
            <w:tcW w:w="20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0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19"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 xml:space="preserve">Three Months Ended </w:t>
              <w:br/>
              <w:t>March 31,</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0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5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5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0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U.S. and Canada</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86,085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130,940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95</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0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Asia</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28,620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5,729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316" w:type="dxa"/>
            <w:tcBorders/>
            <w:shd w:fill="auto" w:val="clear"/>
            <w:vAlign w:val="center"/>
          </w:tcPr>
          <w:p>
            <w:pPr>
              <w:pStyle w:val="TableContents"/>
              <w:spacing w:before="0" w:after="0"/>
              <w:ind w:left="0" w:right="0" w:hanging="0"/>
              <w:jc w:val="left"/>
              <w:rPr/>
            </w:pPr>
            <w:r>
              <w:rPr/>
              <w:t> </w:t>
            </w:r>
          </w:p>
        </w:tc>
      </w:tr>
      <w:tr>
        <w:trPr/>
        <w:tc>
          <w:tcPr>
            <w:tcW w:w="20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Europe and Middle East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2,188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1,352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316" w:type="dxa"/>
            <w:tcBorders/>
            <w:shd w:fill="auto" w:val="clear"/>
            <w:vAlign w:val="center"/>
          </w:tcPr>
          <w:p>
            <w:pPr>
              <w:pStyle w:val="TableContents"/>
              <w:spacing w:before="0" w:after="0"/>
              <w:ind w:left="0" w:right="0" w:hanging="0"/>
              <w:jc w:val="left"/>
              <w:rPr/>
            </w:pPr>
            <w:r>
              <w:rPr/>
              <w:t> </w:t>
            </w:r>
          </w:p>
        </w:tc>
      </w:tr>
      <w:tr>
        <w:trPr/>
        <w:tc>
          <w:tcPr>
            <w:tcW w:w="20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0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117,307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138,532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w:t>
            </w:r>
          </w:p>
        </w:tc>
        <w:tc>
          <w:tcPr>
            <w:tcW w:w="3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240" w:after="0"/>
        <w:jc w:val="left"/>
        <w:rPr>
          <w:rFonts w:ascii="Times New Roman" w:hAnsi="Times New Roman"/>
          <w:sz w:val="20"/>
        </w:rPr>
      </w:pPr>
      <w:r>
        <w:rPr>
          <w:rFonts w:ascii="Times New Roman;serif" w:hAnsi="Times New Roman;serif"/>
          <w:b w:val="false"/>
          <w:sz w:val="20"/>
        </w:rPr>
        <w:t>For the three months ended March 31, 2023 and 2022, two</w:t>
      </w:r>
      <w:r>
        <w:rPr>
          <w:rFonts w:ascii="Times New Roman" w:hAnsi="Times New Roman"/>
          <w:sz w:val="20"/>
        </w:rPr>
        <w:t xml:space="preserve"> </w:t>
      </w:r>
      <w:r>
        <w:rPr>
          <w:rFonts w:ascii="Times New Roman;serif" w:hAnsi="Times New Roman;serif"/>
          <w:b w:val="false"/>
          <w:sz w:val="20"/>
        </w:rPr>
        <w:t>customers each accounted for 10% or more of total revenue. At March 31, 2023, the Company had two customers representing 43% and 16% of aggregate accounts receivable, respectively. At December 31, 2022, the Company had two customers representing 36% and 29% of aggregate accounts receivable, respectively.</w:t>
      </w:r>
      <w:r>
        <w:rPr>
          <w:rFonts w:ascii="Times New Roman" w:hAnsi="Times New Roman"/>
          <w:sz w:val="20"/>
        </w:rPr>
        <w:t xml:space="preserve"> </w:t>
      </w:r>
    </w:p>
    <w:p>
      <w:pPr>
        <w:pStyle w:val="TextBody"/>
        <w:spacing w:before="240" w:after="0"/>
        <w:jc w:val="left"/>
        <w:rPr>
          <w:rFonts w:ascii="Times New Roman;serif" w:hAnsi="Times New Roman;serif"/>
          <w:b/>
          <w:sz w:val="20"/>
        </w:rPr>
      </w:pPr>
      <w:r>
        <w:rPr>
          <w:rFonts w:ascii="Times New Roman;serif" w:hAnsi="Times New Roman;serif"/>
          <w:b/>
          <w:sz w:val="20"/>
        </w:rPr>
        <w:t>NOTE 17 – SUBSEQUENT EVENTS</w:t>
      </w:r>
    </w:p>
    <w:p>
      <w:pPr>
        <w:pStyle w:val="TextBody"/>
        <w:spacing w:before="240" w:after="0"/>
        <w:jc w:val="left"/>
        <w:rPr>
          <w:rFonts w:ascii="Times New Roman;serif" w:hAnsi="Times New Roman;serif"/>
          <w:b/>
          <w:i/>
          <w:sz w:val="20"/>
        </w:rPr>
      </w:pPr>
      <w:r>
        <w:rPr>
          <w:rFonts w:ascii="Times New Roman;serif" w:hAnsi="Times New Roman;serif"/>
          <w:b/>
          <w:i/>
          <w:sz w:val="20"/>
        </w:rPr>
        <w:t>Declaration of Cash Dividends</w:t>
      </w:r>
    </w:p>
    <w:p>
      <w:pPr>
        <w:pStyle w:val="TextBody"/>
        <w:spacing w:before="240" w:after="0"/>
        <w:jc w:val="left"/>
        <w:rPr>
          <w:rFonts w:ascii="Times New Roman" w:hAnsi="Times New Roman"/>
          <w:sz w:val="20"/>
        </w:rPr>
      </w:pPr>
      <w:r>
        <w:rPr>
          <w:rFonts w:ascii="Times New Roman;serif" w:hAnsi="Times New Roman;serif"/>
          <w:b w:val="false"/>
          <w:sz w:val="20"/>
        </w:rPr>
        <w:t>On May 4, 2023, the Board declared a cash dividend of $0.05</w:t>
      </w:r>
      <w:r>
        <w:rPr>
          <w:rFonts w:ascii="Times New Roman" w:hAnsi="Times New Roman"/>
          <w:sz w:val="20"/>
        </w:rPr>
        <w:t xml:space="preserve"> </w:t>
      </w:r>
      <w:r>
        <w:rPr>
          <w:rFonts w:ascii="Times New Roman;serif" w:hAnsi="Times New Roman;serif"/>
          <w:b w:val="false"/>
          <w:sz w:val="20"/>
        </w:rPr>
        <w:t>per share of common stock, payable on June 20, 2023, for the stockholders of record at the close of business on May 30, 2023.</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29</w:t>
      </w:r>
    </w:p>
    <w:p>
      <w:pPr>
        <w:pStyle w:val="HorizontalLine"/>
        <w:rPr/>
      </w:pPr>
      <w:r>
        <w:rPr/>
      </w:r>
    </w:p>
    <w:p>
      <w:pPr>
        <w:pStyle w:val="TextBody"/>
        <w:spacing w:before="0" w:after="0"/>
        <w:jc w:val="left"/>
        <w:rPr/>
      </w:pPr>
      <w:r>
        <w:rPr/>
        <w:t> </w:t>
      </w:r>
    </w:p>
    <w:p>
      <w:pPr>
        <w:pStyle w:val="TextBody"/>
        <w:spacing w:before="0" w:after="0"/>
        <w:jc w:val="left"/>
        <w:rPr>
          <w:rFonts w:ascii="Times New Roman" w:hAnsi="Times New Roman"/>
          <w:sz w:val="20"/>
        </w:rPr>
      </w:pPr>
      <w:bookmarkStart w:id="12" w:name="item_2_managements_discussion_analysis_f"/>
      <w:bookmarkEnd w:id="12"/>
      <w:r>
        <w:rPr>
          <w:rFonts w:ascii="Times New Roman;serif" w:hAnsi="Times New Roman;serif"/>
          <w:b/>
          <w:sz w:val="20"/>
        </w:rPr>
        <w:t>Item 2. Management’s Discussion and Analysis of</w:t>
      </w:r>
      <w:r>
        <w:rPr>
          <w:rFonts w:ascii="Times New Roman" w:hAnsi="Times New Roman"/>
          <w:sz w:val="20"/>
        </w:rPr>
        <w:t xml:space="preserve"> </w:t>
      </w:r>
      <w:r>
        <w:rPr>
          <w:rFonts w:ascii="Times New Roman;serif" w:hAnsi="Times New Roman;serif"/>
          <w:b/>
          <w:sz w:val="20"/>
        </w:rPr>
        <w:t>Financial Condition and Results of Operations</w:t>
      </w:r>
    </w:p>
    <w:p>
      <w:pPr>
        <w:pStyle w:val="TextBody"/>
        <w:spacing w:before="240" w:after="0"/>
        <w:jc w:val="left"/>
        <w:rPr>
          <w:rFonts w:ascii="Times New Roman" w:hAnsi="Times New Roman"/>
          <w:sz w:val="20"/>
        </w:rPr>
      </w:pPr>
      <w:r>
        <w:rPr>
          <w:rFonts w:ascii="Times New Roman;serif" w:hAnsi="Times New Roman;serif"/>
          <w:b w:val="false"/>
          <w:i/>
          <w:sz w:val="20"/>
        </w:rPr>
        <w:t>The following discussion is intended to promote understanding of the results of operations and financial condition and should be read in conjunction with our condensed consolidated financial statements and notes thereto, and with our audited financial statements and notes thereto for the year ended December 31, 2022 found in the Form 10-K filed by us on March 1, 2023 (the “Form 10-K”). This section of this Form 10-Q generally discusses quarter over quarter comparisons of 2023 against 2022. Except where otherwise indicated, the quarter over quarter comparisons and results of operations discussed herein present the results of Adeia Inc. after giving effect to the Separation described herein.</w:t>
      </w:r>
      <w:r>
        <w:rPr>
          <w:rFonts w:ascii="Times New Roman" w:hAnsi="Times New Roman"/>
          <w:sz w:val="20"/>
        </w:rPr>
        <w:t xml:space="preserve"> </w:t>
      </w:r>
    </w:p>
    <w:p>
      <w:pPr>
        <w:pStyle w:val="TextBody"/>
        <w:spacing w:before="240" w:after="0"/>
        <w:jc w:val="left"/>
        <w:rPr>
          <w:rFonts w:ascii="Times New Roman;serif" w:hAnsi="Times New Roman;serif"/>
          <w:b w:val="false"/>
          <w:i/>
          <w:sz w:val="20"/>
        </w:rPr>
      </w:pPr>
      <w:r>
        <w:rPr>
          <w:rFonts w:ascii="Times New Roman;serif" w:hAnsi="Times New Roman;serif"/>
          <w:b w:val="false"/>
          <w:i/>
          <w:sz w:val="20"/>
        </w:rPr>
        <w:t>This quarterly report on Form 10-Q (this “Quarterly Report”) contains forward-looking statements, which are subject to the safe harbor provisions created by the Private Securities Litigation Reform Act of 1995. In this context, forward-looking statements often address expected future business, financial performance and financial condition, and often contain words such as "expect," "anticipate," "intend," "plan," "believe," "could," "seek," "see," "will," "may," "would," "might," "potentially," "estimate," "continue," "target," similar expressions or the negatives of these words or other comparable terminology that convey uncertainty of future events or outcomes. All forward-looking statements by their nature address matters that involve risks and uncertainties, many of which are beyond our control, and are not guarantees of future results. These and other forward-looking statements are subject to risks, uncertainties and assumptions that could cause actual results to differ materially from those expressed in any forward-looking statements. Accordingly, there are or will be important factors that could cause actual results to differ materially from those indicated in such statements and, therefore, you should not place undue reliance on any such statements and caution must be exercised in relying on forward-looking statements. Important risk factors that may cause such a difference include, but are not limited to: our ability to implement our business strategy; our ability to enter into new and renewal license agreements with customers on favorable terms; our ability to retain and hire key personnel; uncertainty as to the long-term value of our common stock; legislative, regulatory and economic developments affecting our business; general economic and market developments and conditions; our ability to grow and expand our patent portfolios; changes in technology and development of competing technology in the industries in which we operate; the evolving legal, regulatory and tax regimes under which we operate; unforeseen liabilities and expenses; risks associated with our indebtedness; unpredictability and severity of catastrophic events, including, but not limited to, acts of terrorism or outbreak of war or hostilities, including Russia’s invasion of Ukraine, and natural disasters; our ability to achieve the intended benefits of, and our ability to recognize the anticipated tax treatment of, the recent spin-off of our product business; and the extent to which the COVID-19 pandemic continues to have an adverse impact on our business, results of operations, and financial condition will depend on future developments, including measures taken in response to the pandemic, which are highly uncertain and cannot be predicted.</w:t>
      </w:r>
    </w:p>
    <w:p>
      <w:pPr>
        <w:pStyle w:val="TextBody"/>
        <w:spacing w:before="240" w:after="0"/>
        <w:jc w:val="left"/>
        <w:rPr>
          <w:rFonts w:ascii="Times New Roman;serif" w:hAnsi="Times New Roman;serif"/>
          <w:b w:val="false"/>
          <w:i/>
          <w:sz w:val="20"/>
        </w:rPr>
      </w:pPr>
      <w:r>
        <w:rPr>
          <w:rFonts w:ascii="Times New Roman;serif" w:hAnsi="Times New Roman;serif"/>
          <w:b w:val="false"/>
          <w:i/>
          <w:sz w:val="20"/>
        </w:rPr>
        <w:t>Although forward-looking statements in this Quarterly Report reflect the good faith judgment of our management, such statements can only be based on facts and factors currently known by us. Consequently, forward-looking statements are inherently subject to risks, uncertainties, and changes in condition, significance, value and effect, including those discussed under the heading “Risk Factors” in documents we file from time to time with the Securities and Exchange Commission (the “SEC”), such as our annual reports on Form 10-K, our quarterly reports on Form 10-Q and our current reports on Form 8-K. Such risks, uncertainties and changes in condition, significance, value and effect could cause our actual results to differ materially from those expressed herein and in ways not readily foreseeable. Readers are urged not to place undue reliance on these forward-looking statements, which speak only as of the date of this Quarterly Report and are based on information currently and reasonably known to us. We undertake no obligation to revise or update any forward-looking statements in order to reflect any event or circumstance that may arise after the date of this Quarterly Report, other than as required by law. Readers are urged to carefully review and consider the various disclosures made in this Quarterly Report, which attempt to advise interested parties of the risks and factors that may affect our business, financial condition, results of operations and prospects.</w:t>
      </w:r>
    </w:p>
    <w:p>
      <w:pPr>
        <w:pStyle w:val="TextBody"/>
        <w:spacing w:before="240" w:after="0"/>
        <w:jc w:val="left"/>
        <w:rPr>
          <w:rFonts w:ascii="Times New Roman;serif" w:hAnsi="Times New Roman;serif"/>
          <w:b/>
          <w:sz w:val="20"/>
        </w:rPr>
      </w:pPr>
      <w:r>
        <w:rPr>
          <w:rFonts w:ascii="Times New Roman;serif" w:hAnsi="Times New Roman;serif"/>
          <w:b/>
          <w:sz w:val="20"/>
        </w:rPr>
        <w:t>Business Overview</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On October 1, 2022, Adeia Inc. (formerly known as Xperi Holding Corporation) (“Adeia”, “we”) completed the previously announced separation (“the Separation”) of its product business into an independent, publicly-traded company, Xperi Inc. (“Xperi Inc.”). The Separation was structured as a spin-off, which was achieved through Adeia’s distribution of 100 percent of the outstanding shares of Xperi Inc.’s common stock to holders of Adeia’s common stock as of the close of business on the record date of September 21, 2022 (the “Record Date”). Each Adeia stockholder of record received four shares of Xperi Inc. common stock for every ten shares of Adeia common stock that it held on the Record Date. Following the Separation, Adeia retains no ownership interest in Xperi Inc., which is now listed under the ticker symbol “XPER” on the New York Stock Exchange. Effective at the open of business on October 3, 2022, Adeia's shares of common stock, par value $0.001 per share, began trading on the Nasdaq Global Select Market under the new ticker symbol “ADEA”.</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30</w:t>
      </w:r>
    </w:p>
    <w:p>
      <w:pPr>
        <w:pStyle w:val="HorizontalLine"/>
        <w:rPr/>
      </w:pPr>
      <w:r>
        <w:rPr/>
      </w:r>
    </w:p>
    <w:p>
      <w:pPr>
        <w:pStyle w:val="TextBody"/>
        <w:spacing w:before="0" w:after="0"/>
        <w:jc w:val="left"/>
        <w:rPr/>
      </w:pPr>
      <w:r>
        <w:rPr/>
        <w:t>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Following the Separation, we are a leading IP licensing platform in the consumer and entertainment space, with a diverse portfolio of media and semiconductor intellectual property and more than 9,950 patents and patent applications worldwide. In order to serve an increasingly connected world, we invent, develop, and license fundamental innovations that enhance billions of devices and shape the way millions of people explore and experience entertainment. Through our IP licensing business, we help enable extraordinary experiences at home and on the go for millions of consumers around the world, with IP that helps elevate content and improves how audiences connect with it in a way that is more intelligent, immersive and personal. Through providing the IP that helps to power smart devices, entertainment experiences and more, we have created a unified ecosystem that reaches highly-engaged consumers and uncovered new business opportunities.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Headquartered in Silicon Valley with more than 35 years of operating experience, we have approximately 120 employees, with substantially all of our employees located in the U.S.</w:t>
      </w:r>
    </w:p>
    <w:p>
      <w:pPr>
        <w:pStyle w:val="TextBody"/>
        <w:spacing w:before="240" w:after="0"/>
        <w:jc w:val="left"/>
        <w:rPr>
          <w:rFonts w:ascii="Times New Roman;serif" w:hAnsi="Times New Roman;serif"/>
          <w:b/>
          <w:sz w:val="20"/>
        </w:rPr>
      </w:pPr>
      <w:r>
        <w:rPr>
          <w:rFonts w:ascii="Times New Roman;serif" w:hAnsi="Times New Roman;serif"/>
          <w:b/>
          <w:sz w:val="20"/>
        </w:rPr>
        <w:t>COVID-19 Impact and Macroeconomic Conditions</w:t>
      </w:r>
    </w:p>
    <w:p>
      <w:pPr>
        <w:pStyle w:val="TextBody"/>
        <w:spacing w:before="240" w:after="0"/>
        <w:jc w:val="left"/>
        <w:rPr>
          <w:rFonts w:ascii="Times New Roman" w:hAnsi="Times New Roman"/>
          <w:sz w:val="20"/>
        </w:rPr>
      </w:pPr>
      <w:r>
        <w:rPr>
          <w:rFonts w:ascii="Times New Roman;serif" w:hAnsi="Times New Roman;serif"/>
          <w:b w:val="false"/>
          <w:sz w:val="20"/>
        </w:rPr>
        <w:t>The COVID-19 pandemic has had, and may continue to have, an adverse impact on our business. The impact to date has included periods of significant volatility in the markets we serve, in particular the broad consumer electronics market. The pandemic has also caused challenges and delays in acquiring new customers and executing license renewals. These factors have negatively impacted our financial condition and results of operations, which may result in an impairment of our long-lived assets, including goodwill, and increased credit losses.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Further, our operations and those of our customers have also been negatively impacted by certain trends arising out of the COVID-19 pandemic and macroeconomic, including labor market constraints, shortages of semiconductor components, decreased manufacturing capacities and delays in shipments, product development and product launches. Moreover, since the onset of the COVID-19 pandemic, United States federal, state and foreign government policies enacted to combat the pandemic have contributed to a recent rise of inflation that has increased, and may continue to increase, the cost of our operations and have had, and may continue to have, an adverse effect on demand for our customers' products and services and in turn our licensing revenues, which has had and may continue to have an adverse effect on our financial performance.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Although a significant portion of our revenue is derived from fixed-fee and minimum-guarantee arrangements from large, well-capitalized customers, our per-unit and variable-fee based revenue will continue to be susceptible to the volatility, labor shortages, supply chain disruptions, microchip shortages and market downturns precipitated by the COVID-19 pandemic.</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impact of the pandemic on our overall results of operations remains uncertain for the foreseeable future. Further discussion of COVID-19’s potential impact on our business is provided under Part I, Item 1A – Risk Factors of the Form 10-K and in Part II, Item 5 – Risk Factors of this Form 10-Q.</w:t>
      </w:r>
    </w:p>
    <w:p>
      <w:pPr>
        <w:pStyle w:val="TextBody"/>
        <w:spacing w:before="240" w:after="0"/>
        <w:jc w:val="left"/>
        <w:rPr>
          <w:rFonts w:ascii="Times New Roman;serif" w:hAnsi="Times New Roman;serif"/>
          <w:b/>
          <w:sz w:val="20"/>
        </w:rPr>
      </w:pPr>
      <w:r>
        <w:rPr>
          <w:rFonts w:ascii="Times New Roman;serif" w:hAnsi="Times New Roman;serif"/>
          <w:b/>
          <w:sz w:val="20"/>
        </w:rPr>
        <w:t>Key Developments</w:t>
      </w:r>
    </w:p>
    <w:p>
      <w:pPr>
        <w:pStyle w:val="TextBody"/>
        <w:spacing w:before="240" w:after="0"/>
        <w:jc w:val="left"/>
        <w:rPr>
          <w:rFonts w:ascii="Times New Roman" w:hAnsi="Times New Roman"/>
          <w:sz w:val="20"/>
        </w:rPr>
      </w:pPr>
      <w:r>
        <w:rPr>
          <w:rFonts w:ascii="Times New Roman;serif" w:hAnsi="Times New Roman;serif"/>
          <w:b w:val="false"/>
          <w:sz w:val="20"/>
        </w:rPr>
        <w:t>The accounting requirements for reporting the Separation of Xperi Inc. as a discontinued operation were met when the Separation was completed on October 1, 2022. Accordingly, the financial results of Xperi Inc. for the three months ended March 31, 2022 are presented as net loss from discontinued operations, net of tax on the Condensed Consolidated Statements of Operations. Unless noted otherwise, the discussion of our results of operations pertain to continuing operations.</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Additionally, the operating results from continuing operations for all periods presented and those prior to the Separation, include certain general corporate overhead costs that do not meet the requirements to be presented in discontinued operations, although such costs are not reflective of our on-going operations. Such general corporate overhead costs include labor and non-labor costs related to our corporate support functions (e.g., administration, human resources, finance, accounting, tax, information technology, corporate development and legal, among others) that historically provided support to Xperi Inc. prior to the Separation. In addition, discontinued operations excludes the historical intercompany balances and transactions between the Company and Xperi Inc. that were eliminated in consolidation.</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 connection with the Separation, we incurred separation costs of $43.3 million from January 1, 2020 to March 31, 2023. Separation costs primarily consist of third-party advisory, consulting, legal and professional service, IT and employee bonus costs directly related to the Separation, as well as other items that are incremental and one-time in nature. Out of these costs, $28.6 million were incurred prior to the Separation and are included in net loss from discontinued operations, net of tax. The remaining separation costs of $14.7 million were incurred after the Separation and are reflected in continuing operations within operating expenses in our Condensed Consolidated Statement of Operations. During the three months ended March 31, 2023 and 2022, we incurred $1.0 million and $2.8 million separation costs, respectively.</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31</w:t>
      </w:r>
    </w:p>
    <w:p>
      <w:pPr>
        <w:pStyle w:val="HorizontalLine"/>
        <w:rPr/>
      </w:pPr>
      <w:r>
        <w:rPr/>
      </w:r>
    </w:p>
    <w:p>
      <w:pPr>
        <w:pStyle w:val="TextBody"/>
        <w:spacing w:before="0" w:after="0"/>
        <w:jc w:val="left"/>
        <w:rPr/>
      </w:pPr>
      <w:r>
        <w:rPr/>
        <w:t> </w:t>
      </w:r>
    </w:p>
    <w:p>
      <w:pPr>
        <w:pStyle w:val="TextBody"/>
        <w:spacing w:before="240" w:after="0"/>
        <w:jc w:val="left"/>
        <w:rPr>
          <w:rFonts w:ascii="Times New Roman;serif" w:hAnsi="Times New Roman;serif"/>
          <w:b/>
          <w:sz w:val="20"/>
        </w:rPr>
      </w:pPr>
      <w:r>
        <w:rPr>
          <w:rFonts w:ascii="Times New Roman;serif" w:hAnsi="Times New Roman;serif"/>
          <w:b/>
          <w:sz w:val="20"/>
        </w:rPr>
        <w:t>Reportable Segments</w:t>
      </w:r>
    </w:p>
    <w:p>
      <w:pPr>
        <w:pStyle w:val="TextBody"/>
        <w:spacing w:before="240" w:after="0"/>
        <w:jc w:val="left"/>
        <w:rPr>
          <w:rFonts w:ascii="Times New Roman" w:hAnsi="Times New Roman"/>
          <w:sz w:val="20"/>
        </w:rPr>
      </w:pPr>
      <w:r>
        <w:rPr>
          <w:rFonts w:ascii="Times New Roman;serif" w:hAnsi="Times New Roman;serif"/>
          <w:b w:val="false"/>
          <w:sz w:val="20"/>
        </w:rPr>
        <w:t>Upon completion of the Separation, in the fourth quarter of 2022, we changed our organizational structure to operate and report in one segment: IP Licensing. We believe that this structure reflects our current operational and financial management following the completion of the Separation and provides the best structure for us to focus on growth opportunities. Our Chief Executive Officer has been determined to be the Chief Operating Decision Maker (“CODM”) in consideration with the authoritative guidance on segment reporting.</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We primarily license our innovations to leading companies in the broader entertainment and semiconductor industries, and those companies developing new technologies that will help drive these industries forward. Licensing arrangements include access to one or more of our foundational patent portfolios and may also include access to some portions of our industry-leading technologies and know-how.</w:t>
      </w:r>
      <w:r>
        <w:rPr>
          <w:rFonts w:ascii="Times New Roman" w:hAnsi="Times New Roman"/>
          <w:sz w:val="20"/>
        </w:rPr>
        <w:t xml:space="preserve"> </w:t>
      </w:r>
    </w:p>
    <w:p>
      <w:pPr>
        <w:pStyle w:val="TextBody"/>
        <w:spacing w:before="240" w:after="0"/>
        <w:jc w:val="left"/>
        <w:rPr>
          <w:rFonts w:ascii="Times New Roman;serif" w:hAnsi="Times New Roman;serif"/>
          <w:b/>
          <w:sz w:val="20"/>
        </w:rPr>
      </w:pPr>
      <w:r>
        <w:rPr>
          <w:rFonts w:ascii="Times New Roman;serif" w:hAnsi="Times New Roman;serif"/>
          <w:b/>
          <w:sz w:val="20"/>
        </w:rPr>
        <w:t>Financial Highlights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For the three months ended March 31, 2023:</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Revenue was $117.3 million, a decrease of 15% from $138.5 million in the same period in 2022</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Diluted earnings per share (EPS) was $0.26, an increase of 8% from $0.24 in the same period in 2022</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Net income was $29.0 million, an increase of 16% from $24.9 million in the same period in 2022</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Cash flows from operations were $63.4 million, an increase of 37% from $46.3 million in the same period in 2022</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We made $83.6 million in principal payments towards our term loan, bringing the outstanding balance to $665.6 million as of March 31, 2023.</w:t>
      </w:r>
    </w:p>
    <w:p>
      <w:pPr>
        <w:pStyle w:val="TextBody"/>
        <w:spacing w:before="240" w:after="0"/>
        <w:jc w:val="left"/>
        <w:rPr>
          <w:rFonts w:ascii="Times New Roman;serif" w:hAnsi="Times New Roman;serif"/>
          <w:b/>
          <w:sz w:val="20"/>
        </w:rPr>
      </w:pPr>
      <w:r>
        <w:rPr>
          <w:rFonts w:ascii="Times New Roman;serif" w:hAnsi="Times New Roman;serif"/>
          <w:b/>
          <w:sz w:val="20"/>
        </w:rPr>
        <w:t>Results of Operations</w:t>
      </w:r>
    </w:p>
    <w:p>
      <w:pPr>
        <w:pStyle w:val="TextBody"/>
        <w:spacing w:before="240" w:after="0"/>
        <w:jc w:val="left"/>
        <w:rPr>
          <w:rFonts w:ascii="Times New Roman;serif" w:hAnsi="Times New Roman;serif"/>
          <w:b w:val="false"/>
          <w:i/>
          <w:sz w:val="20"/>
        </w:rPr>
      </w:pPr>
      <w:r>
        <w:rPr>
          <w:rFonts w:ascii="Times New Roman;serif" w:hAnsi="Times New Roman;serif"/>
          <w:b w:val="false"/>
          <w:i/>
          <w:sz w:val="20"/>
        </w:rPr>
        <w:t>Revenue</w:t>
      </w:r>
    </w:p>
    <w:p>
      <w:pPr>
        <w:pStyle w:val="TextBody"/>
        <w:spacing w:before="240" w:after="0"/>
        <w:jc w:val="left"/>
        <w:rPr>
          <w:rFonts w:ascii="Times New Roman" w:hAnsi="Times New Roman"/>
          <w:sz w:val="20"/>
        </w:rPr>
      </w:pPr>
      <w:r>
        <w:rPr>
          <w:rFonts w:ascii="Times New Roman;serif" w:hAnsi="Times New Roman;serif"/>
          <w:b w:val="false"/>
          <w:sz w:val="20"/>
        </w:rPr>
        <w:t xml:space="preserve">We derive the majority of our revenue from the licensing of our intellectual property (“IP”) rights to customers. For our revenue recognition policy, including descriptions of revenue-generating activities, refer to “Note 3 – </w:t>
      </w:r>
      <w:r>
        <w:rPr>
          <w:rFonts w:ascii="Times New Roman;serif" w:hAnsi="Times New Roman;serif"/>
          <w:b w:val="false"/>
          <w:i/>
          <w:sz w:val="20"/>
        </w:rPr>
        <w:t>Revenue</w:t>
      </w:r>
      <w:r>
        <w:rPr>
          <w:rFonts w:ascii="Times New Roman" w:hAnsi="Times New Roman"/>
          <w:sz w:val="20"/>
        </w:rPr>
        <w:t xml:space="preserve">” </w:t>
      </w:r>
      <w:r>
        <w:rPr>
          <w:rFonts w:ascii="Times New Roman;serif" w:hAnsi="Times New Roman;serif"/>
          <w:b w:val="false"/>
          <w:sz w:val="20"/>
        </w:rPr>
        <w:t>of the Notes to condensed consolidated financial statements.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following table presents our operating results for the periods indicated as a percentage of revenue:</w:t>
      </w:r>
    </w:p>
    <w:p>
      <w:pPr>
        <w:pStyle w:val="TextBody"/>
        <w:spacing w:before="0" w:after="0"/>
        <w:jc w:val="left"/>
        <w:rPr/>
      </w:pPr>
      <w:r>
        <w:rPr/>
        <w:t> </w:t>
      </w:r>
    </w:p>
    <w:tbl>
      <w:tblPr>
        <w:tblW w:w="7305" w:type="dxa"/>
        <w:jc w:val="left"/>
        <w:tblInd w:w="0" w:type="dxa"/>
        <w:tblCellMar>
          <w:top w:w="28" w:type="dxa"/>
          <w:left w:w="28" w:type="dxa"/>
          <w:bottom w:w="28" w:type="dxa"/>
          <w:right w:w="28" w:type="dxa"/>
        </w:tblCellMar>
      </w:tblPr>
      <w:tblGrid>
        <w:gridCol w:w="4651"/>
        <w:gridCol w:w="146"/>
        <w:gridCol w:w="180"/>
        <w:gridCol w:w="521"/>
        <w:gridCol w:w="335"/>
        <w:gridCol w:w="180"/>
        <w:gridCol w:w="180"/>
        <w:gridCol w:w="521"/>
        <w:gridCol w:w="591"/>
      </w:tblGrid>
      <w:tr>
        <w:trPr/>
        <w:tc>
          <w:tcPr>
            <w:tcW w:w="46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521"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521"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r>
      <w:tr>
        <w:trPr/>
        <w:tc>
          <w:tcPr>
            <w:tcW w:w="46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17"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 xml:space="preserve">Three Months Ended </w:t>
              <w:br/>
              <w:t>March 31,</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6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0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3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80" w:type="dxa"/>
            <w:tcBorders/>
            <w:shd w:fill="auto" w:val="clear"/>
            <w:vAlign w:val="center"/>
          </w:tcPr>
          <w:p>
            <w:pPr>
              <w:pStyle w:val="TableContents"/>
              <w:spacing w:before="0" w:after="0"/>
              <w:ind w:left="0" w:right="0" w:hanging="0"/>
              <w:jc w:val="left"/>
              <w:rPr/>
            </w:pPr>
            <w:r>
              <w:rPr/>
              <w:t> </w:t>
            </w:r>
          </w:p>
        </w:tc>
        <w:tc>
          <w:tcPr>
            <w:tcW w:w="70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6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Revenue</w:t>
            </w:r>
          </w:p>
        </w:tc>
        <w:tc>
          <w:tcPr>
            <w:tcW w:w="146" w:type="dxa"/>
            <w:tcBorders/>
            <w:shd w:fill="auto" w:val="clear"/>
            <w:vAlign w:val="center"/>
          </w:tcPr>
          <w:p>
            <w:pPr>
              <w:pStyle w:val="TableContents"/>
              <w:spacing w:before="0" w:after="0"/>
              <w:ind w:left="0" w:right="0" w:hanging="0"/>
              <w:jc w:val="left"/>
              <w:rPr/>
            </w:pPr>
            <w:r>
              <w:rPr/>
              <w:t> </w:t>
            </w:r>
          </w:p>
        </w:tc>
        <w:tc>
          <w:tcPr>
            <w:tcW w:w="180" w:type="dxa"/>
            <w:tcBorders/>
            <w:shd w:fill="auto" w:val="clear"/>
            <w:vAlign w:val="center"/>
          </w:tcPr>
          <w:p>
            <w:pPr>
              <w:pStyle w:val="TableContents"/>
              <w:spacing w:before="0" w:after="0"/>
              <w:ind w:left="0" w:right="0" w:hanging="0"/>
              <w:jc w:val="left"/>
              <w:rPr/>
            </w:pPr>
            <w:r>
              <w:rPr/>
              <w:t> </w:t>
            </w:r>
          </w:p>
        </w:tc>
        <w:tc>
          <w:tcPr>
            <w:tcW w:w="5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w:t>
            </w:r>
          </w:p>
        </w:tc>
        <w:tc>
          <w:tcPr>
            <w:tcW w:w="33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0" w:type="dxa"/>
            <w:tcBorders/>
            <w:shd w:fill="auto" w:val="clear"/>
            <w:vAlign w:val="center"/>
          </w:tcPr>
          <w:p>
            <w:pPr>
              <w:pStyle w:val="TableContents"/>
              <w:spacing w:before="0" w:after="0"/>
              <w:ind w:left="0" w:right="0" w:hanging="0"/>
              <w:jc w:val="left"/>
              <w:rPr/>
            </w:pPr>
            <w:r>
              <w:rPr/>
              <w:t> </w:t>
            </w:r>
          </w:p>
        </w:tc>
        <w:tc>
          <w:tcPr>
            <w:tcW w:w="180" w:type="dxa"/>
            <w:tcBorders/>
            <w:shd w:fill="auto" w:val="clear"/>
            <w:vAlign w:val="center"/>
          </w:tcPr>
          <w:p>
            <w:pPr>
              <w:pStyle w:val="TableContents"/>
              <w:spacing w:before="0" w:after="0"/>
              <w:ind w:left="0" w:right="0" w:hanging="0"/>
              <w:jc w:val="left"/>
              <w:rPr/>
            </w:pPr>
            <w:r>
              <w:rPr/>
              <w:t> </w:t>
            </w:r>
          </w:p>
        </w:tc>
        <w:tc>
          <w:tcPr>
            <w:tcW w:w="5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w:t>
            </w:r>
          </w:p>
        </w:tc>
        <w:tc>
          <w:tcPr>
            <w:tcW w:w="5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6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shd w:fill="auto" w:val="clear"/>
            <w:vAlign w:val="center"/>
          </w:tcPr>
          <w:p>
            <w:pPr>
              <w:pStyle w:val="TableContents"/>
              <w:spacing w:before="0" w:after="0"/>
              <w:ind w:left="0" w:right="0" w:hanging="0"/>
              <w:jc w:val="left"/>
              <w:rPr/>
            </w:pPr>
            <w:r>
              <w:rPr/>
              <w:t> </w:t>
            </w:r>
          </w:p>
        </w:tc>
        <w:tc>
          <w:tcPr>
            <w:tcW w:w="701" w:type="dxa"/>
            <w:gridSpan w:val="2"/>
            <w:tcBorders/>
            <w:shd w:fill="auto" w:val="clear"/>
            <w:vAlign w:val="center"/>
          </w:tcPr>
          <w:p>
            <w:pPr>
              <w:pStyle w:val="TableContents"/>
              <w:spacing w:before="0" w:after="0"/>
              <w:ind w:left="0" w:right="0" w:hanging="0"/>
              <w:jc w:val="right"/>
              <w:rPr/>
            </w:pPr>
            <w:r>
              <w:rPr/>
              <w:t> </w:t>
            </w:r>
          </w:p>
        </w:tc>
        <w:tc>
          <w:tcPr>
            <w:tcW w:w="335" w:type="dxa"/>
            <w:tcBorders/>
            <w:shd w:fill="auto" w:val="clear"/>
            <w:vAlign w:val="center"/>
          </w:tcPr>
          <w:p>
            <w:pPr>
              <w:pStyle w:val="TableContents"/>
              <w:spacing w:before="0" w:after="0"/>
              <w:ind w:left="0" w:right="0" w:hanging="0"/>
              <w:jc w:val="right"/>
              <w:rPr/>
            </w:pPr>
            <w:r>
              <w:rPr/>
              <w:t> </w:t>
            </w:r>
          </w:p>
        </w:tc>
        <w:tc>
          <w:tcPr>
            <w:tcW w:w="180" w:type="dxa"/>
            <w:tcBorders/>
            <w:shd w:fill="auto" w:val="clear"/>
            <w:vAlign w:val="center"/>
          </w:tcPr>
          <w:p>
            <w:pPr>
              <w:pStyle w:val="TableContents"/>
              <w:spacing w:before="0" w:after="0"/>
              <w:ind w:left="0" w:right="0" w:hanging="0"/>
              <w:jc w:val="left"/>
              <w:rPr/>
            </w:pPr>
            <w:r>
              <w:rPr/>
              <w:t> </w:t>
            </w:r>
          </w:p>
        </w:tc>
        <w:tc>
          <w:tcPr>
            <w:tcW w:w="701"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firstLine="200"/>
              <w:jc w:val="right"/>
              <w:rPr/>
            </w:pPr>
            <w:r>
              <w:rPr/>
              <w:t> </w:t>
            </w:r>
          </w:p>
        </w:tc>
      </w:tr>
      <w:tr>
        <w:trPr/>
        <w:tc>
          <w:tcPr>
            <w:tcW w:w="465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shd w:fill="auto" w:val="clear"/>
            <w:vAlign w:val="center"/>
          </w:tcPr>
          <w:p>
            <w:pPr>
              <w:pStyle w:val="TableContents"/>
              <w:spacing w:before="0" w:after="0"/>
              <w:ind w:left="0" w:right="0" w:hanging="0"/>
              <w:jc w:val="left"/>
              <w:rPr/>
            </w:pPr>
            <w:r>
              <w:rPr/>
              <w:t> </w:t>
            </w:r>
          </w:p>
        </w:tc>
        <w:tc>
          <w:tcPr>
            <w:tcW w:w="180" w:type="dxa"/>
            <w:tcBorders/>
            <w:shd w:fill="auto" w:val="clear"/>
            <w:vAlign w:val="center"/>
          </w:tcPr>
          <w:p>
            <w:pPr>
              <w:pStyle w:val="TableContents"/>
              <w:spacing w:before="0" w:after="0"/>
              <w:ind w:left="0" w:right="0" w:hanging="0"/>
              <w:jc w:val="left"/>
              <w:rPr/>
            </w:pPr>
            <w:r>
              <w:rPr/>
              <w:t> </w:t>
            </w:r>
          </w:p>
        </w:tc>
        <w:tc>
          <w:tcPr>
            <w:tcW w:w="5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335" w:type="dxa"/>
            <w:tcBorders/>
            <w:shd w:fill="auto" w:val="clear"/>
            <w:vAlign w:val="center"/>
          </w:tcPr>
          <w:p>
            <w:pPr>
              <w:pStyle w:val="TableContents"/>
              <w:spacing w:before="0" w:after="0"/>
              <w:ind w:left="0" w:right="0" w:hanging="0"/>
              <w:jc w:val="left"/>
              <w:rPr/>
            </w:pPr>
            <w:r>
              <w:rPr/>
              <w:t> </w:t>
            </w:r>
          </w:p>
        </w:tc>
        <w:tc>
          <w:tcPr>
            <w:tcW w:w="180" w:type="dxa"/>
            <w:tcBorders/>
            <w:shd w:fill="auto" w:val="clear"/>
            <w:vAlign w:val="center"/>
          </w:tcPr>
          <w:p>
            <w:pPr>
              <w:pStyle w:val="TableContents"/>
              <w:spacing w:before="0" w:after="0"/>
              <w:ind w:left="0" w:right="0" w:hanging="0"/>
              <w:jc w:val="left"/>
              <w:rPr/>
            </w:pPr>
            <w:r>
              <w:rPr/>
              <w:t> </w:t>
            </w:r>
          </w:p>
        </w:tc>
        <w:tc>
          <w:tcPr>
            <w:tcW w:w="180" w:type="dxa"/>
            <w:tcBorders/>
            <w:shd w:fill="auto" w:val="clear"/>
            <w:vAlign w:val="center"/>
          </w:tcPr>
          <w:p>
            <w:pPr>
              <w:pStyle w:val="TableContents"/>
              <w:spacing w:before="0" w:after="0"/>
              <w:ind w:left="0" w:right="0" w:hanging="0"/>
              <w:jc w:val="left"/>
              <w:rPr/>
            </w:pPr>
            <w:r>
              <w:rPr/>
              <w:t> </w:t>
            </w:r>
          </w:p>
        </w:tc>
        <w:tc>
          <w:tcPr>
            <w:tcW w:w="5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591" w:type="dxa"/>
            <w:tcBorders/>
            <w:shd w:fill="auto" w:val="clear"/>
            <w:vAlign w:val="center"/>
          </w:tcPr>
          <w:p>
            <w:pPr>
              <w:pStyle w:val="TableContents"/>
              <w:spacing w:before="0" w:after="0"/>
              <w:ind w:left="0" w:right="0" w:firstLine="200"/>
              <w:jc w:val="left"/>
              <w:rPr/>
            </w:pPr>
            <w:r>
              <w:rPr/>
              <w:t> </w:t>
            </w:r>
          </w:p>
        </w:tc>
      </w:tr>
      <w:tr>
        <w:trPr/>
        <w:tc>
          <w:tcPr>
            <w:tcW w:w="465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Selling, general and administrative</w:t>
            </w:r>
          </w:p>
        </w:tc>
        <w:tc>
          <w:tcPr>
            <w:tcW w:w="146" w:type="dxa"/>
            <w:tcBorders/>
            <w:shd w:fill="auto" w:val="clear"/>
            <w:vAlign w:val="center"/>
          </w:tcPr>
          <w:p>
            <w:pPr>
              <w:pStyle w:val="TableContents"/>
              <w:spacing w:before="0" w:after="0"/>
              <w:ind w:left="0" w:right="0" w:hanging="0"/>
              <w:jc w:val="left"/>
              <w:rPr/>
            </w:pPr>
            <w:r>
              <w:rPr/>
              <w:t> </w:t>
            </w:r>
          </w:p>
        </w:tc>
        <w:tc>
          <w:tcPr>
            <w:tcW w:w="180" w:type="dxa"/>
            <w:tcBorders/>
            <w:shd w:fill="auto" w:val="clear"/>
            <w:vAlign w:val="center"/>
          </w:tcPr>
          <w:p>
            <w:pPr>
              <w:pStyle w:val="TableContents"/>
              <w:spacing w:before="0" w:after="0"/>
              <w:ind w:left="0" w:right="0" w:hanging="0"/>
              <w:jc w:val="left"/>
              <w:rPr/>
            </w:pPr>
            <w:r>
              <w:rPr/>
              <w:t> </w:t>
            </w:r>
          </w:p>
        </w:tc>
        <w:tc>
          <w:tcPr>
            <w:tcW w:w="5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335" w:type="dxa"/>
            <w:tcBorders/>
            <w:shd w:fill="auto" w:val="clear"/>
            <w:vAlign w:val="center"/>
          </w:tcPr>
          <w:p>
            <w:pPr>
              <w:pStyle w:val="TableContents"/>
              <w:spacing w:before="0" w:after="0"/>
              <w:ind w:left="0" w:right="0" w:hanging="0"/>
              <w:jc w:val="left"/>
              <w:rPr/>
            </w:pPr>
            <w:r>
              <w:rPr/>
              <w:t> </w:t>
            </w:r>
          </w:p>
        </w:tc>
        <w:tc>
          <w:tcPr>
            <w:tcW w:w="180" w:type="dxa"/>
            <w:tcBorders/>
            <w:shd w:fill="auto" w:val="clear"/>
            <w:vAlign w:val="center"/>
          </w:tcPr>
          <w:p>
            <w:pPr>
              <w:pStyle w:val="TableContents"/>
              <w:spacing w:before="0" w:after="0"/>
              <w:ind w:left="0" w:right="0" w:hanging="0"/>
              <w:jc w:val="left"/>
              <w:rPr/>
            </w:pPr>
            <w:r>
              <w:rPr/>
              <w:t> </w:t>
            </w:r>
          </w:p>
        </w:tc>
        <w:tc>
          <w:tcPr>
            <w:tcW w:w="180" w:type="dxa"/>
            <w:tcBorders/>
            <w:shd w:fill="auto" w:val="clear"/>
            <w:vAlign w:val="center"/>
          </w:tcPr>
          <w:p>
            <w:pPr>
              <w:pStyle w:val="TableContents"/>
              <w:spacing w:before="0" w:after="0"/>
              <w:ind w:left="0" w:right="0" w:hanging="0"/>
              <w:jc w:val="left"/>
              <w:rPr/>
            </w:pPr>
            <w:r>
              <w:rPr/>
              <w:t> </w:t>
            </w:r>
          </w:p>
        </w:tc>
        <w:tc>
          <w:tcPr>
            <w:tcW w:w="5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591" w:type="dxa"/>
            <w:tcBorders/>
            <w:shd w:fill="auto" w:val="clear"/>
            <w:vAlign w:val="center"/>
          </w:tcPr>
          <w:p>
            <w:pPr>
              <w:pStyle w:val="TableContents"/>
              <w:spacing w:before="0" w:after="0"/>
              <w:ind w:left="0" w:right="0" w:firstLine="200"/>
              <w:jc w:val="left"/>
              <w:rPr/>
            </w:pPr>
            <w:r>
              <w:rPr/>
              <w:t> </w:t>
            </w:r>
          </w:p>
        </w:tc>
      </w:tr>
      <w:tr>
        <w:trPr/>
        <w:tc>
          <w:tcPr>
            <w:tcW w:w="465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Amortization expense</w:t>
            </w:r>
          </w:p>
        </w:tc>
        <w:tc>
          <w:tcPr>
            <w:tcW w:w="146" w:type="dxa"/>
            <w:tcBorders/>
            <w:shd w:fill="auto" w:val="clear"/>
            <w:vAlign w:val="center"/>
          </w:tcPr>
          <w:p>
            <w:pPr>
              <w:pStyle w:val="TableContents"/>
              <w:spacing w:before="0" w:after="0"/>
              <w:ind w:left="0" w:right="0" w:hanging="0"/>
              <w:jc w:val="left"/>
              <w:rPr/>
            </w:pPr>
            <w:r>
              <w:rPr/>
              <w:t> </w:t>
            </w:r>
          </w:p>
        </w:tc>
        <w:tc>
          <w:tcPr>
            <w:tcW w:w="180" w:type="dxa"/>
            <w:tcBorders/>
            <w:shd w:fill="auto" w:val="clear"/>
            <w:vAlign w:val="center"/>
          </w:tcPr>
          <w:p>
            <w:pPr>
              <w:pStyle w:val="TableContents"/>
              <w:spacing w:before="0" w:after="0"/>
              <w:ind w:left="0" w:right="0" w:hanging="0"/>
              <w:jc w:val="left"/>
              <w:rPr/>
            </w:pPr>
            <w:r>
              <w:rPr/>
              <w:t> </w:t>
            </w:r>
          </w:p>
        </w:tc>
        <w:tc>
          <w:tcPr>
            <w:tcW w:w="5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335" w:type="dxa"/>
            <w:tcBorders/>
            <w:shd w:fill="auto" w:val="clear"/>
            <w:vAlign w:val="center"/>
          </w:tcPr>
          <w:p>
            <w:pPr>
              <w:pStyle w:val="TableContents"/>
              <w:spacing w:before="0" w:after="0"/>
              <w:ind w:left="0" w:right="0" w:hanging="0"/>
              <w:jc w:val="left"/>
              <w:rPr/>
            </w:pPr>
            <w:r>
              <w:rPr/>
              <w:t> </w:t>
            </w:r>
          </w:p>
        </w:tc>
        <w:tc>
          <w:tcPr>
            <w:tcW w:w="180" w:type="dxa"/>
            <w:tcBorders/>
            <w:shd w:fill="auto" w:val="clear"/>
            <w:vAlign w:val="center"/>
          </w:tcPr>
          <w:p>
            <w:pPr>
              <w:pStyle w:val="TableContents"/>
              <w:spacing w:before="0" w:after="0"/>
              <w:ind w:left="0" w:right="0" w:hanging="0"/>
              <w:jc w:val="left"/>
              <w:rPr/>
            </w:pPr>
            <w:r>
              <w:rPr/>
              <w:t> </w:t>
            </w:r>
          </w:p>
        </w:tc>
        <w:tc>
          <w:tcPr>
            <w:tcW w:w="180" w:type="dxa"/>
            <w:tcBorders/>
            <w:shd w:fill="auto" w:val="clear"/>
            <w:vAlign w:val="center"/>
          </w:tcPr>
          <w:p>
            <w:pPr>
              <w:pStyle w:val="TableContents"/>
              <w:spacing w:before="0" w:after="0"/>
              <w:ind w:left="0" w:right="0" w:hanging="0"/>
              <w:jc w:val="left"/>
              <w:rPr/>
            </w:pPr>
            <w:r>
              <w:rPr/>
              <w:t> </w:t>
            </w:r>
          </w:p>
        </w:tc>
        <w:tc>
          <w:tcPr>
            <w:tcW w:w="5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c>
          <w:tcPr>
            <w:tcW w:w="591" w:type="dxa"/>
            <w:tcBorders/>
            <w:shd w:fill="auto" w:val="clear"/>
            <w:vAlign w:val="center"/>
          </w:tcPr>
          <w:p>
            <w:pPr>
              <w:pStyle w:val="TableContents"/>
              <w:spacing w:before="0" w:after="0"/>
              <w:ind w:left="0" w:right="0" w:firstLine="200"/>
              <w:jc w:val="left"/>
              <w:rPr/>
            </w:pPr>
            <w:r>
              <w:rPr/>
              <w:t> </w:t>
            </w:r>
          </w:p>
        </w:tc>
      </w:tr>
      <w:tr>
        <w:trPr/>
        <w:tc>
          <w:tcPr>
            <w:tcW w:w="465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Litigation expense</w:t>
            </w:r>
          </w:p>
        </w:tc>
        <w:tc>
          <w:tcPr>
            <w:tcW w:w="146" w:type="dxa"/>
            <w:tcBorders/>
            <w:shd w:fill="auto" w:val="clear"/>
            <w:vAlign w:val="center"/>
          </w:tcPr>
          <w:p>
            <w:pPr>
              <w:pStyle w:val="TableContents"/>
              <w:spacing w:before="0" w:after="0"/>
              <w:ind w:left="0" w:right="0" w:hanging="0"/>
              <w:jc w:val="left"/>
              <w:rPr/>
            </w:pPr>
            <w:r>
              <w:rPr/>
              <w:t> </w:t>
            </w:r>
          </w:p>
        </w:tc>
        <w:tc>
          <w:tcPr>
            <w:tcW w:w="1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3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0" w:type="dxa"/>
            <w:tcBorders/>
            <w:shd w:fill="auto" w:val="clear"/>
            <w:vAlign w:val="center"/>
          </w:tcPr>
          <w:p>
            <w:pPr>
              <w:pStyle w:val="TableContents"/>
              <w:spacing w:before="0" w:after="0"/>
              <w:ind w:left="0" w:right="0" w:hanging="0"/>
              <w:jc w:val="left"/>
              <w:rPr/>
            </w:pPr>
            <w:r>
              <w:rPr/>
              <w:t> </w:t>
            </w:r>
          </w:p>
        </w:tc>
        <w:tc>
          <w:tcPr>
            <w:tcW w:w="1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465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shd w:fill="auto" w:val="clear"/>
            <w:vAlign w:val="center"/>
          </w:tcPr>
          <w:p>
            <w:pPr>
              <w:pStyle w:val="TableContents"/>
              <w:spacing w:before="0" w:after="0"/>
              <w:ind w:left="0" w:right="0" w:hanging="0"/>
              <w:jc w:val="left"/>
              <w:rPr/>
            </w:pPr>
            <w:r>
              <w:rPr/>
              <w:t> </w:t>
            </w:r>
          </w:p>
        </w:tc>
        <w:tc>
          <w:tcPr>
            <w:tcW w:w="1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w:t>
            </w:r>
          </w:p>
        </w:tc>
        <w:tc>
          <w:tcPr>
            <w:tcW w:w="3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0" w:type="dxa"/>
            <w:tcBorders/>
            <w:shd w:fill="auto" w:val="clear"/>
            <w:vAlign w:val="center"/>
          </w:tcPr>
          <w:p>
            <w:pPr>
              <w:pStyle w:val="TableContents"/>
              <w:spacing w:before="0" w:after="0"/>
              <w:ind w:left="0" w:right="0" w:hanging="0"/>
              <w:jc w:val="left"/>
              <w:rPr/>
            </w:pPr>
            <w:r>
              <w:rPr/>
              <w:t> </w:t>
            </w:r>
          </w:p>
        </w:tc>
        <w:tc>
          <w:tcPr>
            <w:tcW w:w="1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6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income from continuing operations</w:t>
            </w:r>
          </w:p>
        </w:tc>
        <w:tc>
          <w:tcPr>
            <w:tcW w:w="146" w:type="dxa"/>
            <w:tcBorders/>
            <w:shd w:fill="auto" w:val="clear"/>
            <w:vAlign w:val="center"/>
          </w:tcPr>
          <w:p>
            <w:pPr>
              <w:pStyle w:val="TableContents"/>
              <w:spacing w:before="0" w:after="0"/>
              <w:ind w:left="0" w:right="0" w:hanging="0"/>
              <w:jc w:val="left"/>
              <w:rPr/>
            </w:pPr>
            <w:r>
              <w:rPr/>
              <w:t> </w:t>
            </w:r>
          </w:p>
        </w:tc>
        <w:tc>
          <w:tcPr>
            <w:tcW w:w="180" w:type="dxa"/>
            <w:tcBorders/>
            <w:shd w:fill="auto" w:val="clear"/>
            <w:vAlign w:val="center"/>
          </w:tcPr>
          <w:p>
            <w:pPr>
              <w:pStyle w:val="TableContents"/>
              <w:spacing w:before="0" w:after="0"/>
              <w:ind w:left="0" w:right="0" w:hanging="0"/>
              <w:jc w:val="left"/>
              <w:rPr/>
            </w:pPr>
            <w:r>
              <w:rPr/>
              <w:t> </w:t>
            </w:r>
          </w:p>
        </w:tc>
        <w:tc>
          <w:tcPr>
            <w:tcW w:w="5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w:t>
            </w:r>
          </w:p>
        </w:tc>
        <w:tc>
          <w:tcPr>
            <w:tcW w:w="335" w:type="dxa"/>
            <w:tcBorders/>
            <w:shd w:fill="auto" w:val="clear"/>
            <w:vAlign w:val="center"/>
          </w:tcPr>
          <w:p>
            <w:pPr>
              <w:pStyle w:val="TableContents"/>
              <w:spacing w:before="0" w:after="0"/>
              <w:ind w:left="0" w:right="0" w:hanging="0"/>
              <w:jc w:val="left"/>
              <w:rPr/>
            </w:pPr>
            <w:r>
              <w:rPr/>
              <w:t> </w:t>
            </w:r>
          </w:p>
        </w:tc>
        <w:tc>
          <w:tcPr>
            <w:tcW w:w="180" w:type="dxa"/>
            <w:tcBorders/>
            <w:shd w:fill="auto" w:val="clear"/>
            <w:vAlign w:val="center"/>
          </w:tcPr>
          <w:p>
            <w:pPr>
              <w:pStyle w:val="TableContents"/>
              <w:spacing w:before="0" w:after="0"/>
              <w:ind w:left="0" w:right="0" w:hanging="0"/>
              <w:jc w:val="left"/>
              <w:rPr/>
            </w:pPr>
            <w:r>
              <w:rPr/>
              <w:t> </w:t>
            </w:r>
          </w:p>
        </w:tc>
        <w:tc>
          <w:tcPr>
            <w:tcW w:w="180" w:type="dxa"/>
            <w:tcBorders/>
            <w:shd w:fill="auto" w:val="clear"/>
            <w:vAlign w:val="center"/>
          </w:tcPr>
          <w:p>
            <w:pPr>
              <w:pStyle w:val="TableContents"/>
              <w:spacing w:before="0" w:after="0"/>
              <w:ind w:left="0" w:right="0" w:hanging="0"/>
              <w:jc w:val="left"/>
              <w:rPr/>
            </w:pPr>
            <w:r>
              <w:rPr/>
              <w:t> </w:t>
            </w:r>
          </w:p>
        </w:tc>
        <w:tc>
          <w:tcPr>
            <w:tcW w:w="5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w:t>
            </w:r>
          </w:p>
        </w:tc>
        <w:tc>
          <w:tcPr>
            <w:tcW w:w="591" w:type="dxa"/>
            <w:tcBorders/>
            <w:shd w:fill="auto" w:val="clear"/>
            <w:vAlign w:val="center"/>
          </w:tcPr>
          <w:p>
            <w:pPr>
              <w:pStyle w:val="TableContents"/>
              <w:spacing w:before="0" w:after="0"/>
              <w:ind w:left="0" w:right="0" w:hanging="0"/>
              <w:jc w:val="left"/>
              <w:rPr/>
            </w:pPr>
            <w:r>
              <w:rPr/>
              <w:t> </w:t>
            </w:r>
          </w:p>
        </w:tc>
      </w:tr>
      <w:tr>
        <w:trPr/>
        <w:tc>
          <w:tcPr>
            <w:tcW w:w="46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expense</w:t>
            </w:r>
          </w:p>
        </w:tc>
        <w:tc>
          <w:tcPr>
            <w:tcW w:w="146" w:type="dxa"/>
            <w:tcBorders/>
            <w:shd w:fill="auto" w:val="clear"/>
            <w:vAlign w:val="center"/>
          </w:tcPr>
          <w:p>
            <w:pPr>
              <w:pStyle w:val="TableContents"/>
              <w:spacing w:before="0" w:after="0"/>
              <w:ind w:left="0" w:right="0" w:hanging="0"/>
              <w:jc w:val="left"/>
              <w:rPr/>
            </w:pPr>
            <w:r>
              <w:rPr/>
              <w:t> </w:t>
            </w:r>
          </w:p>
        </w:tc>
        <w:tc>
          <w:tcPr>
            <w:tcW w:w="180" w:type="dxa"/>
            <w:tcBorders/>
            <w:shd w:fill="auto" w:val="clear"/>
            <w:vAlign w:val="center"/>
          </w:tcPr>
          <w:p>
            <w:pPr>
              <w:pStyle w:val="TableContents"/>
              <w:spacing w:before="0" w:after="0"/>
              <w:ind w:left="0" w:right="0" w:hanging="0"/>
              <w:jc w:val="left"/>
              <w:rPr/>
            </w:pPr>
            <w:r>
              <w:rPr/>
              <w:t> </w:t>
            </w:r>
          </w:p>
        </w:tc>
        <w:tc>
          <w:tcPr>
            <w:tcW w:w="5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33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0" w:type="dxa"/>
            <w:tcBorders/>
            <w:shd w:fill="auto" w:val="clear"/>
            <w:vAlign w:val="center"/>
          </w:tcPr>
          <w:p>
            <w:pPr>
              <w:pStyle w:val="TableContents"/>
              <w:spacing w:before="0" w:after="0"/>
              <w:ind w:left="0" w:right="0" w:hanging="0"/>
              <w:jc w:val="left"/>
              <w:rPr/>
            </w:pPr>
            <w:r>
              <w:rPr/>
              <w:t> </w:t>
            </w:r>
          </w:p>
        </w:tc>
        <w:tc>
          <w:tcPr>
            <w:tcW w:w="180" w:type="dxa"/>
            <w:tcBorders/>
            <w:shd w:fill="auto" w:val="clear"/>
            <w:vAlign w:val="center"/>
          </w:tcPr>
          <w:p>
            <w:pPr>
              <w:pStyle w:val="TableContents"/>
              <w:spacing w:before="0" w:after="0"/>
              <w:ind w:left="0" w:right="0" w:hanging="0"/>
              <w:jc w:val="left"/>
              <w:rPr/>
            </w:pPr>
            <w:r>
              <w:rPr/>
              <w:t> </w:t>
            </w:r>
          </w:p>
        </w:tc>
        <w:tc>
          <w:tcPr>
            <w:tcW w:w="5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5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6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 and expense, net</w:t>
            </w:r>
          </w:p>
        </w:tc>
        <w:tc>
          <w:tcPr>
            <w:tcW w:w="146" w:type="dxa"/>
            <w:tcBorders/>
            <w:shd w:fill="auto" w:val="clear"/>
            <w:vAlign w:val="center"/>
          </w:tcPr>
          <w:p>
            <w:pPr>
              <w:pStyle w:val="TableContents"/>
              <w:spacing w:before="0" w:after="0"/>
              <w:ind w:left="0" w:right="0" w:hanging="0"/>
              <w:jc w:val="left"/>
              <w:rPr/>
            </w:pPr>
            <w:r>
              <w:rPr/>
              <w:t> </w:t>
            </w:r>
          </w:p>
        </w:tc>
        <w:tc>
          <w:tcPr>
            <w:tcW w:w="1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3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0" w:type="dxa"/>
            <w:tcBorders/>
            <w:shd w:fill="auto" w:val="clear"/>
            <w:vAlign w:val="center"/>
          </w:tcPr>
          <w:p>
            <w:pPr>
              <w:pStyle w:val="TableContents"/>
              <w:spacing w:before="0" w:after="0"/>
              <w:ind w:left="0" w:right="0" w:hanging="0"/>
              <w:jc w:val="left"/>
              <w:rPr/>
            </w:pPr>
            <w:r>
              <w:rPr/>
              <w:t> </w:t>
            </w:r>
          </w:p>
        </w:tc>
        <w:tc>
          <w:tcPr>
            <w:tcW w:w="1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6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Income from continuing operations before income taxes</w:t>
            </w:r>
          </w:p>
        </w:tc>
        <w:tc>
          <w:tcPr>
            <w:tcW w:w="146" w:type="dxa"/>
            <w:tcBorders/>
            <w:shd w:fill="auto" w:val="clear"/>
            <w:vAlign w:val="center"/>
          </w:tcPr>
          <w:p>
            <w:pPr>
              <w:pStyle w:val="TableContents"/>
              <w:spacing w:before="0" w:after="0"/>
              <w:ind w:left="0" w:right="0" w:hanging="0"/>
              <w:jc w:val="left"/>
              <w:rPr/>
            </w:pPr>
            <w:r>
              <w:rPr/>
              <w:t> </w:t>
            </w:r>
          </w:p>
        </w:tc>
        <w:tc>
          <w:tcPr>
            <w:tcW w:w="180" w:type="dxa"/>
            <w:tcBorders/>
            <w:shd w:fill="auto" w:val="clear"/>
            <w:vAlign w:val="center"/>
          </w:tcPr>
          <w:p>
            <w:pPr>
              <w:pStyle w:val="TableContents"/>
              <w:spacing w:before="0" w:after="0"/>
              <w:ind w:left="0" w:right="0" w:hanging="0"/>
              <w:jc w:val="left"/>
              <w:rPr/>
            </w:pPr>
            <w:r>
              <w:rPr/>
              <w:t> </w:t>
            </w:r>
          </w:p>
        </w:tc>
        <w:tc>
          <w:tcPr>
            <w:tcW w:w="5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w:t>
            </w:r>
          </w:p>
        </w:tc>
        <w:tc>
          <w:tcPr>
            <w:tcW w:w="335" w:type="dxa"/>
            <w:tcBorders/>
            <w:shd w:fill="auto" w:val="clear"/>
            <w:vAlign w:val="center"/>
          </w:tcPr>
          <w:p>
            <w:pPr>
              <w:pStyle w:val="TableContents"/>
              <w:spacing w:before="0" w:after="0"/>
              <w:ind w:left="0" w:right="0" w:hanging="0"/>
              <w:jc w:val="left"/>
              <w:rPr/>
            </w:pPr>
            <w:r>
              <w:rPr/>
              <w:t> </w:t>
            </w:r>
          </w:p>
        </w:tc>
        <w:tc>
          <w:tcPr>
            <w:tcW w:w="180" w:type="dxa"/>
            <w:tcBorders/>
            <w:shd w:fill="auto" w:val="clear"/>
            <w:vAlign w:val="center"/>
          </w:tcPr>
          <w:p>
            <w:pPr>
              <w:pStyle w:val="TableContents"/>
              <w:spacing w:before="0" w:after="0"/>
              <w:ind w:left="0" w:right="0" w:hanging="0"/>
              <w:jc w:val="left"/>
              <w:rPr/>
            </w:pPr>
            <w:r>
              <w:rPr/>
              <w:t> </w:t>
            </w:r>
          </w:p>
        </w:tc>
        <w:tc>
          <w:tcPr>
            <w:tcW w:w="180" w:type="dxa"/>
            <w:tcBorders/>
            <w:shd w:fill="auto" w:val="clear"/>
            <w:vAlign w:val="center"/>
          </w:tcPr>
          <w:p>
            <w:pPr>
              <w:pStyle w:val="TableContents"/>
              <w:spacing w:before="0" w:after="0"/>
              <w:ind w:left="0" w:right="0" w:hanging="0"/>
              <w:jc w:val="left"/>
              <w:rPr/>
            </w:pPr>
            <w:r>
              <w:rPr/>
              <w:t> </w:t>
            </w:r>
          </w:p>
        </w:tc>
        <w:tc>
          <w:tcPr>
            <w:tcW w:w="5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w:t>
            </w:r>
          </w:p>
        </w:tc>
        <w:tc>
          <w:tcPr>
            <w:tcW w:w="591" w:type="dxa"/>
            <w:tcBorders/>
            <w:shd w:fill="auto" w:val="clear"/>
            <w:vAlign w:val="center"/>
          </w:tcPr>
          <w:p>
            <w:pPr>
              <w:pStyle w:val="TableContents"/>
              <w:spacing w:before="0" w:after="0"/>
              <w:ind w:left="0" w:right="0" w:hanging="0"/>
              <w:jc w:val="left"/>
              <w:rPr/>
            </w:pPr>
            <w:r>
              <w:rPr/>
              <w:t> </w:t>
            </w:r>
          </w:p>
        </w:tc>
      </w:tr>
      <w:tr>
        <w:trPr/>
        <w:tc>
          <w:tcPr>
            <w:tcW w:w="46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Provision for income taxes</w:t>
            </w:r>
          </w:p>
        </w:tc>
        <w:tc>
          <w:tcPr>
            <w:tcW w:w="146" w:type="dxa"/>
            <w:tcBorders/>
            <w:shd w:fill="auto" w:val="clear"/>
            <w:vAlign w:val="center"/>
          </w:tcPr>
          <w:p>
            <w:pPr>
              <w:pStyle w:val="TableContents"/>
              <w:spacing w:before="0" w:after="0"/>
              <w:ind w:left="0" w:right="0" w:hanging="0"/>
              <w:jc w:val="left"/>
              <w:rPr/>
            </w:pPr>
            <w:r>
              <w:rPr/>
              <w:t> </w:t>
            </w:r>
          </w:p>
        </w:tc>
        <w:tc>
          <w:tcPr>
            <w:tcW w:w="1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3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0" w:type="dxa"/>
            <w:tcBorders/>
            <w:shd w:fill="auto" w:val="clear"/>
            <w:vAlign w:val="center"/>
          </w:tcPr>
          <w:p>
            <w:pPr>
              <w:pStyle w:val="TableContents"/>
              <w:spacing w:before="0" w:after="0"/>
              <w:ind w:left="0" w:right="0" w:hanging="0"/>
              <w:jc w:val="left"/>
              <w:rPr/>
            </w:pPr>
            <w:r>
              <w:rPr/>
              <w:t> </w:t>
            </w:r>
          </w:p>
        </w:tc>
        <w:tc>
          <w:tcPr>
            <w:tcW w:w="1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6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 from continuing operations</w:t>
            </w:r>
          </w:p>
        </w:tc>
        <w:tc>
          <w:tcPr>
            <w:tcW w:w="146" w:type="dxa"/>
            <w:tcBorders/>
            <w:shd w:fill="auto" w:val="clear"/>
            <w:vAlign w:val="center"/>
          </w:tcPr>
          <w:p>
            <w:pPr>
              <w:pStyle w:val="TableContents"/>
              <w:spacing w:before="0" w:after="0"/>
              <w:ind w:left="0" w:right="0" w:hanging="0"/>
              <w:jc w:val="left"/>
              <w:rPr/>
            </w:pPr>
            <w:r>
              <w:rPr/>
              <w:t> </w:t>
            </w:r>
          </w:p>
        </w:tc>
        <w:tc>
          <w:tcPr>
            <w:tcW w:w="18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c>
          <w:tcPr>
            <w:tcW w:w="3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0" w:type="dxa"/>
            <w:tcBorders/>
            <w:shd w:fill="auto" w:val="clear"/>
            <w:vAlign w:val="center"/>
          </w:tcPr>
          <w:p>
            <w:pPr>
              <w:pStyle w:val="TableContents"/>
              <w:spacing w:before="0" w:after="0"/>
              <w:ind w:left="0" w:right="0" w:hanging="0"/>
              <w:jc w:val="left"/>
              <w:rPr/>
            </w:pPr>
            <w:r>
              <w:rPr/>
              <w:t> </w:t>
            </w:r>
          </w:p>
        </w:tc>
        <w:tc>
          <w:tcPr>
            <w:tcW w:w="18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w:t>
            </w:r>
          </w:p>
        </w:tc>
        <w:tc>
          <w:tcPr>
            <w:tcW w:w="5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32</w:t>
      </w:r>
    </w:p>
    <w:p>
      <w:pPr>
        <w:pStyle w:val="HorizontalLine"/>
        <w:rPr/>
      </w:pPr>
      <w:r>
        <w:rPr/>
      </w:r>
    </w:p>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Times New Roman;serif" w:hAnsi="Times New Roman;serif"/>
          <w:b w:val="false"/>
          <w:i/>
          <w:sz w:val="20"/>
        </w:rPr>
      </w:pPr>
      <w:r>
        <w:rPr>
          <w:rFonts w:ascii="Times New Roman;serif" w:hAnsi="Times New Roman;serif"/>
          <w:b w:val="false"/>
          <w:i/>
          <w:sz w:val="20"/>
        </w:rPr>
        <w:t>Revenue (in thousands, except for percentages):</w:t>
      </w:r>
    </w:p>
    <w:p>
      <w:pPr>
        <w:pStyle w:val="TextBody"/>
        <w:spacing w:before="0" w:after="0"/>
        <w:jc w:val="left"/>
        <w:rPr/>
      </w:pPr>
      <w:r>
        <w:rPr/>
        <w:t> </w:t>
      </w:r>
    </w:p>
    <w:tbl>
      <w:tblPr>
        <w:tblW w:w="7049" w:type="dxa"/>
        <w:jc w:val="left"/>
        <w:tblInd w:w="0" w:type="dxa"/>
        <w:tblCellMar>
          <w:top w:w="28" w:type="dxa"/>
          <w:left w:w="28" w:type="dxa"/>
          <w:bottom w:w="28" w:type="dxa"/>
          <w:right w:w="28" w:type="dxa"/>
        </w:tblCellMar>
      </w:tblPr>
      <w:tblGrid>
        <w:gridCol w:w="841"/>
        <w:gridCol w:w="146"/>
        <w:gridCol w:w="211"/>
        <w:gridCol w:w="781"/>
        <w:gridCol w:w="146"/>
        <w:gridCol w:w="146"/>
        <w:gridCol w:w="211"/>
        <w:gridCol w:w="781"/>
        <w:gridCol w:w="146"/>
        <w:gridCol w:w="146"/>
        <w:gridCol w:w="404"/>
        <w:gridCol w:w="1411"/>
        <w:gridCol w:w="166"/>
        <w:gridCol w:w="146"/>
        <w:gridCol w:w="277"/>
        <w:gridCol w:w="714"/>
        <w:gridCol w:w="376"/>
      </w:tblGrid>
      <w:tr>
        <w:trPr/>
        <w:tc>
          <w:tcPr>
            <w:tcW w:w="8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141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r>
      <w:tr>
        <w:trPr/>
        <w:tc>
          <w:tcPr>
            <w:tcW w:w="84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7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 xml:space="preserve">Three Months Ended </w:t>
              <w:br/>
              <w:t>March 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5"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1" w:type="dxa"/>
            <w:gridSpan w:val="2"/>
            <w:tcBorders/>
            <w:shd w:fill="auto" w:val="clear"/>
            <w:vAlign w:val="center"/>
          </w:tcPr>
          <w:p>
            <w:pPr>
              <w:pStyle w:val="TableContents"/>
              <w:spacing w:before="0" w:after="0"/>
              <w:ind w:left="0" w:right="0" w:hanging="0"/>
              <w:jc w:val="center"/>
              <w:rPr/>
            </w:pPr>
            <w:r>
              <w:rPr/>
              <w:t> </w:t>
            </w:r>
          </w:p>
        </w:tc>
        <w:tc>
          <w:tcPr>
            <w:tcW w:w="376" w:type="dxa"/>
            <w:tcBorders/>
            <w:shd w:fill="auto" w:val="clear"/>
            <w:vAlign w:val="center"/>
          </w:tcPr>
          <w:p>
            <w:pPr>
              <w:pStyle w:val="TableContents"/>
              <w:spacing w:before="0" w:after="0"/>
              <w:ind w:left="0" w:right="0" w:hanging="0"/>
              <w:jc w:val="center"/>
              <w:rPr/>
            </w:pPr>
            <w:r>
              <w:rPr/>
              <w:t> </w:t>
            </w:r>
          </w:p>
        </w:tc>
      </w:tr>
      <w:tr>
        <w:trPr/>
        <w:tc>
          <w:tcPr>
            <w:tcW w:w="84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Increase/ (Decrease)</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 Change</w:t>
            </w:r>
          </w:p>
        </w:tc>
        <w:tc>
          <w:tcPr>
            <w:tcW w:w="3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8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Revenue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117,307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138,532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(21,225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3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240" w:after="0"/>
        <w:jc w:val="left"/>
        <w:rPr>
          <w:rFonts w:ascii="Times New Roman" w:hAnsi="Times New Roman"/>
          <w:sz w:val="20"/>
        </w:rPr>
      </w:pPr>
      <w:r>
        <w:rPr>
          <w:rFonts w:ascii="Times New Roman;serif" w:hAnsi="Times New Roman;serif"/>
          <w:b w:val="false"/>
          <w:sz w:val="20"/>
        </w:rPr>
        <w:t>The decrease in revenue during the three months ended March 31, 2023, as compared to the same period in 2022, was primarily attributable to the execution of a new, multi-year license agreement with Micron Technology in the first quarter of 2022 for which a meaningful portion of the total revenue was recognized in such quarter, partially offset by the execution of two long-term license agreements with Kioxia and Western Digital for which a portion of revenue was recognized up-front during the quarter ended March 31, 2023.</w:t>
      </w:r>
      <w:r>
        <w:rPr>
          <w:rFonts w:ascii="Times New Roman" w:hAnsi="Times New Roman"/>
          <w:sz w:val="20"/>
        </w:rPr>
        <w:t xml:space="preserve"> </w:t>
      </w:r>
    </w:p>
    <w:p>
      <w:pPr>
        <w:pStyle w:val="TextBody"/>
        <w:spacing w:before="240" w:after="0"/>
        <w:jc w:val="left"/>
        <w:rPr>
          <w:rFonts w:ascii="Times New Roman;serif" w:hAnsi="Times New Roman;serif"/>
          <w:b w:val="false"/>
          <w:i/>
          <w:sz w:val="20"/>
        </w:rPr>
      </w:pPr>
      <w:r>
        <w:rPr>
          <w:rFonts w:ascii="Times New Roman;serif" w:hAnsi="Times New Roman;serif"/>
          <w:b w:val="false"/>
          <w:i/>
          <w:sz w:val="20"/>
        </w:rPr>
        <w:t>Research and Development (in thousands, except for percentages):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Research and development expense (“R&amp;D expense”) consists primarily of employee-related costs, stock-based compensation expense, engineering consulting expenses associated with new IP development, as well as costs related to patent applications and examinations, reverse engineering, materials, supplies and an allocation of facilities costs. All R&amp;D expense is expensed as incurred. We believe that a significant level of R&amp;D expense will be required for us to remain competitive in the future.</w:t>
      </w:r>
    </w:p>
    <w:p>
      <w:pPr>
        <w:pStyle w:val="TextBody"/>
        <w:spacing w:before="0" w:after="0"/>
        <w:jc w:val="left"/>
        <w:rPr/>
      </w:pPr>
      <w:r>
        <w:rPr/>
        <w:t> </w:t>
      </w:r>
    </w:p>
    <w:tbl>
      <w:tblPr>
        <w:tblW w:w="8124" w:type="dxa"/>
        <w:jc w:val="left"/>
        <w:tblInd w:w="0" w:type="dxa"/>
        <w:tblCellMar>
          <w:top w:w="28" w:type="dxa"/>
          <w:left w:w="28" w:type="dxa"/>
          <w:bottom w:w="28" w:type="dxa"/>
          <w:right w:w="28" w:type="dxa"/>
        </w:tblCellMar>
      </w:tblPr>
      <w:tblGrid>
        <w:gridCol w:w="2311"/>
        <w:gridCol w:w="146"/>
        <w:gridCol w:w="211"/>
        <w:gridCol w:w="676"/>
        <w:gridCol w:w="146"/>
        <w:gridCol w:w="146"/>
        <w:gridCol w:w="211"/>
        <w:gridCol w:w="571"/>
        <w:gridCol w:w="146"/>
        <w:gridCol w:w="146"/>
        <w:gridCol w:w="489"/>
        <w:gridCol w:w="1326"/>
        <w:gridCol w:w="146"/>
        <w:gridCol w:w="146"/>
        <w:gridCol w:w="313"/>
        <w:gridCol w:w="678"/>
        <w:gridCol w:w="316"/>
      </w:tblGrid>
      <w:tr>
        <w:trPr/>
        <w:tc>
          <w:tcPr>
            <w:tcW w:w="23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center"/>
          </w:tcPr>
          <w:p>
            <w:pPr>
              <w:pStyle w:val="TableContents"/>
              <w:spacing w:before="0" w:after="283"/>
              <w:rPr>
                <w:sz w:val="4"/>
                <w:szCs w:val="4"/>
              </w:rPr>
            </w:pPr>
            <w:r>
              <w:rPr>
                <w:sz w:val="4"/>
                <w:szCs w:val="4"/>
              </w:rPr>
            </w:r>
          </w:p>
        </w:tc>
        <w:tc>
          <w:tcPr>
            <w:tcW w:w="13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3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 xml:space="preserve">Three Months Ended </w:t>
              <w:br/>
              <w:t>March 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5"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1" w:type="dxa"/>
            <w:gridSpan w:val="2"/>
            <w:tcBorders/>
            <w:shd w:fill="auto" w:val="clear"/>
            <w:vAlign w:val="center"/>
          </w:tcPr>
          <w:p>
            <w:pPr>
              <w:pStyle w:val="TableContents"/>
              <w:spacing w:before="0" w:after="0"/>
              <w:ind w:left="0" w:right="0" w:hanging="0"/>
              <w:jc w:val="center"/>
              <w:rPr/>
            </w:pPr>
            <w:r>
              <w:rPr/>
              <w:t> </w:t>
            </w:r>
          </w:p>
        </w:tc>
        <w:tc>
          <w:tcPr>
            <w:tcW w:w="316" w:type="dxa"/>
            <w:tcBorders/>
            <w:shd w:fill="auto" w:val="clear"/>
            <w:vAlign w:val="center"/>
          </w:tcPr>
          <w:p>
            <w:pPr>
              <w:pStyle w:val="TableContents"/>
              <w:spacing w:before="0" w:after="0"/>
              <w:ind w:left="0" w:right="0" w:hanging="0"/>
              <w:jc w:val="center"/>
              <w:rPr/>
            </w:pPr>
            <w:r>
              <w:rPr/>
              <w:t> </w:t>
            </w:r>
          </w:p>
        </w:tc>
      </w:tr>
      <w:tr>
        <w:trPr/>
        <w:tc>
          <w:tcPr>
            <w:tcW w:w="23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Increase/ (Decrease)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 Change</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3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13,011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9,650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3,361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240" w:after="0"/>
        <w:jc w:val="left"/>
        <w:rPr>
          <w:rFonts w:ascii="Times New Roman" w:hAnsi="Times New Roman"/>
          <w:sz w:val="20"/>
        </w:rPr>
      </w:pPr>
      <w:r>
        <w:rPr>
          <w:rFonts w:ascii="Times New Roman;serif" w:hAnsi="Times New Roman;serif"/>
          <w:b w:val="false"/>
          <w:sz w:val="20"/>
        </w:rPr>
        <w:t>The increase in R&amp;D expense during the three months ended March 31, 2023, as compared to the same period in 2022, was primarily due to an increase in patent prosecution costs associated with an increase in patent filings, professional services costs and personnel costs as a result of increased headcount.</w:t>
      </w:r>
      <w:r>
        <w:rPr>
          <w:rFonts w:ascii="Times New Roman" w:hAnsi="Times New Roman"/>
          <w:sz w:val="20"/>
        </w:rPr>
        <w:t xml:space="preserve"> </w:t>
      </w:r>
    </w:p>
    <w:p>
      <w:pPr>
        <w:pStyle w:val="TextBody"/>
        <w:spacing w:before="240" w:after="0"/>
        <w:jc w:val="left"/>
        <w:rPr>
          <w:rFonts w:ascii="Times New Roman;serif" w:hAnsi="Times New Roman;serif"/>
          <w:b w:val="false"/>
          <w:i/>
          <w:sz w:val="20"/>
        </w:rPr>
      </w:pPr>
      <w:r>
        <w:rPr>
          <w:rFonts w:ascii="Times New Roman;serif" w:hAnsi="Times New Roman;serif"/>
          <w:b w:val="false"/>
          <w:i/>
          <w:sz w:val="20"/>
        </w:rPr>
        <w:t>Selling, General and Administrative (in thousands, except for percentages):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Selling, general and administrative (“SGA”) expenses consist primarily of compensation and related costs for sales and marketing personnel engaged in sales and licensee support, marketing programs, public relations, promotional materials, travel, trade show expenses, compensation and related costs for general management, information technology, finance personnel, corporate legal fees and expenses, facilities costs, stock-based compensation expense and professional services. Our SGA expenses, other than facilities-related expenses, are not allocated to other expense line items.</w:t>
      </w:r>
    </w:p>
    <w:p>
      <w:pPr>
        <w:pStyle w:val="TextBody"/>
        <w:spacing w:before="0" w:after="0"/>
        <w:jc w:val="left"/>
        <w:rPr/>
      </w:pPr>
      <w:r>
        <w:rPr/>
        <w:t> </w:t>
      </w:r>
    </w:p>
    <w:tbl>
      <w:tblPr>
        <w:tblW w:w="8954" w:type="dxa"/>
        <w:jc w:val="left"/>
        <w:tblInd w:w="0" w:type="dxa"/>
        <w:tblCellMar>
          <w:top w:w="28" w:type="dxa"/>
          <w:left w:w="28" w:type="dxa"/>
          <w:bottom w:w="28" w:type="dxa"/>
          <w:right w:w="28" w:type="dxa"/>
        </w:tblCellMar>
      </w:tblPr>
      <w:tblGrid>
        <w:gridCol w:w="2956"/>
        <w:gridCol w:w="146"/>
        <w:gridCol w:w="211"/>
        <w:gridCol w:w="676"/>
        <w:gridCol w:w="146"/>
        <w:gridCol w:w="146"/>
        <w:gridCol w:w="211"/>
        <w:gridCol w:w="676"/>
        <w:gridCol w:w="146"/>
        <w:gridCol w:w="146"/>
        <w:gridCol w:w="404"/>
        <w:gridCol w:w="1411"/>
        <w:gridCol w:w="166"/>
        <w:gridCol w:w="146"/>
        <w:gridCol w:w="277"/>
        <w:gridCol w:w="714"/>
        <w:gridCol w:w="376"/>
      </w:tblGrid>
      <w:tr>
        <w:trPr/>
        <w:tc>
          <w:tcPr>
            <w:tcW w:w="29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141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r>
      <w:tr>
        <w:trPr/>
        <w:tc>
          <w:tcPr>
            <w:tcW w:w="295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6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 xml:space="preserve">Three Months Ended </w:t>
              <w:br/>
              <w:t>March 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5"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1" w:type="dxa"/>
            <w:gridSpan w:val="2"/>
            <w:tcBorders/>
            <w:shd w:fill="auto" w:val="clear"/>
            <w:vAlign w:val="center"/>
          </w:tcPr>
          <w:p>
            <w:pPr>
              <w:pStyle w:val="TableContents"/>
              <w:spacing w:before="0" w:after="0"/>
              <w:ind w:left="0" w:right="0" w:hanging="0"/>
              <w:jc w:val="center"/>
              <w:rPr/>
            </w:pPr>
            <w:r>
              <w:rPr/>
              <w:t> </w:t>
            </w:r>
          </w:p>
        </w:tc>
        <w:tc>
          <w:tcPr>
            <w:tcW w:w="376" w:type="dxa"/>
            <w:tcBorders/>
            <w:shd w:fill="auto" w:val="clear"/>
            <w:vAlign w:val="center"/>
          </w:tcPr>
          <w:p>
            <w:pPr>
              <w:pStyle w:val="TableContents"/>
              <w:spacing w:before="0" w:after="0"/>
              <w:ind w:left="0" w:right="0" w:hanging="0"/>
              <w:jc w:val="center"/>
              <w:rPr/>
            </w:pPr>
            <w:r>
              <w:rPr/>
              <w:t> </w:t>
            </w:r>
          </w:p>
        </w:tc>
      </w:tr>
      <w:tr>
        <w:trPr/>
        <w:tc>
          <w:tcPr>
            <w:tcW w:w="295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Increase/ (Decrease)</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 Change</w:t>
            </w:r>
          </w:p>
        </w:tc>
        <w:tc>
          <w:tcPr>
            <w:tcW w:w="3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9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Selling, general and administrative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22,862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33,824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(10,962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w:t>
            </w:r>
          </w:p>
        </w:tc>
        <w:tc>
          <w:tcPr>
            <w:tcW w:w="3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240" w:after="0"/>
        <w:jc w:val="left"/>
        <w:rPr>
          <w:rFonts w:ascii="Times New Roman" w:hAnsi="Times New Roman"/>
          <w:sz w:val="20"/>
        </w:rPr>
      </w:pPr>
      <w:r>
        <w:rPr>
          <w:rFonts w:ascii="Times New Roman;serif" w:hAnsi="Times New Roman;serif"/>
          <w:b w:val="false"/>
          <w:sz w:val="20"/>
        </w:rPr>
        <w:t>The decrease in SGA expense during the three months ended March 31, 2023, as compared to the same period in 2022, was primarily due to a decrease in certain general corporate overhead costs incurred prior to the Separation and that did not meet the requirements to be presented in discontinued operations. Such costs are not reflective of our on-going operations and include labor and non-labor costs related to our corporate support functions (e.g., administration, human resources, finance, accounting, tax, information technology, corporate development, legal, among others) that historically provided support to the former product business. The decrease was partially offset by an increase in advertising expense, professional services costs and personnel costs as a result of increased headcount.</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33</w:t>
      </w:r>
    </w:p>
    <w:p>
      <w:pPr>
        <w:pStyle w:val="HorizontalLine"/>
        <w:rPr/>
      </w:pPr>
      <w:r>
        <w:rPr/>
      </w:r>
    </w:p>
    <w:p>
      <w:pPr>
        <w:pStyle w:val="TextBody"/>
        <w:spacing w:before="0" w:after="0"/>
        <w:jc w:val="left"/>
        <w:rPr/>
      </w:pPr>
      <w:r>
        <w:rPr/>
        <w:t> </w:t>
      </w:r>
    </w:p>
    <w:p>
      <w:pPr>
        <w:pStyle w:val="TextBody"/>
        <w:spacing w:before="240" w:after="0"/>
        <w:jc w:val="left"/>
        <w:rPr>
          <w:rFonts w:ascii="Times New Roman;serif" w:hAnsi="Times New Roman;serif"/>
          <w:b w:val="false"/>
          <w:i/>
          <w:sz w:val="20"/>
        </w:rPr>
      </w:pPr>
      <w:r>
        <w:rPr>
          <w:rFonts w:ascii="Times New Roman;serif" w:hAnsi="Times New Roman;serif"/>
          <w:b w:val="false"/>
          <w:i/>
          <w:sz w:val="20"/>
        </w:rPr>
        <w:t>Amortization Expense (in thousands, except for percentages):</w:t>
      </w:r>
    </w:p>
    <w:p>
      <w:pPr>
        <w:pStyle w:val="TextBody"/>
        <w:spacing w:before="0" w:after="0"/>
        <w:jc w:val="left"/>
        <w:rPr/>
      </w:pPr>
      <w:r>
        <w:rPr/>
        <w:t> </w:t>
      </w:r>
    </w:p>
    <w:tbl>
      <w:tblPr>
        <w:tblW w:w="7904" w:type="dxa"/>
        <w:jc w:val="left"/>
        <w:tblInd w:w="0" w:type="dxa"/>
        <w:tblCellMar>
          <w:top w:w="28" w:type="dxa"/>
          <w:left w:w="28" w:type="dxa"/>
          <w:bottom w:w="28" w:type="dxa"/>
          <w:right w:w="28" w:type="dxa"/>
        </w:tblCellMar>
      </w:tblPr>
      <w:tblGrid>
        <w:gridCol w:w="1906"/>
        <w:gridCol w:w="146"/>
        <w:gridCol w:w="211"/>
        <w:gridCol w:w="676"/>
        <w:gridCol w:w="146"/>
        <w:gridCol w:w="146"/>
        <w:gridCol w:w="211"/>
        <w:gridCol w:w="676"/>
        <w:gridCol w:w="146"/>
        <w:gridCol w:w="146"/>
        <w:gridCol w:w="553"/>
        <w:gridCol w:w="1262"/>
        <w:gridCol w:w="166"/>
        <w:gridCol w:w="146"/>
        <w:gridCol w:w="346"/>
        <w:gridCol w:w="645"/>
        <w:gridCol w:w="376"/>
      </w:tblGrid>
      <w:tr>
        <w:trPr/>
        <w:tc>
          <w:tcPr>
            <w:tcW w:w="19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53" w:type="dxa"/>
            <w:tcBorders/>
            <w:shd w:fill="auto" w:val="clear"/>
            <w:vAlign w:val="center"/>
          </w:tcPr>
          <w:p>
            <w:pPr>
              <w:pStyle w:val="TableContents"/>
              <w:spacing w:before="0" w:after="283"/>
              <w:rPr>
                <w:sz w:val="4"/>
                <w:szCs w:val="4"/>
              </w:rPr>
            </w:pPr>
            <w:r>
              <w:rPr>
                <w:sz w:val="4"/>
                <w:szCs w:val="4"/>
              </w:rPr>
            </w:r>
          </w:p>
        </w:tc>
        <w:tc>
          <w:tcPr>
            <w:tcW w:w="1262"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645"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r>
      <w:tr>
        <w:trPr/>
        <w:tc>
          <w:tcPr>
            <w:tcW w:w="190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6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 xml:space="preserve">Three Months Ended </w:t>
              <w:br/>
              <w:t>March 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5"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1" w:type="dxa"/>
            <w:gridSpan w:val="2"/>
            <w:tcBorders/>
            <w:shd w:fill="auto" w:val="clear"/>
            <w:vAlign w:val="center"/>
          </w:tcPr>
          <w:p>
            <w:pPr>
              <w:pStyle w:val="TableContents"/>
              <w:spacing w:before="0" w:after="0"/>
              <w:ind w:left="0" w:right="0" w:hanging="0"/>
              <w:jc w:val="center"/>
              <w:rPr/>
            </w:pPr>
            <w:r>
              <w:rPr/>
              <w:t> </w:t>
            </w:r>
          </w:p>
        </w:tc>
        <w:tc>
          <w:tcPr>
            <w:tcW w:w="376" w:type="dxa"/>
            <w:tcBorders/>
            <w:shd w:fill="auto" w:val="clear"/>
            <w:vAlign w:val="center"/>
          </w:tcPr>
          <w:p>
            <w:pPr>
              <w:pStyle w:val="TableContents"/>
              <w:spacing w:before="0" w:after="0"/>
              <w:ind w:left="0" w:right="0" w:hanging="0"/>
              <w:jc w:val="center"/>
              <w:rPr/>
            </w:pPr>
            <w:r>
              <w:rPr/>
              <w:t> </w:t>
            </w:r>
          </w:p>
        </w:tc>
      </w:tr>
      <w:tr>
        <w:trPr/>
        <w:tc>
          <w:tcPr>
            <w:tcW w:w="190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Increase/ (Decrease)</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 Change</w:t>
            </w:r>
          </w:p>
        </w:tc>
        <w:tc>
          <w:tcPr>
            <w:tcW w:w="3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9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Amortization expense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23,689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24,526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5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6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3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240" w:after="0"/>
        <w:jc w:val="left"/>
        <w:rPr>
          <w:rFonts w:ascii="Times New Roman;serif" w:hAnsi="Times New Roman;serif"/>
          <w:b w:val="false"/>
          <w:sz w:val="20"/>
        </w:rPr>
      </w:pPr>
      <w:r>
        <w:rPr>
          <w:rFonts w:ascii="Times New Roman;serif" w:hAnsi="Times New Roman;serif"/>
          <w:b w:val="false"/>
          <w:sz w:val="20"/>
        </w:rPr>
        <w:t>Amortization expense was relatively consistent for the three months ended March 31, 2023, as compared to the same period in 2022.</w:t>
      </w:r>
    </w:p>
    <w:p>
      <w:pPr>
        <w:pStyle w:val="TextBody"/>
        <w:spacing w:before="240" w:after="0"/>
        <w:jc w:val="left"/>
        <w:rPr>
          <w:rFonts w:ascii="Times New Roman;serif" w:hAnsi="Times New Roman;serif"/>
          <w:b w:val="false"/>
          <w:i/>
          <w:sz w:val="20"/>
        </w:rPr>
      </w:pPr>
      <w:r>
        <w:rPr>
          <w:rFonts w:ascii="Times New Roman;serif" w:hAnsi="Times New Roman;serif"/>
          <w:b w:val="false"/>
          <w:i/>
          <w:sz w:val="20"/>
        </w:rPr>
        <w:t>Litigation Expense (in thousands, except for percentages):</w:t>
      </w:r>
    </w:p>
    <w:p>
      <w:pPr>
        <w:pStyle w:val="TextBody"/>
        <w:spacing w:before="0" w:after="0"/>
        <w:jc w:val="left"/>
        <w:rPr/>
      </w:pPr>
      <w:r>
        <w:rPr/>
        <w:t> </w:t>
      </w:r>
    </w:p>
    <w:tbl>
      <w:tblPr>
        <w:tblW w:w="7421" w:type="dxa"/>
        <w:jc w:val="left"/>
        <w:tblInd w:w="0" w:type="dxa"/>
        <w:tblCellMar>
          <w:top w:w="28" w:type="dxa"/>
          <w:left w:w="28" w:type="dxa"/>
          <w:bottom w:w="28" w:type="dxa"/>
          <w:right w:w="28" w:type="dxa"/>
        </w:tblCellMar>
      </w:tblPr>
      <w:tblGrid>
        <w:gridCol w:w="1651"/>
        <w:gridCol w:w="146"/>
        <w:gridCol w:w="218"/>
        <w:gridCol w:w="590"/>
        <w:gridCol w:w="151"/>
        <w:gridCol w:w="151"/>
        <w:gridCol w:w="218"/>
        <w:gridCol w:w="590"/>
        <w:gridCol w:w="146"/>
        <w:gridCol w:w="146"/>
        <w:gridCol w:w="489"/>
        <w:gridCol w:w="1326"/>
        <w:gridCol w:w="146"/>
        <w:gridCol w:w="146"/>
        <w:gridCol w:w="255"/>
        <w:gridCol w:w="736"/>
        <w:gridCol w:w="316"/>
      </w:tblGrid>
      <w:tr>
        <w:trPr/>
        <w:tc>
          <w:tcPr>
            <w:tcW w:w="16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center"/>
          </w:tcPr>
          <w:p>
            <w:pPr>
              <w:pStyle w:val="TableContents"/>
              <w:spacing w:before="0" w:after="283"/>
              <w:rPr>
                <w:sz w:val="4"/>
                <w:szCs w:val="4"/>
              </w:rPr>
            </w:pPr>
            <w:r>
              <w:rPr>
                <w:sz w:val="4"/>
                <w:szCs w:val="4"/>
              </w:rPr>
            </w:r>
          </w:p>
        </w:tc>
        <w:tc>
          <w:tcPr>
            <w:tcW w:w="13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16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1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 xml:space="preserve">Three Months Ended </w:t>
              <w:br/>
              <w:t>March 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5"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1" w:type="dxa"/>
            <w:gridSpan w:val="2"/>
            <w:tcBorders/>
            <w:shd w:fill="auto" w:val="clear"/>
            <w:vAlign w:val="center"/>
          </w:tcPr>
          <w:p>
            <w:pPr>
              <w:pStyle w:val="TableContents"/>
              <w:spacing w:before="0" w:after="0"/>
              <w:ind w:left="0" w:right="0" w:hanging="0"/>
              <w:jc w:val="center"/>
              <w:rPr/>
            </w:pPr>
            <w:r>
              <w:rPr/>
              <w:t> </w:t>
            </w:r>
          </w:p>
        </w:tc>
        <w:tc>
          <w:tcPr>
            <w:tcW w:w="316" w:type="dxa"/>
            <w:tcBorders/>
            <w:shd w:fill="auto" w:val="clear"/>
            <w:vAlign w:val="center"/>
          </w:tcPr>
          <w:p>
            <w:pPr>
              <w:pStyle w:val="TableContents"/>
              <w:spacing w:before="0" w:after="0"/>
              <w:ind w:left="0" w:right="0" w:hanging="0"/>
              <w:jc w:val="center"/>
              <w:rPr/>
            </w:pPr>
            <w:r>
              <w:rPr/>
              <w:t> </w:t>
            </w:r>
          </w:p>
        </w:tc>
      </w:tr>
      <w:tr>
        <w:trPr/>
        <w:tc>
          <w:tcPr>
            <w:tcW w:w="16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0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80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Increase/ (Decrease)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 Change</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6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Litigation expense</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2,622</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2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1,078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1,544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143</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p>
      <w:pPr>
        <w:pStyle w:val="TextBody"/>
        <w:spacing w:before="40" w:after="0"/>
        <w:jc w:val="left"/>
        <w:rPr>
          <w:rFonts w:ascii="Times New Roman" w:hAnsi="Times New Roman"/>
          <w:sz w:val="20"/>
        </w:rPr>
      </w:pPr>
      <w:r>
        <w:rPr>
          <w:rFonts w:ascii="Times New Roman;serif" w:hAnsi="Times New Roman;serif"/>
          <w:b w:val="false"/>
          <w:sz w:val="20"/>
        </w:rPr>
        <w:t>The increase in litigation expense during the three months ended March 31, 2023, as compared to the same period in 2022, was primarily due to increased legal fees as a result of increased case activity.</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We expect that litigation expense will continue to be a significant portion of our operating expenses, as it is used to enforce and protect our IP and contract rights. Litigation expense may fluctuate between periods because of planned or ongoing litigation, as described in Part II, Item 1 – Legal Proceedings.</w:t>
      </w:r>
    </w:p>
    <w:p>
      <w:pPr>
        <w:pStyle w:val="TextBody"/>
        <w:spacing w:before="240" w:after="0"/>
        <w:jc w:val="left"/>
        <w:rPr>
          <w:rFonts w:ascii="Times New Roman;serif" w:hAnsi="Times New Roman;serif"/>
          <w:b w:val="false"/>
          <w:i/>
          <w:sz w:val="20"/>
        </w:rPr>
      </w:pPr>
      <w:r>
        <w:rPr>
          <w:rFonts w:ascii="Times New Roman;serif" w:hAnsi="Times New Roman;serif"/>
          <w:b w:val="false"/>
          <w:i/>
          <w:sz w:val="20"/>
        </w:rPr>
        <w:t>Interest Expense (in thousands, except for percentages):</w:t>
      </w:r>
    </w:p>
    <w:p>
      <w:pPr>
        <w:pStyle w:val="TextBody"/>
        <w:spacing w:before="0" w:after="0"/>
        <w:jc w:val="left"/>
        <w:rPr/>
      </w:pPr>
      <w:r>
        <w:rPr/>
        <w:t> </w:t>
      </w:r>
    </w:p>
    <w:tbl>
      <w:tblPr>
        <w:tblW w:w="7239" w:type="dxa"/>
        <w:jc w:val="left"/>
        <w:tblInd w:w="0" w:type="dxa"/>
        <w:tblCellMar>
          <w:top w:w="28" w:type="dxa"/>
          <w:left w:w="28" w:type="dxa"/>
          <w:bottom w:w="28" w:type="dxa"/>
          <w:right w:w="28" w:type="dxa"/>
        </w:tblCellMar>
      </w:tblPr>
      <w:tblGrid>
        <w:gridCol w:w="1426"/>
        <w:gridCol w:w="146"/>
        <w:gridCol w:w="211"/>
        <w:gridCol w:w="676"/>
        <w:gridCol w:w="146"/>
        <w:gridCol w:w="146"/>
        <w:gridCol w:w="211"/>
        <w:gridCol w:w="571"/>
        <w:gridCol w:w="146"/>
        <w:gridCol w:w="146"/>
        <w:gridCol w:w="489"/>
        <w:gridCol w:w="1326"/>
        <w:gridCol w:w="146"/>
        <w:gridCol w:w="146"/>
        <w:gridCol w:w="313"/>
        <w:gridCol w:w="678"/>
        <w:gridCol w:w="316"/>
      </w:tblGrid>
      <w:tr>
        <w:trPr/>
        <w:tc>
          <w:tcPr>
            <w:tcW w:w="14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center"/>
          </w:tcPr>
          <w:p>
            <w:pPr>
              <w:pStyle w:val="TableContents"/>
              <w:spacing w:before="0" w:after="283"/>
              <w:rPr>
                <w:sz w:val="4"/>
                <w:szCs w:val="4"/>
              </w:rPr>
            </w:pPr>
            <w:r>
              <w:rPr>
                <w:sz w:val="4"/>
                <w:szCs w:val="4"/>
              </w:rPr>
            </w:r>
          </w:p>
        </w:tc>
        <w:tc>
          <w:tcPr>
            <w:tcW w:w="13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142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 xml:space="preserve">Three Months Ended </w:t>
              <w:br/>
              <w:t>March 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5"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1" w:type="dxa"/>
            <w:gridSpan w:val="2"/>
            <w:tcBorders/>
            <w:shd w:fill="auto" w:val="clear"/>
            <w:vAlign w:val="center"/>
          </w:tcPr>
          <w:p>
            <w:pPr>
              <w:pStyle w:val="TableContents"/>
              <w:spacing w:before="0" w:after="0"/>
              <w:ind w:left="0" w:right="0" w:hanging="0"/>
              <w:jc w:val="center"/>
              <w:rPr/>
            </w:pPr>
            <w:r>
              <w:rPr/>
              <w:t> </w:t>
            </w:r>
          </w:p>
        </w:tc>
        <w:tc>
          <w:tcPr>
            <w:tcW w:w="316" w:type="dxa"/>
            <w:tcBorders/>
            <w:shd w:fill="auto" w:val="clear"/>
            <w:vAlign w:val="center"/>
          </w:tcPr>
          <w:p>
            <w:pPr>
              <w:pStyle w:val="TableContents"/>
              <w:spacing w:before="0" w:after="0"/>
              <w:ind w:left="0" w:right="0" w:hanging="0"/>
              <w:jc w:val="center"/>
              <w:rPr/>
            </w:pPr>
            <w:r>
              <w:rPr/>
              <w:t> </w:t>
            </w:r>
          </w:p>
        </w:tc>
      </w:tr>
      <w:tr>
        <w:trPr/>
        <w:tc>
          <w:tcPr>
            <w:tcW w:w="142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Increase/ (Decrease)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 Change</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4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expense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15,938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8,429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7,509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89</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240" w:after="0"/>
        <w:jc w:val="left"/>
        <w:rPr>
          <w:rFonts w:ascii="Times New Roman;serif" w:hAnsi="Times New Roman;serif"/>
          <w:b w:val="false"/>
          <w:sz w:val="20"/>
        </w:rPr>
      </w:pPr>
      <w:r>
        <w:rPr>
          <w:rFonts w:ascii="Times New Roman;serif" w:hAnsi="Times New Roman;serif"/>
          <w:b w:val="false"/>
          <w:sz w:val="20"/>
        </w:rPr>
        <w:t>The increase in interest expense during the three months ended March 31, 2023, as compared to the same period in 2022, was primarily due to increased interest rates on our variable interest rate debt due to the rising interest rate environment, partially offset by a lower debt balance and amortization of debt discount and issuance costs.</w:t>
      </w:r>
    </w:p>
    <w:p>
      <w:pPr>
        <w:pStyle w:val="TextBody"/>
        <w:spacing w:before="240" w:after="0"/>
        <w:jc w:val="left"/>
        <w:rPr>
          <w:rFonts w:ascii="Times New Roman" w:hAnsi="Times New Roman"/>
          <w:sz w:val="20"/>
        </w:rPr>
      </w:pPr>
      <w:r>
        <w:rPr>
          <w:rFonts w:ascii="Times New Roman;serif" w:hAnsi="Times New Roman;serif"/>
          <w:b w:val="false"/>
          <w:sz w:val="20"/>
        </w:rPr>
        <w:t>We anticipate interest expense will increase in 2023, when compared to 2022, as a result of the effect of rising interest rates on our existing variable-rate debt, partially offset by the lower debt balance and amortization of debt discount and issuance costs.</w:t>
      </w:r>
      <w:r>
        <w:rPr>
          <w:rFonts w:ascii="Times New Roman" w:hAnsi="Times New Roman"/>
          <w:sz w:val="20"/>
        </w:rPr>
        <w:t xml:space="preserve"> </w:t>
      </w:r>
    </w:p>
    <w:p>
      <w:pPr>
        <w:pStyle w:val="TextBody"/>
        <w:spacing w:before="240" w:after="0"/>
        <w:jc w:val="left"/>
        <w:rPr>
          <w:rFonts w:ascii="Times New Roman;serif" w:hAnsi="Times New Roman;serif"/>
          <w:b w:val="false"/>
          <w:i/>
          <w:sz w:val="20"/>
        </w:rPr>
      </w:pPr>
      <w:r>
        <w:rPr>
          <w:rFonts w:ascii="Times New Roman;serif" w:hAnsi="Times New Roman;serif"/>
          <w:b w:val="false"/>
          <w:i/>
          <w:sz w:val="20"/>
        </w:rPr>
        <w:t>Other Income and Expense, Net (in thousands, except for percentages):</w:t>
      </w:r>
    </w:p>
    <w:p>
      <w:pPr>
        <w:pStyle w:val="TextBody"/>
        <w:spacing w:before="0" w:after="0"/>
        <w:jc w:val="left"/>
        <w:rPr/>
      </w:pPr>
      <w:r>
        <w:rPr/>
        <w:t> </w:t>
      </w:r>
    </w:p>
    <w:tbl>
      <w:tblPr>
        <w:tblW w:w="8381" w:type="dxa"/>
        <w:jc w:val="left"/>
        <w:tblInd w:w="0" w:type="dxa"/>
        <w:tblCellMar>
          <w:top w:w="28" w:type="dxa"/>
          <w:left w:w="28" w:type="dxa"/>
          <w:bottom w:w="28" w:type="dxa"/>
          <w:right w:w="28" w:type="dxa"/>
        </w:tblCellMar>
      </w:tblPr>
      <w:tblGrid>
        <w:gridCol w:w="2611"/>
        <w:gridCol w:w="146"/>
        <w:gridCol w:w="237"/>
        <w:gridCol w:w="642"/>
        <w:gridCol w:w="164"/>
        <w:gridCol w:w="164"/>
        <w:gridCol w:w="237"/>
        <w:gridCol w:w="474"/>
        <w:gridCol w:w="146"/>
        <w:gridCol w:w="146"/>
        <w:gridCol w:w="489"/>
        <w:gridCol w:w="1326"/>
        <w:gridCol w:w="146"/>
        <w:gridCol w:w="146"/>
        <w:gridCol w:w="255"/>
        <w:gridCol w:w="736"/>
        <w:gridCol w:w="316"/>
      </w:tblGrid>
      <w:tr>
        <w:trPr/>
        <w:tc>
          <w:tcPr>
            <w:tcW w:w="26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642"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center"/>
          </w:tcPr>
          <w:p>
            <w:pPr>
              <w:pStyle w:val="TableContents"/>
              <w:spacing w:before="0" w:after="283"/>
              <w:rPr>
                <w:sz w:val="4"/>
                <w:szCs w:val="4"/>
              </w:rPr>
            </w:pPr>
            <w:r>
              <w:rPr>
                <w:sz w:val="4"/>
                <w:szCs w:val="4"/>
              </w:rPr>
            </w:r>
          </w:p>
        </w:tc>
        <w:tc>
          <w:tcPr>
            <w:tcW w:w="13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6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1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 xml:space="preserve">Three Months Ended </w:t>
              <w:br/>
              <w:t>March 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5"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1" w:type="dxa"/>
            <w:gridSpan w:val="2"/>
            <w:tcBorders/>
            <w:shd w:fill="auto" w:val="clear"/>
            <w:vAlign w:val="center"/>
          </w:tcPr>
          <w:p>
            <w:pPr>
              <w:pStyle w:val="TableContents"/>
              <w:spacing w:before="0" w:after="0"/>
              <w:ind w:left="0" w:right="0" w:hanging="0"/>
              <w:jc w:val="center"/>
              <w:rPr/>
            </w:pPr>
            <w:r>
              <w:rPr/>
              <w:t> </w:t>
            </w:r>
          </w:p>
        </w:tc>
        <w:tc>
          <w:tcPr>
            <w:tcW w:w="316" w:type="dxa"/>
            <w:tcBorders/>
            <w:shd w:fill="auto" w:val="clear"/>
            <w:vAlign w:val="center"/>
          </w:tcPr>
          <w:p>
            <w:pPr>
              <w:pStyle w:val="TableContents"/>
              <w:spacing w:before="0" w:after="0"/>
              <w:ind w:left="0" w:right="0" w:hanging="0"/>
              <w:jc w:val="center"/>
              <w:rPr/>
            </w:pPr>
            <w:r>
              <w:rPr/>
              <w:t> </w:t>
            </w:r>
          </w:p>
        </w:tc>
      </w:tr>
      <w:tr>
        <w:trPr/>
        <w:tc>
          <w:tcPr>
            <w:tcW w:w="26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7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4" w:type="dxa"/>
            <w:tcBorders/>
            <w:shd w:fill="auto" w:val="clear"/>
            <w:vAlign w:val="center"/>
          </w:tcPr>
          <w:p>
            <w:pPr>
              <w:pStyle w:val="TableContents"/>
              <w:spacing w:before="0" w:after="0"/>
              <w:ind w:left="0" w:right="0" w:hanging="0"/>
              <w:jc w:val="left"/>
              <w:rPr/>
            </w:pPr>
            <w:r>
              <w:rPr/>
              <w:t> </w:t>
            </w:r>
          </w:p>
        </w:tc>
        <w:tc>
          <w:tcPr>
            <w:tcW w:w="71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Increase/ (Decrease)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 Change</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6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 and expense, net</w:t>
            </w:r>
          </w:p>
        </w:tc>
        <w:tc>
          <w:tcPr>
            <w:tcW w:w="146" w:type="dxa"/>
            <w:tcBorders/>
            <w:shd w:fill="auto" w:val="clear"/>
            <w:vAlign w:val="center"/>
          </w:tcPr>
          <w:p>
            <w:pPr>
              <w:pStyle w:val="TableContents"/>
              <w:spacing w:before="0" w:after="0"/>
              <w:ind w:left="0" w:right="0" w:hanging="0"/>
              <w:jc w:val="left"/>
              <w:rPr/>
            </w:pPr>
            <w:r>
              <w:rPr/>
              <w:t> </w:t>
            </w:r>
          </w:p>
        </w:tc>
        <w:tc>
          <w:tcPr>
            <w:tcW w:w="23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1,620</w:t>
            </w:r>
          </w:p>
        </w:tc>
        <w:tc>
          <w:tcPr>
            <w:tcW w:w="1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4" w:type="dxa"/>
            <w:tcBorders/>
            <w:shd w:fill="auto" w:val="clear"/>
            <w:vAlign w:val="center"/>
          </w:tcPr>
          <w:p>
            <w:pPr>
              <w:pStyle w:val="TableContents"/>
              <w:spacing w:before="0" w:after="0"/>
              <w:ind w:left="0" w:right="0" w:hanging="0"/>
              <w:jc w:val="left"/>
              <w:rPr/>
            </w:pPr>
            <w:r>
              <w:rPr/>
              <w:t> </w:t>
            </w:r>
          </w:p>
        </w:tc>
        <w:tc>
          <w:tcPr>
            <w:tcW w:w="23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1,283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381</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p>
      <w:pPr>
        <w:pStyle w:val="TextBody"/>
        <w:spacing w:before="40" w:after="0"/>
        <w:jc w:val="left"/>
        <w:rPr>
          <w:rFonts w:ascii="Times New Roman;serif" w:hAnsi="Times New Roman;serif"/>
          <w:b w:val="false"/>
          <w:sz w:val="20"/>
        </w:rPr>
      </w:pPr>
      <w:r>
        <w:rPr>
          <w:rFonts w:ascii="Times New Roman;serif" w:hAnsi="Times New Roman;serif"/>
          <w:b w:val="false"/>
          <w:sz w:val="20"/>
        </w:rPr>
        <w:t>The increase in other income and expense, net during the three months ended March 31, 2023, as compared to the same period in 2022, was primarily due to an increase in interest income from significant financing components from revenue contracts, partially offset by a decrease in realized loss on marketable investments.</w:t>
      </w:r>
    </w:p>
    <w:p>
      <w:pPr>
        <w:pStyle w:val="TextBody"/>
        <w:spacing w:before="240" w:after="0"/>
        <w:jc w:val="left"/>
        <w:rPr>
          <w:rFonts w:ascii="Times New Roman;serif" w:hAnsi="Times New Roman;serif"/>
          <w:b w:val="false"/>
          <w:i/>
          <w:sz w:val="20"/>
        </w:rPr>
      </w:pPr>
      <w:r>
        <w:rPr>
          <w:rFonts w:ascii="Times New Roman;serif" w:hAnsi="Times New Roman;serif"/>
          <w:b w:val="false"/>
          <w:i/>
          <w:sz w:val="20"/>
        </w:rPr>
        <w:t>Provision for Income Taxes</w:t>
      </w:r>
    </w:p>
    <w:p>
      <w:pPr>
        <w:pStyle w:val="TextBody"/>
        <w:spacing w:before="240" w:after="0"/>
        <w:jc w:val="left"/>
        <w:rPr>
          <w:rFonts w:ascii="Times New Roman" w:hAnsi="Times New Roman"/>
          <w:sz w:val="20"/>
        </w:rPr>
      </w:pPr>
      <w:r>
        <w:rPr>
          <w:rFonts w:ascii="Times New Roman;serif" w:hAnsi="Times New Roman;serif"/>
          <w:b w:val="false"/>
          <w:sz w:val="20"/>
        </w:rPr>
        <w:t>Our provision for income taxes is based on our worldwide estimated annualized effective tax rate. For jurisdictions in which a loss is forecast but no benefit can be realized for those losses, the tax is estimated separately. In certain circumstances we also record the income tax effects of discrete transactions in the quarter in which the transaction occurred. Foreign withholding</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34</w:t>
      </w:r>
    </w:p>
    <w:p>
      <w:pPr>
        <w:pStyle w:val="HorizontalLine"/>
        <w:rPr/>
      </w:pPr>
      <w:r>
        <w:rPr/>
      </w:r>
    </w:p>
    <w:p>
      <w:pPr>
        <w:pStyle w:val="TextBody"/>
        <w:spacing w:before="0" w:after="0"/>
        <w:jc w:val="left"/>
        <w:rPr/>
      </w:pPr>
      <w:r>
        <w:rPr/>
        <w:t>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taxes, U.S. federal and state income taxes, and unrealized foreign exchange loss from the prior South Korea refund claims are the primary drivers of income tax expense and the primary reasons for cash payments of income taxes. For the three months ended March 31, 2023 and March 31, 2022, our effective tax rate varies significantly from the 21% U.S. federal tax rate due to foreign withholding taxes, state income taxes and unrealized foreign exchange loss from prior South Korea refund claims.</w:t>
      </w:r>
    </w:p>
    <w:p>
      <w:pPr>
        <w:pStyle w:val="TextBody"/>
        <w:spacing w:before="0" w:after="0"/>
        <w:jc w:val="left"/>
        <w:rPr/>
      </w:pPr>
      <w:r>
        <w:rPr/>
        <w:t> </w:t>
      </w:r>
    </w:p>
    <w:tbl>
      <w:tblPr>
        <w:tblW w:w="8094" w:type="dxa"/>
        <w:jc w:val="left"/>
        <w:tblInd w:w="0" w:type="dxa"/>
        <w:tblCellMar>
          <w:top w:w="28" w:type="dxa"/>
          <w:left w:w="28" w:type="dxa"/>
          <w:bottom w:w="28" w:type="dxa"/>
          <w:right w:w="28" w:type="dxa"/>
        </w:tblCellMar>
      </w:tblPr>
      <w:tblGrid>
        <w:gridCol w:w="2281"/>
        <w:gridCol w:w="146"/>
        <w:gridCol w:w="211"/>
        <w:gridCol w:w="676"/>
        <w:gridCol w:w="146"/>
        <w:gridCol w:w="146"/>
        <w:gridCol w:w="211"/>
        <w:gridCol w:w="571"/>
        <w:gridCol w:w="146"/>
        <w:gridCol w:w="146"/>
        <w:gridCol w:w="489"/>
        <w:gridCol w:w="1326"/>
        <w:gridCol w:w="146"/>
        <w:gridCol w:w="146"/>
        <w:gridCol w:w="255"/>
        <w:gridCol w:w="736"/>
        <w:gridCol w:w="316"/>
      </w:tblGrid>
      <w:tr>
        <w:trPr/>
        <w:tc>
          <w:tcPr>
            <w:tcW w:w="22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center"/>
          </w:tcPr>
          <w:p>
            <w:pPr>
              <w:pStyle w:val="TableContents"/>
              <w:spacing w:before="0" w:after="283"/>
              <w:rPr>
                <w:sz w:val="4"/>
                <w:szCs w:val="4"/>
              </w:rPr>
            </w:pPr>
            <w:r>
              <w:rPr>
                <w:sz w:val="4"/>
                <w:szCs w:val="4"/>
              </w:rPr>
            </w:r>
          </w:p>
        </w:tc>
        <w:tc>
          <w:tcPr>
            <w:tcW w:w="13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28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 xml:space="preserve">Three Months Ended </w:t>
              <w:br/>
              <w:t>March 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5"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1" w:type="dxa"/>
            <w:gridSpan w:val="2"/>
            <w:tcBorders/>
            <w:shd w:fill="auto" w:val="clear"/>
            <w:vAlign w:val="center"/>
          </w:tcPr>
          <w:p>
            <w:pPr>
              <w:pStyle w:val="TableContents"/>
              <w:spacing w:before="0" w:after="0"/>
              <w:ind w:left="0" w:right="0" w:hanging="0"/>
              <w:jc w:val="center"/>
              <w:rPr/>
            </w:pPr>
            <w:r>
              <w:rPr/>
              <w:t> </w:t>
            </w:r>
          </w:p>
        </w:tc>
        <w:tc>
          <w:tcPr>
            <w:tcW w:w="316" w:type="dxa"/>
            <w:tcBorders/>
            <w:shd w:fill="auto" w:val="clear"/>
            <w:vAlign w:val="center"/>
          </w:tcPr>
          <w:p>
            <w:pPr>
              <w:pStyle w:val="TableContents"/>
              <w:spacing w:before="0" w:after="0"/>
              <w:ind w:left="0" w:right="0" w:hanging="0"/>
              <w:jc w:val="center"/>
              <w:rPr/>
            </w:pPr>
            <w:r>
              <w:rPr/>
              <w:t> </w:t>
            </w:r>
          </w:p>
        </w:tc>
      </w:tr>
      <w:tr>
        <w:trPr/>
        <w:tc>
          <w:tcPr>
            <w:tcW w:w="228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Increase/ (Decrease)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 Change</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2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Provision for income taxes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11,784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5,517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6,267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114</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240" w:after="0"/>
        <w:jc w:val="left"/>
        <w:rPr>
          <w:rFonts w:ascii="Times New Roman;serif" w:hAnsi="Times New Roman;serif"/>
          <w:b w:val="false"/>
          <w:sz w:val="20"/>
        </w:rPr>
      </w:pPr>
      <w:r>
        <w:rPr>
          <w:rFonts w:ascii="Times New Roman;serif" w:hAnsi="Times New Roman;serif"/>
          <w:b w:val="false"/>
          <w:sz w:val="20"/>
        </w:rPr>
        <w:t>For the three months ended March 31, 2023, we recorded an income tax expense of $11.8 million on pretax income of $40.8 million, which resulted in an effective tax rate of 28.9%. The income tax expense for the three months ended March 31, 2023 was primarily related to foreign withholding taxes, U.S. federal and state income taxes, and unrealized foreign exchange loss from the prior year South Korea refund claims, offset by U.S foreign tax credits.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For the three months ended March 31, 2022, we recorded an income tax expense of $5.5 million on pretax income of $61.4 million, which resulted in an effective tax rate of 9.0%. The income tax expense for the three months ended March 31, 2022 was primarily related to foreign withholding taxes, state income taxes, and unrealized foreign exchange loss from the prior year South Korea refund claims.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year-over-year increase in income tax expense for the quarter ended March 31, 2023 is largely attributable to the 2022 valuation allowance for certain jurisdictions.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need for a valuation allowance requires an assessment of both positive and negative evidence when determining whether it is more-likely-than-not that deferred tax assets are recoverable. Such assessment is required on a jurisdiction-by-jurisdiction basis. In making such an assessment, significant weight is given to evidence that can be objectively verified. After considering both positive and negative evidence to assess the recoverability of our net deferred tax assets, we determined that the positive evidence outweighed the negative evidence primarily due to cumulative income from our IP Licensing business on a continuing operations basis and the expectation of sustained profitability in future periods. Accordingly, we concluded that it was more-likely-than-not that we would realize our federal and certain state deferred tax assets. As a result, during the fourth quarter of 2022, we released the valuation allowance on the federal deferred tax assets and certain state deferred tax assets. We will maintain a full valuation allowance on our foreign deferred tax asset as the expectation of future taxable income is uncertain.</w:t>
      </w:r>
    </w:p>
    <w:p>
      <w:pPr>
        <w:pStyle w:val="TextBody"/>
        <w:spacing w:before="240" w:after="0"/>
        <w:jc w:val="left"/>
        <w:rPr>
          <w:rFonts w:ascii="Times New Roman;serif" w:hAnsi="Times New Roman;serif"/>
          <w:b w:val="false"/>
          <w:i/>
          <w:sz w:val="20"/>
        </w:rPr>
      </w:pPr>
      <w:r>
        <w:rPr>
          <w:rFonts w:ascii="Times New Roman;serif" w:hAnsi="Times New Roman;serif"/>
          <w:b w:val="false"/>
          <w:i/>
          <w:sz w:val="20"/>
        </w:rPr>
        <w:t>Net loss from discontinued operations, net of tax</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Our results of operations for the three months ended March 31, 2022 include three months of Xperi Inc.’s operations, which are presented as net loss from discontinued operations, net of tax in the Condensed Consolidated Statement of Operations. Xperi Inc.’s results of operations for the three months ended March 31, 2022 were as follows (in thousands):</w:t>
      </w:r>
    </w:p>
    <w:p>
      <w:pPr>
        <w:pStyle w:val="TextBody"/>
        <w:spacing w:before="0" w:after="0"/>
        <w:jc w:val="left"/>
        <w:rPr/>
      </w:pPr>
      <w:r>
        <w:rPr/>
        <w:t> </w:t>
      </w:r>
    </w:p>
    <w:tbl>
      <w:tblPr>
        <w:tblW w:w="6598" w:type="dxa"/>
        <w:jc w:val="left"/>
        <w:tblInd w:w="0" w:type="dxa"/>
        <w:tblCellMar>
          <w:top w:w="28" w:type="dxa"/>
          <w:left w:w="28" w:type="dxa"/>
          <w:bottom w:w="28" w:type="dxa"/>
          <w:right w:w="28" w:type="dxa"/>
        </w:tblCellMar>
      </w:tblPr>
      <w:tblGrid>
        <w:gridCol w:w="4321"/>
        <w:gridCol w:w="146"/>
        <w:gridCol w:w="408"/>
        <w:gridCol w:w="1512"/>
        <w:gridCol w:w="211"/>
      </w:tblGrid>
      <w:tr>
        <w:trPr/>
        <w:tc>
          <w:tcPr>
            <w:tcW w:w="43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151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432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2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 xml:space="preserve">Three Months Ended </w:t>
              <w:br/>
              <w:t>March 31, 2022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3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Revenue</w:t>
            </w:r>
          </w:p>
        </w:tc>
        <w:tc>
          <w:tcPr>
            <w:tcW w:w="146" w:type="dxa"/>
            <w:tcBorders/>
            <w:shd w:fill="auto" w:val="clear"/>
            <w:vAlign w:val="center"/>
          </w:tcPr>
          <w:p>
            <w:pPr>
              <w:pStyle w:val="TableContents"/>
              <w:spacing w:before="0" w:after="0"/>
              <w:ind w:left="0" w:right="0" w:hanging="0"/>
              <w:jc w:val="left"/>
              <w:rPr/>
            </w:pPr>
            <w:r>
              <w:rPr/>
              <w:t> </w:t>
            </w:r>
          </w:p>
        </w:tc>
        <w:tc>
          <w:tcPr>
            <w:tcW w:w="40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118,888</w:t>
            </w:r>
          </w:p>
        </w:tc>
        <w:tc>
          <w:tcPr>
            <w:tcW w:w="211" w:type="dxa"/>
            <w:tcBorders/>
            <w:shd w:fill="auto" w:val="clear"/>
            <w:vAlign w:val="center"/>
          </w:tcPr>
          <w:p>
            <w:pPr>
              <w:pStyle w:val="TableContents"/>
              <w:spacing w:before="0" w:after="0"/>
              <w:ind w:left="0" w:right="0" w:hanging="0"/>
              <w:jc w:val="left"/>
              <w:rPr/>
            </w:pPr>
            <w:r>
              <w:rPr/>
              <w:t> </w:t>
            </w:r>
          </w:p>
        </w:tc>
      </w:tr>
      <w:tr>
        <w:trPr/>
        <w:tc>
          <w:tcPr>
            <w:tcW w:w="43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shd w:fill="auto" w:val="clear"/>
            <w:vAlign w:val="center"/>
          </w:tcPr>
          <w:p>
            <w:pPr>
              <w:pStyle w:val="TableContents"/>
              <w:spacing w:before="0" w:after="0"/>
              <w:ind w:left="0" w:right="0" w:hanging="0"/>
              <w:jc w:val="left"/>
              <w:rPr/>
            </w:pPr>
            <w:r>
              <w:rPr/>
              <w:t> </w:t>
            </w:r>
          </w:p>
        </w:tc>
        <w:tc>
          <w:tcPr>
            <w:tcW w:w="408" w:type="dxa"/>
            <w:tcBorders/>
            <w:shd w:fill="auto" w:val="clear"/>
            <w:vAlign w:val="center"/>
          </w:tcPr>
          <w:p>
            <w:pPr>
              <w:pStyle w:val="TableContents"/>
              <w:spacing w:before="0" w:after="0"/>
              <w:ind w:left="0" w:right="0" w:hanging="0"/>
              <w:jc w:val="left"/>
              <w:rPr/>
            </w:pPr>
            <w:r>
              <w:rPr/>
              <w:t> </w:t>
            </w:r>
          </w:p>
        </w:tc>
        <w:tc>
          <w:tcPr>
            <w:tcW w:w="15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135,373</w:t>
            </w:r>
          </w:p>
        </w:tc>
        <w:tc>
          <w:tcPr>
            <w:tcW w:w="211" w:type="dxa"/>
            <w:tcBorders/>
            <w:shd w:fill="auto" w:val="clear"/>
            <w:vAlign w:val="center"/>
          </w:tcPr>
          <w:p>
            <w:pPr>
              <w:pStyle w:val="TableContents"/>
              <w:spacing w:before="0" w:after="0"/>
              <w:ind w:left="0" w:right="0" w:hanging="0"/>
              <w:jc w:val="left"/>
              <w:rPr/>
            </w:pPr>
            <w:r>
              <w:rPr/>
              <w:t> </w:t>
            </w:r>
          </w:p>
        </w:tc>
      </w:tr>
      <w:tr>
        <w:trPr/>
        <w:tc>
          <w:tcPr>
            <w:tcW w:w="43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loss</w:t>
            </w:r>
          </w:p>
        </w:tc>
        <w:tc>
          <w:tcPr>
            <w:tcW w:w="146" w:type="dxa"/>
            <w:tcBorders/>
            <w:shd w:fill="auto" w:val="clear"/>
            <w:vAlign w:val="center"/>
          </w:tcPr>
          <w:p>
            <w:pPr>
              <w:pStyle w:val="TableContents"/>
              <w:spacing w:before="0" w:after="0"/>
              <w:ind w:left="0" w:right="0" w:hanging="0"/>
              <w:jc w:val="left"/>
              <w:rPr/>
            </w:pPr>
            <w:r>
              <w:rPr/>
              <w:t> </w:t>
            </w:r>
          </w:p>
        </w:tc>
        <w:tc>
          <w:tcPr>
            <w:tcW w:w="408" w:type="dxa"/>
            <w:tcBorders/>
            <w:shd w:fill="auto" w:val="clear"/>
            <w:vAlign w:val="center"/>
          </w:tcPr>
          <w:p>
            <w:pPr>
              <w:pStyle w:val="TableContents"/>
              <w:spacing w:before="0" w:after="0"/>
              <w:ind w:left="0" w:right="0" w:hanging="0"/>
              <w:jc w:val="left"/>
              <w:rPr/>
            </w:pPr>
            <w:r>
              <w:rPr/>
              <w:t> </w:t>
            </w:r>
          </w:p>
        </w:tc>
        <w:tc>
          <w:tcPr>
            <w:tcW w:w="15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(16,485</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3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 and expense, net</w:t>
            </w:r>
          </w:p>
        </w:tc>
        <w:tc>
          <w:tcPr>
            <w:tcW w:w="146" w:type="dxa"/>
            <w:tcBorders/>
            <w:shd w:fill="auto" w:val="clear"/>
            <w:vAlign w:val="center"/>
          </w:tcPr>
          <w:p>
            <w:pPr>
              <w:pStyle w:val="TableContents"/>
              <w:spacing w:before="0" w:after="0"/>
              <w:ind w:left="0" w:right="0" w:hanging="0"/>
              <w:jc w:val="left"/>
              <w:rPr/>
            </w:pPr>
            <w:r>
              <w:rPr/>
              <w:t> </w:t>
            </w:r>
          </w:p>
        </w:tc>
        <w:tc>
          <w:tcPr>
            <w:tcW w:w="408" w:type="dxa"/>
            <w:tcBorders/>
            <w:shd w:fill="auto" w:val="clear"/>
            <w:vAlign w:val="center"/>
          </w:tcPr>
          <w:p>
            <w:pPr>
              <w:pStyle w:val="TableContents"/>
              <w:spacing w:before="0" w:after="0"/>
              <w:ind w:left="0" w:right="0" w:hanging="0"/>
              <w:jc w:val="left"/>
              <w:rPr/>
            </w:pPr>
            <w:r>
              <w:rPr/>
              <w:t> </w:t>
            </w:r>
          </w:p>
        </w:tc>
        <w:tc>
          <w:tcPr>
            <w:tcW w:w="15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631</w:t>
            </w:r>
          </w:p>
        </w:tc>
        <w:tc>
          <w:tcPr>
            <w:tcW w:w="211" w:type="dxa"/>
            <w:tcBorders/>
            <w:shd w:fill="auto" w:val="clear"/>
            <w:vAlign w:val="center"/>
          </w:tcPr>
          <w:p>
            <w:pPr>
              <w:pStyle w:val="TableContents"/>
              <w:spacing w:before="0" w:after="0"/>
              <w:ind w:left="0" w:right="0" w:hanging="0"/>
              <w:jc w:val="left"/>
              <w:rPr/>
            </w:pPr>
            <w:r>
              <w:rPr/>
              <w:t> </w:t>
            </w:r>
          </w:p>
        </w:tc>
      </w:tr>
      <w:tr>
        <w:trPr/>
        <w:tc>
          <w:tcPr>
            <w:tcW w:w="43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Loss before taxes</w:t>
            </w:r>
          </w:p>
        </w:tc>
        <w:tc>
          <w:tcPr>
            <w:tcW w:w="146" w:type="dxa"/>
            <w:tcBorders/>
            <w:shd w:fill="auto" w:val="clear"/>
            <w:vAlign w:val="center"/>
          </w:tcPr>
          <w:p>
            <w:pPr>
              <w:pStyle w:val="TableContents"/>
              <w:spacing w:before="0" w:after="0"/>
              <w:ind w:left="0" w:right="0" w:hanging="0"/>
              <w:jc w:val="left"/>
              <w:rPr/>
            </w:pPr>
            <w:r>
              <w:rPr/>
              <w:t> </w:t>
            </w:r>
          </w:p>
        </w:tc>
        <w:tc>
          <w:tcPr>
            <w:tcW w:w="408" w:type="dxa"/>
            <w:tcBorders/>
            <w:shd w:fill="auto" w:val="clear"/>
            <w:vAlign w:val="center"/>
          </w:tcPr>
          <w:p>
            <w:pPr>
              <w:pStyle w:val="TableContents"/>
              <w:spacing w:before="0" w:after="0"/>
              <w:ind w:left="0" w:right="0" w:hanging="0"/>
              <w:jc w:val="left"/>
              <w:rPr/>
            </w:pPr>
            <w:r>
              <w:rPr/>
              <w:t> </w:t>
            </w:r>
          </w:p>
        </w:tc>
        <w:tc>
          <w:tcPr>
            <w:tcW w:w="15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(15,854</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3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Provision for income taxes</w:t>
            </w:r>
          </w:p>
        </w:tc>
        <w:tc>
          <w:tcPr>
            <w:tcW w:w="146" w:type="dxa"/>
            <w:tcBorders/>
            <w:shd w:fill="auto" w:val="clear"/>
            <w:vAlign w:val="center"/>
          </w:tcPr>
          <w:p>
            <w:pPr>
              <w:pStyle w:val="TableContents"/>
              <w:spacing w:before="0" w:after="0"/>
              <w:ind w:left="0" w:right="0" w:hanging="0"/>
              <w:jc w:val="left"/>
              <w:rPr/>
            </w:pPr>
            <w:r>
              <w:rPr/>
              <w:t> </w:t>
            </w:r>
          </w:p>
        </w:tc>
        <w:tc>
          <w:tcPr>
            <w:tcW w:w="408" w:type="dxa"/>
            <w:tcBorders/>
            <w:shd w:fill="auto" w:val="clear"/>
            <w:vAlign w:val="center"/>
          </w:tcPr>
          <w:p>
            <w:pPr>
              <w:pStyle w:val="TableContents"/>
              <w:spacing w:before="0" w:after="0"/>
              <w:ind w:left="0" w:right="0" w:hanging="0"/>
              <w:jc w:val="left"/>
              <w:rPr/>
            </w:pPr>
            <w:r>
              <w:rPr/>
              <w:t> </w:t>
            </w:r>
          </w:p>
        </w:tc>
        <w:tc>
          <w:tcPr>
            <w:tcW w:w="15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16,016</w:t>
            </w:r>
          </w:p>
        </w:tc>
        <w:tc>
          <w:tcPr>
            <w:tcW w:w="211" w:type="dxa"/>
            <w:tcBorders/>
            <w:shd w:fill="auto" w:val="clear"/>
            <w:vAlign w:val="center"/>
          </w:tcPr>
          <w:p>
            <w:pPr>
              <w:pStyle w:val="TableContents"/>
              <w:spacing w:before="0" w:after="0"/>
              <w:ind w:left="0" w:right="0" w:hanging="0"/>
              <w:jc w:val="left"/>
              <w:rPr/>
            </w:pPr>
            <w:r>
              <w:rPr/>
              <w:t> </w:t>
            </w:r>
          </w:p>
        </w:tc>
      </w:tr>
      <w:tr>
        <w:trPr/>
        <w:tc>
          <w:tcPr>
            <w:tcW w:w="43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from discontinued operations, net of tax</w:t>
            </w:r>
          </w:p>
        </w:tc>
        <w:tc>
          <w:tcPr>
            <w:tcW w:w="146" w:type="dxa"/>
            <w:tcBorders/>
            <w:shd w:fill="auto" w:val="clear"/>
            <w:vAlign w:val="center"/>
          </w:tcPr>
          <w:p>
            <w:pPr>
              <w:pStyle w:val="TableContents"/>
              <w:spacing w:before="0" w:after="0"/>
              <w:ind w:left="0" w:right="0" w:hanging="0"/>
              <w:jc w:val="left"/>
              <w:rPr/>
            </w:pPr>
            <w:r>
              <w:rPr/>
              <w:t> </w:t>
            </w:r>
          </w:p>
        </w:tc>
        <w:tc>
          <w:tcPr>
            <w:tcW w:w="408" w:type="dxa"/>
            <w:tcBorders/>
            <w:shd w:fill="auto" w:val="clear"/>
            <w:vAlign w:val="center"/>
          </w:tcPr>
          <w:p>
            <w:pPr>
              <w:pStyle w:val="TableContents"/>
              <w:spacing w:before="0" w:after="0"/>
              <w:ind w:left="0" w:right="0" w:hanging="0"/>
              <w:jc w:val="left"/>
              <w:rPr/>
            </w:pPr>
            <w:r>
              <w:rPr/>
              <w:t> </w:t>
            </w:r>
          </w:p>
        </w:tc>
        <w:tc>
          <w:tcPr>
            <w:tcW w:w="15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(31,870</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3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Less: net loss attributable to noncontrolling interest</w:t>
            </w:r>
          </w:p>
        </w:tc>
        <w:tc>
          <w:tcPr>
            <w:tcW w:w="146" w:type="dxa"/>
            <w:tcBorders/>
            <w:shd w:fill="auto" w:val="clear"/>
            <w:vAlign w:val="center"/>
          </w:tcPr>
          <w:p>
            <w:pPr>
              <w:pStyle w:val="TableContents"/>
              <w:spacing w:before="0" w:after="0"/>
              <w:ind w:left="0" w:right="0" w:hanging="0"/>
              <w:jc w:val="left"/>
              <w:rPr/>
            </w:pPr>
            <w:r>
              <w:rPr/>
              <w:t> </w:t>
            </w:r>
          </w:p>
        </w:tc>
        <w:tc>
          <w:tcPr>
            <w:tcW w:w="40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(968</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3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attributable to discontinued operations</w:t>
            </w:r>
          </w:p>
        </w:tc>
        <w:tc>
          <w:tcPr>
            <w:tcW w:w="146" w:type="dxa"/>
            <w:tcBorders/>
            <w:shd w:fill="auto" w:val="clear"/>
            <w:vAlign w:val="center"/>
          </w:tcPr>
          <w:p>
            <w:pPr>
              <w:pStyle w:val="TableContents"/>
              <w:spacing w:before="0" w:after="0"/>
              <w:ind w:left="0" w:right="0" w:hanging="0"/>
              <w:jc w:val="left"/>
              <w:rPr/>
            </w:pPr>
            <w:r>
              <w:rPr/>
              <w:t> </w:t>
            </w:r>
          </w:p>
        </w:tc>
        <w:tc>
          <w:tcPr>
            <w:tcW w:w="40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1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(30,902</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35</w:t>
      </w:r>
    </w:p>
    <w:p>
      <w:pPr>
        <w:pStyle w:val="HorizontalLine"/>
        <w:rPr/>
      </w:pPr>
      <w:r>
        <w:rPr/>
      </w:r>
    </w:p>
    <w:p>
      <w:pPr>
        <w:pStyle w:val="TextBody"/>
        <w:spacing w:before="0" w:after="0"/>
        <w:jc w:val="left"/>
        <w:rPr/>
      </w:pPr>
      <w:r>
        <w:rPr/>
        <w:t> </w:t>
      </w:r>
    </w:p>
    <w:p>
      <w:pPr>
        <w:pStyle w:val="TextBody"/>
        <w:spacing w:before="240" w:after="0"/>
        <w:jc w:val="left"/>
        <w:rPr>
          <w:rFonts w:ascii="Times New Roman;serif" w:hAnsi="Times New Roman;serif"/>
          <w:b/>
          <w:sz w:val="20"/>
        </w:rPr>
      </w:pPr>
      <w:r>
        <w:rPr>
          <w:rFonts w:ascii="Times New Roman;serif" w:hAnsi="Times New Roman;serif"/>
          <w:b/>
          <w:sz w:val="20"/>
        </w:rPr>
        <w:t>Liquidity and Capital Resources</w:t>
      </w:r>
    </w:p>
    <w:p>
      <w:pPr>
        <w:pStyle w:val="TextBody"/>
        <w:spacing w:before="240" w:after="0"/>
        <w:jc w:val="left"/>
        <w:rPr>
          <w:rFonts w:ascii="Times New Roman" w:hAnsi="Times New Roman"/>
          <w:sz w:val="20"/>
        </w:rPr>
      </w:pPr>
      <w:r>
        <w:rPr>
          <w:rFonts w:ascii="Times New Roman;serif" w:hAnsi="Times New Roman;serif"/>
          <w:b w:val="false"/>
          <w:sz w:val="20"/>
        </w:rPr>
        <w:t>The following table presents selected financial information related to our liquidity and significant sources and uses of cash and cash equivalents for the three months ended March 31, 2023 and 2022.</w:t>
      </w:r>
      <w:r>
        <w:rPr>
          <w:rFonts w:ascii="Times New Roman" w:hAnsi="Times New Roman"/>
          <w:sz w:val="20"/>
        </w:rPr>
        <w:t xml:space="preserve"> </w:t>
      </w:r>
    </w:p>
    <w:p>
      <w:pPr>
        <w:pStyle w:val="TextBody"/>
        <w:spacing w:before="0" w:after="0"/>
        <w:jc w:val="left"/>
        <w:rPr/>
      </w:pPr>
      <w:r>
        <w:rPr/>
        <w:t> </w:t>
      </w:r>
    </w:p>
    <w:tbl>
      <w:tblPr>
        <w:tblW w:w="7315" w:type="dxa"/>
        <w:jc w:val="left"/>
        <w:tblInd w:w="0" w:type="dxa"/>
        <w:tblCellMar>
          <w:top w:w="28" w:type="dxa"/>
          <w:left w:w="28" w:type="dxa"/>
          <w:bottom w:w="28" w:type="dxa"/>
          <w:right w:w="28" w:type="dxa"/>
        </w:tblCellMar>
      </w:tblPr>
      <w:tblGrid>
        <w:gridCol w:w="3271"/>
        <w:gridCol w:w="146"/>
        <w:gridCol w:w="342"/>
        <w:gridCol w:w="1098"/>
        <w:gridCol w:w="271"/>
        <w:gridCol w:w="146"/>
        <w:gridCol w:w="367"/>
        <w:gridCol w:w="1358"/>
        <w:gridCol w:w="316"/>
      </w:tblGrid>
      <w:tr>
        <w:trPr/>
        <w:tc>
          <w:tcPr>
            <w:tcW w:w="3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1098"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1358"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3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82"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As of</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27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(in thousands, except for percentages)</w:t>
            </w:r>
          </w:p>
        </w:tc>
        <w:tc>
          <w:tcPr>
            <w:tcW w:w="146" w:type="dxa"/>
            <w:tcBorders/>
            <w:shd w:fill="auto" w:val="clear"/>
            <w:vAlign w:val="center"/>
          </w:tcPr>
          <w:p>
            <w:pPr>
              <w:pStyle w:val="TableContents"/>
              <w:spacing w:before="0" w:after="0"/>
              <w:ind w:left="0" w:right="0" w:hanging="0"/>
              <w:jc w:val="left"/>
              <w:rPr/>
            </w:pPr>
            <w:r>
              <w:rPr/>
              <w:t> </w:t>
            </w:r>
          </w:p>
        </w:tc>
        <w:tc>
          <w:tcPr>
            <w:tcW w:w="144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March 31, 2023</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2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December 31, 2022</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shd w:fill="auto" w:val="clear"/>
            <w:vAlign w:val="center"/>
          </w:tcPr>
          <w:p>
            <w:pPr>
              <w:pStyle w:val="TableContents"/>
              <w:spacing w:before="0" w:after="0"/>
              <w:ind w:left="0" w:right="0" w:hanging="0"/>
              <w:jc w:val="left"/>
              <w:rPr/>
            </w:pPr>
            <w:r>
              <w:rPr/>
              <w:t> </w:t>
            </w:r>
          </w:p>
        </w:tc>
        <w:tc>
          <w:tcPr>
            <w:tcW w:w="34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82,429</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5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114,555</w:t>
            </w:r>
          </w:p>
        </w:tc>
        <w:tc>
          <w:tcPr>
            <w:tcW w:w="3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Percentage of total assets</w:t>
            </w:r>
          </w:p>
        </w:tc>
        <w:tc>
          <w:tcPr>
            <w:tcW w:w="146" w:type="dxa"/>
            <w:tcBorders/>
            <w:shd w:fill="auto" w:val="clear"/>
            <w:vAlign w:val="center"/>
          </w:tcPr>
          <w:p>
            <w:pPr>
              <w:pStyle w:val="TableContents"/>
              <w:spacing w:before="0" w:after="0"/>
              <w:ind w:left="0" w:right="0" w:hanging="0"/>
              <w:jc w:val="left"/>
              <w:rPr/>
            </w:pPr>
            <w:r>
              <w:rPr/>
              <w:t> </w:t>
            </w:r>
          </w:p>
        </w:tc>
        <w:tc>
          <w:tcPr>
            <w:tcW w:w="342" w:type="dxa"/>
            <w:tcBorders/>
            <w:shd w:fill="auto" w:val="clear"/>
            <w:vAlign w:val="center"/>
          </w:tcPr>
          <w:p>
            <w:pPr>
              <w:pStyle w:val="TableContents"/>
              <w:spacing w:before="0" w:after="0"/>
              <w:ind w:left="0" w:right="0" w:hanging="0"/>
              <w:jc w:val="left"/>
              <w:rPr/>
            </w:pPr>
            <w:r>
              <w:rPr/>
              <w:t> </w:t>
            </w:r>
          </w:p>
        </w:tc>
        <w:tc>
          <w:tcPr>
            <w:tcW w:w="109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67" w:type="dxa"/>
            <w:tcBorders/>
            <w:shd w:fill="auto" w:val="clear"/>
            <w:vAlign w:val="center"/>
          </w:tcPr>
          <w:p>
            <w:pPr>
              <w:pStyle w:val="TableContents"/>
              <w:spacing w:before="0" w:after="0"/>
              <w:ind w:left="0" w:right="0" w:hanging="0"/>
              <w:jc w:val="left"/>
              <w:rPr/>
            </w:pPr>
            <w:r>
              <w:rPr/>
              <w:t> </w:t>
            </w:r>
          </w:p>
        </w:tc>
        <w:tc>
          <w:tcPr>
            <w:tcW w:w="135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tbl>
      <w:tblPr>
        <w:tblW w:w="5996" w:type="dxa"/>
        <w:jc w:val="left"/>
        <w:tblInd w:w="0" w:type="dxa"/>
        <w:tblCellMar>
          <w:top w:w="28" w:type="dxa"/>
          <w:left w:w="28" w:type="dxa"/>
          <w:bottom w:w="28" w:type="dxa"/>
          <w:right w:w="28" w:type="dxa"/>
        </w:tblCellMar>
      </w:tblPr>
      <w:tblGrid>
        <w:gridCol w:w="2851"/>
        <w:gridCol w:w="146"/>
        <w:gridCol w:w="266"/>
        <w:gridCol w:w="931"/>
        <w:gridCol w:w="210"/>
        <w:gridCol w:w="184"/>
        <w:gridCol w:w="266"/>
        <w:gridCol w:w="931"/>
        <w:gridCol w:w="211"/>
      </w:tblGrid>
      <w:tr>
        <w:trPr/>
        <w:tc>
          <w:tcPr>
            <w:tcW w:w="28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28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8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Three Months Ended March 31,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8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9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21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119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8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from operating activities</w:t>
            </w:r>
          </w:p>
        </w:tc>
        <w:tc>
          <w:tcPr>
            <w:tcW w:w="146" w:type="dxa"/>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63,352</w:t>
            </w:r>
          </w:p>
        </w:tc>
        <w:tc>
          <w:tcPr>
            <w:tcW w:w="210"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46,273</w:t>
            </w:r>
          </w:p>
        </w:tc>
        <w:tc>
          <w:tcPr>
            <w:tcW w:w="211" w:type="dxa"/>
            <w:tcBorders/>
            <w:shd w:fill="auto" w:val="clear"/>
            <w:vAlign w:val="center"/>
          </w:tcPr>
          <w:p>
            <w:pPr>
              <w:pStyle w:val="TableContents"/>
              <w:spacing w:before="0" w:after="0"/>
              <w:ind w:left="0" w:right="0" w:hanging="0"/>
              <w:jc w:val="left"/>
              <w:rPr/>
            </w:pPr>
            <w:r>
              <w:rPr/>
              <w:t> </w:t>
            </w:r>
          </w:p>
        </w:tc>
      </w:tr>
      <w:tr>
        <w:trPr/>
        <w:tc>
          <w:tcPr>
            <w:tcW w:w="28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from investing activities</w:t>
            </w:r>
          </w:p>
        </w:tc>
        <w:tc>
          <w:tcPr>
            <w:tcW w:w="146" w:type="dxa"/>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(390</w:t>
            </w:r>
          </w:p>
        </w:tc>
        <w:tc>
          <w:tcPr>
            <w:tcW w:w="21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4" w:type="dxa"/>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3,064</w:t>
            </w:r>
          </w:p>
        </w:tc>
        <w:tc>
          <w:tcPr>
            <w:tcW w:w="211" w:type="dxa"/>
            <w:tcBorders/>
            <w:shd w:fill="auto" w:val="clear"/>
            <w:vAlign w:val="center"/>
          </w:tcPr>
          <w:p>
            <w:pPr>
              <w:pStyle w:val="TableContents"/>
              <w:spacing w:before="0" w:after="0"/>
              <w:ind w:left="0" w:right="0" w:hanging="0"/>
              <w:jc w:val="left"/>
              <w:rPr/>
            </w:pPr>
            <w:r>
              <w:rPr/>
              <w:t> </w:t>
            </w:r>
          </w:p>
        </w:tc>
      </w:tr>
      <w:tr>
        <w:trPr/>
        <w:tc>
          <w:tcPr>
            <w:tcW w:w="28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from financing activities</w:t>
            </w:r>
          </w:p>
        </w:tc>
        <w:tc>
          <w:tcPr>
            <w:tcW w:w="146" w:type="dxa"/>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(95,088</w:t>
            </w:r>
          </w:p>
        </w:tc>
        <w:tc>
          <w:tcPr>
            <w:tcW w:w="21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4" w:type="dxa"/>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(35,671</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p>
      <w:pPr>
        <w:pStyle w:val="TextBody"/>
        <w:spacing w:before="40" w:after="0"/>
        <w:jc w:val="left"/>
        <w:rPr>
          <w:rFonts w:ascii="Times New Roman" w:hAnsi="Times New Roman"/>
          <w:sz w:val="20"/>
        </w:rPr>
      </w:pPr>
      <w:r>
        <w:rPr>
          <w:rFonts w:ascii="Times New Roman;serif" w:hAnsi="Times New Roman;serif"/>
          <w:b w:val="false"/>
          <w:sz w:val="20"/>
        </w:rPr>
        <w:t>Our primary sources of liquidity and capital resources are our operating cash flows. Cash and cash equivalents were $82.4 million at March 31, 2023, a decrease of $32.1 million from $114.6 million at December 31, 2022. This decrease resulted primarily from $83.6 million in repayment of our indebtedness, $5.3 million in dividends paid, and $0.4 million of capital expenditures, partially offset by $63.4 million of cash generated from operations and $0.4 million in proceeds from the issuance of common stock under our employee stock grant programs and employee stock purchase plans.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The primary objectives of our investment activities are to preserve principal and to maintain liquidity, while at the same time capturing a market rate of return. To achieve these objectives, we maintain a diversified portfolio of securities including money market funds and debt securities such as corporate bonds and notes, municipal bonds and notes, commercial paper, treasury and agency notes and bills and certificates of deposit. Our marketable debt securities are classified as available-for-sale (“AFS”) with credit losses recognized as a credit loss expense and non-credit related unrealized gains and losses, net of tax, recorded in accumulated other comprehensive income or loss. The gross realized gains and losses on sales of marketable debt securities were immaterial during the three months ended March 31, 2023 and 2022. Unrealized losses on AFS debt securities were immaterial as of March 31, 2023 and December 31, 2022.</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For information about our material cash requirements, see “Liquidity and Capital Resources” in Part II, Item 7 of our Annual Report on Form 10-K for the year ended December 31, 2022. Other than the principal payment of $83.6 million made by us under the Refinanced Term B Loans during the three months ended March 31, 2023, our cash requirements have not changed materially since December 31, 2022.</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We expect to continue to make additional payments on our existing debt from cash generated from operations. In addition to our cash requirements, we have returned cash to stockholders through both quarterly dividend payments and repurchases of our common stock under our stock repurchase plan.</w:t>
      </w:r>
    </w:p>
    <w:p>
      <w:pPr>
        <w:pStyle w:val="TextBody"/>
        <w:spacing w:before="240" w:after="0"/>
        <w:jc w:val="left"/>
        <w:rPr>
          <w:rFonts w:ascii="Times New Roman;serif" w:hAnsi="Times New Roman;serif"/>
          <w:b w:val="false"/>
          <w:i/>
          <w:sz w:val="20"/>
        </w:rPr>
      </w:pPr>
      <w:r>
        <w:rPr>
          <w:rFonts w:ascii="Times New Roman;serif" w:hAnsi="Times New Roman;serif"/>
          <w:b w:val="false"/>
          <w:i/>
          <w:sz w:val="20"/>
        </w:rPr>
        <w:t>Quarterly Dividends</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In March 2023, we paid quarterly dividends of $0.05 per share of common stock. In May 2023, our board of directors (the “Board”) authorized payment of a quarterly dividend of $0.05 per share, to be paid in June 2023. We anticipate that all quarterly dividends will be paid out of cash and cash equivalents.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serif" w:hAnsi="Times New Roman;serif"/>
          <w:b w:val="false"/>
          <w:i/>
          <w:sz w:val="20"/>
        </w:rPr>
      </w:pPr>
      <w:r>
        <w:rPr>
          <w:rFonts w:ascii="Times New Roman;serif" w:hAnsi="Times New Roman;serif"/>
          <w:b w:val="false"/>
          <w:i/>
          <w:sz w:val="20"/>
        </w:rPr>
        <w:t>Stock Repurchase Plan</w:t>
      </w:r>
    </w:p>
    <w:p>
      <w:pPr>
        <w:pStyle w:val="TextBody"/>
        <w:spacing w:before="240" w:after="0"/>
        <w:jc w:val="left"/>
        <w:rPr>
          <w:rFonts w:ascii="Times New Roman" w:hAnsi="Times New Roman"/>
          <w:sz w:val="20"/>
        </w:rPr>
      </w:pPr>
      <w:r>
        <w:rPr>
          <w:rFonts w:ascii="Times New Roman;serif" w:hAnsi="Times New Roman;serif"/>
          <w:b w:val="false"/>
          <w:sz w:val="20"/>
        </w:rPr>
        <w:t>On June 12, 2020, our Board terminated a prior stock repurchase program and approved a new stock repurchase plan (the “Plan”), which provides for the repurchase of up to $150.0 million of our common stock dependent on market conditions, share price and other factors. No expiration has been specified for this Plan. On April 22, 2021, our Board authorized an additional $100.0 million of purchases under the Plan. The stock repurchases may be made from time to time, through solicited or unsolicited transactions in the open market, in privately negotiated transactions, or pursuant to a Rule 10b5-1 plan. Since the inception of the Plan, and through March 31, 2023, we have repurchased an aggregate of approximately 10.0 million shares of common stock at a total cost of $172.2 million at an average price of $17.24. As of March 31, 2023, the total remaining amount available for repurchase under the Plan was $77.8 million.</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36</w:t>
      </w:r>
    </w:p>
    <w:p>
      <w:pPr>
        <w:pStyle w:val="HorizontalLine"/>
        <w:rPr/>
      </w:pPr>
      <w:r>
        <w:rPr/>
      </w:r>
    </w:p>
    <w:p>
      <w:pPr>
        <w:pStyle w:val="TextBody"/>
        <w:spacing w:before="0" w:after="0"/>
        <w:jc w:val="left"/>
        <w:rPr/>
      </w:pPr>
      <w:r>
        <w:rPr/>
        <w:t>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We may continue to execute authorized repurchases from time to time under the Plan. The amount and timing of any repurchases under the Plan depend on a number of factors, including, but not limited to, the trading price, volume and availability of our common shares. There is no guarantee that such repurchases under the Plan will enhance the value of our common stock.</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While we expect to continue to generate cash flows from operating activities in 2023, the COVID-19 impact and macroeconomic conditions continue to present uncertainties as to the level of such cash flows as compared to prior years. We have taken actions to manage cash flows by reducing discretionary spending and other variable costs, and closely monitoring receivables and payables.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We believe that based on current levels of operations and anticipated growth, our cash from operations, together with cash and cash equivalents currently available, will be sufficient to satisfy our currently anticipated cash requirements through at least the next 12 months and thereafter for the foreseeable future. Poor financial results, unanticipated expenses, unanticipated acquisitions of technologies or businesses, or unanticipated strategic investments could give rise to additional financing requirements sooner than we expect. There can be no assurance that equity or debt financing will be available when needed or, if available, that such financing will be on terms satisfactory to us. The sale of additional equity securities could result in dilution to our stockholders. The incurrence of indebtedness could result in increased debt service obligations and may include covenants that would restrict our operations.</w:t>
      </w:r>
    </w:p>
    <w:p>
      <w:pPr>
        <w:pStyle w:val="TextBody"/>
        <w:spacing w:before="240" w:after="0"/>
        <w:jc w:val="left"/>
        <w:rPr>
          <w:rFonts w:ascii="Times New Roman;serif" w:hAnsi="Times New Roman;serif"/>
          <w:b/>
          <w:i/>
          <w:sz w:val="20"/>
        </w:rPr>
      </w:pPr>
      <w:r>
        <w:rPr>
          <w:rFonts w:ascii="Times New Roman;serif" w:hAnsi="Times New Roman;serif"/>
          <w:b/>
          <w:i/>
          <w:sz w:val="20"/>
        </w:rPr>
        <w:t>Cash Flows from Operating Activities</w:t>
      </w:r>
    </w:p>
    <w:p>
      <w:pPr>
        <w:pStyle w:val="TextBody"/>
        <w:spacing w:before="240" w:after="0"/>
        <w:jc w:val="left"/>
        <w:rPr>
          <w:rFonts w:ascii="Times New Roman" w:hAnsi="Times New Roman"/>
          <w:sz w:val="20"/>
        </w:rPr>
      </w:pPr>
      <w:r>
        <w:rPr>
          <w:rFonts w:ascii="Times New Roman;serif" w:hAnsi="Times New Roman;serif"/>
          <w:b w:val="false"/>
          <w:sz w:val="20"/>
        </w:rPr>
        <w:t>Our cash flows are presented on a consolidated basis and therefore, also include $135.0 million of cash and cash equivalents included as current assets of discontinued operations in the condensed consolidated balance sheet as of March 31, 2022.</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Cash flows provided by operations were $63.4 million for the three months ended March 31, 2023, primarily due to our net income of $29.0 million being adjusted for non-cash items of amortization of intangible assets of $23.7 million, deferred income taxes of $2.4 million, amortization of debt issuance costs of $1.2 million and stock-based compensation expense of $3.6 million. These increases were partially offset by $2.5 million in changes in operating assets and liabilities including payment during the quarter of employee bonuses earned in 2022.</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Cash flows provided by operations were $46.3 million for the three months ended March 31, 2022, primarily due to our net income of $24.0 million being further adjusted for non-cash items of depreciation of $5.9 million, amortization of intangible assets of $39.3 million and stock-based compensation expense of $16.8 million. These increases were partially offset by $40.8 million in changes in operating assets and liabilities including payment during the quarter of employee bonuses earned in 2021.</w:t>
      </w:r>
    </w:p>
    <w:p>
      <w:pPr>
        <w:pStyle w:val="TextBody"/>
        <w:spacing w:before="240" w:after="0"/>
        <w:jc w:val="left"/>
        <w:rPr>
          <w:rFonts w:ascii="Times New Roman;serif" w:hAnsi="Times New Roman;serif"/>
          <w:b/>
          <w:i/>
          <w:sz w:val="20"/>
        </w:rPr>
      </w:pPr>
      <w:r>
        <w:rPr>
          <w:rFonts w:ascii="Times New Roman;serif" w:hAnsi="Times New Roman;serif"/>
          <w:b/>
          <w:i/>
          <w:sz w:val="20"/>
        </w:rPr>
        <w:t>Cash Flows from Investing Activities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Net cash used in investing activities was $0.4 million for the three months ended March 31, 2023, primarily related to capital expenditures.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Net cash provided by investing activities was $3.1 million for the three months ended March 31, 2022, primarily related to maturities and sales of securities of $12.0 million, partially offset by purchases of short-term investments of $4.5 million and capital expenditures of $4.3 million.</w:t>
      </w:r>
    </w:p>
    <w:p>
      <w:pPr>
        <w:pStyle w:val="TextBody"/>
        <w:spacing w:before="240" w:after="0"/>
        <w:jc w:val="left"/>
        <w:rPr>
          <w:rFonts w:ascii="Times New Roman;serif" w:hAnsi="Times New Roman;serif"/>
          <w:b w:val="false"/>
          <w:i/>
          <w:sz w:val="20"/>
        </w:rPr>
      </w:pPr>
      <w:r>
        <w:rPr>
          <w:rFonts w:ascii="Times New Roman;serif" w:hAnsi="Times New Roman;serif"/>
          <w:b w:val="false"/>
          <w:i/>
          <w:sz w:val="20"/>
        </w:rPr>
        <w:t>Capital Expenditures</w:t>
      </w:r>
    </w:p>
    <w:p>
      <w:pPr>
        <w:pStyle w:val="TextBody"/>
        <w:spacing w:before="240" w:after="0"/>
        <w:jc w:val="left"/>
        <w:rPr>
          <w:rFonts w:ascii="Times New Roman" w:hAnsi="Times New Roman"/>
          <w:sz w:val="20"/>
        </w:rPr>
      </w:pPr>
      <w:r>
        <w:rPr>
          <w:rFonts w:ascii="Times New Roman;serif" w:hAnsi="Times New Roman;serif"/>
          <w:b w:val="false"/>
          <w:sz w:val="20"/>
        </w:rPr>
        <w:t>Our capital expenditures for property and equipment consist primarily of purchases of computer hardware and software, information systems, and production and test equipment. During the three months ended March 31, 2023 and 2022, we spent $0.4 million and $4.3 million on capital expenditures, respectively, and we expect capital expenditures in the remainder of 2023 to be approximately $4.6 million. These expenditures are expected to be financed with cash from operations, existing cash and cash equivalents and short-term investments. There can be no assurance that current expectations will be realized, and plans are subject to change upon further review of our capital expenditure needs.</w:t>
      </w:r>
      <w:r>
        <w:rPr>
          <w:rFonts w:ascii="Times New Roman" w:hAnsi="Times New Roman"/>
          <w:sz w:val="20"/>
        </w:rPr>
        <w:t xml:space="preserve"> </w:t>
      </w:r>
    </w:p>
    <w:p>
      <w:pPr>
        <w:pStyle w:val="TextBody"/>
        <w:spacing w:before="240" w:after="0"/>
        <w:jc w:val="left"/>
        <w:rPr>
          <w:rFonts w:ascii="Times New Roman;serif" w:hAnsi="Times New Roman;serif"/>
          <w:b/>
          <w:i/>
          <w:sz w:val="20"/>
        </w:rPr>
      </w:pPr>
      <w:r>
        <w:rPr>
          <w:rFonts w:ascii="Times New Roman;serif" w:hAnsi="Times New Roman;serif"/>
          <w:b/>
          <w:i/>
          <w:sz w:val="20"/>
        </w:rPr>
        <w:t>Cash Flows from Financing Activities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Net cash used in financing activities was $95.1 million for the three months ended March 31, 2023 due to $83.6 million in repayment of indebtedness, $5.3 million in dividends paid, $6.6 million in repurchases of common stock, partially offset by $0.4 million in proceeds from the issuance of common stock under our employee stock grant programs and employee stock purchase plans.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37</w:t>
      </w:r>
    </w:p>
    <w:p>
      <w:pPr>
        <w:pStyle w:val="HorizontalLine"/>
        <w:rPr/>
      </w:pPr>
      <w:r>
        <w:rPr/>
      </w:r>
    </w:p>
    <w:p>
      <w:pPr>
        <w:pStyle w:val="TextBody"/>
        <w:spacing w:before="0" w:after="0"/>
        <w:jc w:val="left"/>
        <w:rPr/>
      </w:pPr>
      <w:r>
        <w:rPr/>
        <w:t>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Net cash used in financing activities was $35.7 million for the three months ended March 31, 2022 due to $10.1 million in repayment of indebtedness, $5.2 million in dividends paid, and $28.3 million in repurchases of common stock, partially offset by $8.0 million in proceeds due to the issuance of common stock under our employee stock grant programs and employee stock purchase plans.</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i/>
          <w:sz w:val="20"/>
        </w:rPr>
        <w:t>Long-term Debt</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On June 8, 2021, we amended (the “Amendment”) that certain Credit Agreement dated June 1, 2020 by and among us, the lenders party thereto and Bank of America, N.A., as administrative agent and collateral agent (the “2020 Credit Agreement”). The 2020 Credit Agreement initially provided for a five-year senior secured term B loan facility in an aggregate principal amount of $1,050 million (the “2020 Term B Loan Facility”). In connection with the Amendment, we made a voluntary prepayment of $50.6 million of the term loan outstanding under the 2020 Credit Agreement using cash on hand. The Amendment provided for, among other things, (i) a new tranche of term loans (the “Refinanced Term B Loans”) in an aggregate principal amount of $810.0 million, (ii) a reduction of the interest rate margin applicable to such loans to (x) in the case of base rate loans, 2.50% per annum and (y) in the case of Eurodollar loans, LIBOR plus a margin of 3.50% per annum, (iii) a prepayment premium of 1.00% in connection with any repricing transaction with respect to the Refinanced Term B Loans within six months of the closing date of the Amendment, (iv) an extension of the maturity to June 8, 2028, and (v) certain additional amendments, including amendments to provide us with additional flexibility under the covenant governing restricted payments. We commenced repaying quarterly installments under the Refinanced Term B Loans in the third quarter of 2021.</w:t>
      </w:r>
    </w:p>
    <w:p>
      <w:pPr>
        <w:pStyle w:val="TextBody"/>
        <w:spacing w:before="240" w:after="0"/>
        <w:jc w:val="left"/>
        <w:rPr>
          <w:rFonts w:ascii="Times New Roman" w:hAnsi="Times New Roman"/>
          <w:sz w:val="20"/>
        </w:rPr>
      </w:pPr>
      <w:r>
        <w:rPr>
          <w:rFonts w:ascii="Times New Roman;serif" w:hAnsi="Times New Roman;serif"/>
          <w:b w:val="false"/>
          <w:sz w:val="20"/>
        </w:rPr>
        <w:t>At March 31, 2023, $665.6 million was outstanding under the Refinanced Term B Loans with an interest rate, including amortization of debt discount and issuance costs of $18.7 million. Interest is payable monthly. Under the existing loan agreements, we have future minimum principal payments for our debt of $30.4 million for the remainder of 2023 and $40.5 million in each year from 2024 through 2026, with the remaining principal balance of $473.3 million due in 2028. After the Separation, we own the debt under the Refinanced B Term Loans. Additionally, we paid $73.5 million during the three months ended March 31, 2023, based on certain leverage ratios and our excess cash flow generated during the year ended December 31, 2022. The payments were made earlier than required under the 2020 Credit Agreement. We are obligated to continue to pay a portion of excess cash flows on an annual basis. The Refinanced Term B Loans contain customary covenants, and as of March 31, 2023, we were in full compliance with such covenants.</w:t>
      </w:r>
      <w:r>
        <w:rPr>
          <w:rFonts w:ascii="Times New Roman" w:hAnsi="Times New Roman"/>
          <w:sz w:val="20"/>
        </w:rPr>
        <w:t xml:space="preserve"> </w:t>
      </w:r>
    </w:p>
    <w:p>
      <w:pPr>
        <w:pStyle w:val="TextBody"/>
        <w:spacing w:before="240" w:after="0"/>
        <w:jc w:val="left"/>
        <w:rPr>
          <w:rFonts w:ascii="Times New Roman;serif" w:hAnsi="Times New Roman;serif"/>
          <w:b/>
          <w:sz w:val="20"/>
        </w:rPr>
      </w:pPr>
      <w:r>
        <w:rPr>
          <w:rFonts w:ascii="Times New Roman;serif" w:hAnsi="Times New Roman;serif"/>
          <w:b/>
          <w:sz w:val="20"/>
        </w:rPr>
        <w:t>Critical Accounting Policies and Estimates</w:t>
      </w:r>
    </w:p>
    <w:p>
      <w:pPr>
        <w:pStyle w:val="TextBody"/>
        <w:spacing w:before="240" w:after="0"/>
        <w:jc w:val="left"/>
        <w:rPr>
          <w:rFonts w:ascii="Times New Roman" w:hAnsi="Times New Roman"/>
          <w:sz w:val="20"/>
        </w:rPr>
      </w:pPr>
      <w:r>
        <w:rPr>
          <w:rFonts w:ascii="Times New Roman;serif" w:hAnsi="Times New Roman;serif"/>
          <w:b w:val="false"/>
          <w:sz w:val="20"/>
        </w:rPr>
        <w:t xml:space="preserve">During the three months ended March 31, 2023, there were no significant changes in our critical accounting policies and estimates. See “Note 2 – </w:t>
      </w:r>
      <w:r>
        <w:rPr>
          <w:rFonts w:ascii="Times New Roman;serif" w:hAnsi="Times New Roman;serif"/>
          <w:b w:val="false"/>
          <w:i/>
          <w:sz w:val="20"/>
        </w:rPr>
        <w:t>Summary of Significant Accounting Policies</w:t>
      </w:r>
      <w:r>
        <w:rPr>
          <w:rFonts w:ascii="Times New Roman" w:hAnsi="Times New Roman"/>
          <w:sz w:val="20"/>
        </w:rPr>
        <w:t xml:space="preserve">” </w:t>
      </w:r>
      <w:r>
        <w:rPr>
          <w:rFonts w:ascii="Times New Roman;serif" w:hAnsi="Times New Roman;serif"/>
          <w:b w:val="false"/>
          <w:sz w:val="20"/>
        </w:rPr>
        <w:t>of Notes to the Condensed Consolidated Financial Statements for additional detail. For a discussion of our critical accounting policies and estimates, see Part II, Item 7 – Management’s Discussion and Analysis of Financial Condition and Results of Operations in our Annual Report on Form 10-K.</w:t>
      </w:r>
    </w:p>
    <w:p>
      <w:pPr>
        <w:pStyle w:val="TextBody"/>
        <w:spacing w:before="240" w:after="0"/>
        <w:jc w:val="left"/>
        <w:rPr>
          <w:rFonts w:ascii="Times New Roman;serif" w:hAnsi="Times New Roman;serif"/>
          <w:b/>
          <w:sz w:val="20"/>
        </w:rPr>
      </w:pPr>
      <w:r>
        <w:rPr>
          <w:rFonts w:ascii="Times New Roman;serif" w:hAnsi="Times New Roman;serif"/>
          <w:b/>
          <w:sz w:val="20"/>
        </w:rPr>
        <w:t>Recent Accounting Pronouncements</w:t>
      </w:r>
    </w:p>
    <w:p>
      <w:pPr>
        <w:pStyle w:val="TextBody"/>
        <w:spacing w:before="240" w:after="0"/>
        <w:jc w:val="left"/>
        <w:rPr>
          <w:rFonts w:ascii="Times New Roman" w:hAnsi="Times New Roman"/>
          <w:sz w:val="20"/>
        </w:rPr>
      </w:pPr>
      <w:r>
        <w:rPr>
          <w:rFonts w:ascii="Times New Roman;serif" w:hAnsi="Times New Roman;serif"/>
          <w:b w:val="false"/>
          <w:sz w:val="20"/>
        </w:rPr>
        <w:t xml:space="preserve">See “Note 2 – </w:t>
      </w:r>
      <w:r>
        <w:rPr>
          <w:rFonts w:ascii="Times New Roman;serif" w:hAnsi="Times New Roman;serif"/>
          <w:b w:val="false"/>
          <w:i/>
          <w:sz w:val="20"/>
        </w:rPr>
        <w:t>Summary of Significant Accounting Policies</w:t>
      </w:r>
      <w:r>
        <w:rPr>
          <w:rFonts w:ascii="Times New Roman" w:hAnsi="Times New Roman"/>
          <w:sz w:val="20"/>
        </w:rPr>
        <w:t xml:space="preserve">” </w:t>
      </w:r>
      <w:r>
        <w:rPr>
          <w:rFonts w:ascii="Times New Roman;serif" w:hAnsi="Times New Roman;serif"/>
          <w:b w:val="false"/>
          <w:sz w:val="20"/>
        </w:rPr>
        <w:t>of the Notes to Condensed Consolidated Financial Statements for a full description of recent accounting pronouncements including the respective expected dates of adoption.</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38</w:t>
      </w:r>
    </w:p>
    <w:p>
      <w:pPr>
        <w:pStyle w:val="HorizontalLine"/>
        <w:rPr/>
      </w:pPr>
      <w:r>
        <w:rPr/>
      </w:r>
    </w:p>
    <w:p>
      <w:pPr>
        <w:pStyle w:val="TextBody"/>
        <w:spacing w:before="0" w:after="0"/>
        <w:jc w:val="left"/>
        <w:rPr/>
      </w:pPr>
      <w:r>
        <w:rPr/>
        <w:t> </w:t>
      </w:r>
    </w:p>
    <w:p>
      <w:pPr>
        <w:pStyle w:val="TextBody"/>
        <w:spacing w:before="240" w:after="0"/>
        <w:jc w:val="left"/>
        <w:rPr>
          <w:rFonts w:ascii="Times New Roman;serif" w:hAnsi="Times New Roman;serif"/>
          <w:b/>
          <w:sz w:val="20"/>
        </w:rPr>
      </w:pPr>
      <w:bookmarkStart w:id="13" w:name="item_3_quantitative_qualitative_disclosu"/>
      <w:bookmarkEnd w:id="13"/>
      <w:r>
        <w:rPr>
          <w:rFonts w:ascii="Times New Roman;serif" w:hAnsi="Times New Roman;serif"/>
          <w:b/>
          <w:sz w:val="20"/>
        </w:rPr>
        <w:t>Item 3. Quantitative and Qualitative Disclosures About Market Risk</w:t>
      </w:r>
    </w:p>
    <w:p>
      <w:pPr>
        <w:pStyle w:val="TextBody"/>
        <w:spacing w:before="240" w:after="0"/>
        <w:jc w:val="left"/>
        <w:rPr>
          <w:rFonts w:ascii="Times New Roman" w:hAnsi="Times New Roman"/>
          <w:sz w:val="20"/>
        </w:rPr>
      </w:pPr>
      <w:r>
        <w:rPr>
          <w:rFonts w:ascii="Times New Roman;serif" w:hAnsi="Times New Roman;serif"/>
          <w:b w:val="false"/>
          <w:sz w:val="20"/>
        </w:rPr>
        <w:t xml:space="preserve">For a discussion of our market risk, see Part II, Item 7A – </w:t>
      </w:r>
      <w:r>
        <w:rPr>
          <w:rFonts w:ascii="Times New Roman;serif" w:hAnsi="Times New Roman;serif"/>
          <w:b w:val="false"/>
          <w:i/>
          <w:sz w:val="20"/>
        </w:rPr>
        <w:t>Quantitative and Qualitative Disclosures About Market Risk</w:t>
      </w:r>
      <w:r>
        <w:rPr>
          <w:rFonts w:ascii="Times New Roman" w:hAnsi="Times New Roman"/>
          <w:sz w:val="20"/>
        </w:rPr>
        <w:t xml:space="preserve"> </w:t>
      </w:r>
      <w:r>
        <w:rPr>
          <w:rFonts w:ascii="Times New Roman;serif" w:hAnsi="Times New Roman;serif"/>
          <w:b w:val="false"/>
          <w:sz w:val="20"/>
        </w:rPr>
        <w:t>in our Annual Report on Form 10-K.</w:t>
      </w:r>
    </w:p>
    <w:p>
      <w:pPr>
        <w:pStyle w:val="TextBody"/>
        <w:spacing w:before="240" w:after="0"/>
        <w:jc w:val="left"/>
        <w:rPr>
          <w:rFonts w:ascii="Times New Roman" w:hAnsi="Times New Roman"/>
          <w:sz w:val="20"/>
        </w:rPr>
      </w:pPr>
      <w:bookmarkStart w:id="14" w:name="item_4_controls_procedures"/>
      <w:bookmarkEnd w:id="14"/>
      <w:r>
        <w:rPr>
          <w:rFonts w:ascii="Times New Roman;serif" w:hAnsi="Times New Roman;serif"/>
          <w:b/>
          <w:sz w:val="20"/>
        </w:rPr>
        <w:t>Item 4. Controls</w:t>
      </w:r>
      <w:r>
        <w:rPr>
          <w:rFonts w:ascii="Times New Roman" w:hAnsi="Times New Roman"/>
          <w:sz w:val="20"/>
        </w:rPr>
        <w:t xml:space="preserve"> </w:t>
      </w:r>
      <w:r>
        <w:rPr>
          <w:rFonts w:ascii="Times New Roman;serif" w:hAnsi="Times New Roman;serif"/>
          <w:b/>
          <w:sz w:val="20"/>
        </w:rPr>
        <w:t>and Procedures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Attached as exhibits to this Form 10-Q are certifications of Adeia Inc.’s Chief Executive Officer and Chief Financial Officer, which are required in accordance with Rule 13a-14 of the Exchange Act. This “Controls and Procedures” section includes information concerning the controls and controls evaluation referred to in the certifications and it should be read in conjunction with the certifications for a more complete understanding of the topics presented.</w:t>
      </w:r>
    </w:p>
    <w:p>
      <w:pPr>
        <w:pStyle w:val="TextBody"/>
        <w:spacing w:before="240" w:after="0"/>
        <w:jc w:val="left"/>
        <w:rPr>
          <w:rFonts w:ascii="Times New Roman;serif" w:hAnsi="Times New Roman;serif"/>
          <w:b/>
          <w:sz w:val="20"/>
        </w:rPr>
      </w:pPr>
      <w:r>
        <w:rPr>
          <w:rFonts w:ascii="Times New Roman;serif" w:hAnsi="Times New Roman;serif"/>
          <w:b/>
          <w:sz w:val="20"/>
        </w:rPr>
        <w:t>Evaluation of Controls and Procedures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We maintain disclosure controls and procedures that are designed to ensure that information required to be disclosed in our reports filed or submitted pursuant to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Under the supervision and with the participation of our management, including our Chief Executive Officer and Chief Financial Officer, we conducted an evaluation of the effectiveness of the design and operation of our disclosure controls and procedures, as defined in Rules 13a-15(e) and 15d-15(e) under the Exchange Act as of the end of the period covered by this report (the evaluation date). Based on this evaluation, our Chief Executive Officer and Chief Financial Officer concluded as of the evaluation date that our disclosure controls and procedures were effective to provide reasonable assurance that the information relating to Adeia Inc., including our consolidated subsidiaries, required to be disclosed in our SEC reports (i) is recorded, processed, summarized and reported within the time periods specified in SEC rules and forms, and (ii) is accumulated and communicated to Adeia Inc.’s management, including our Chief Executive Officer and Chief Financial Officer, as appropriate, to allow timely decisions regarding required disclosure.</w:t>
      </w:r>
    </w:p>
    <w:p>
      <w:pPr>
        <w:pStyle w:val="TextBody"/>
        <w:spacing w:before="240" w:after="0"/>
        <w:jc w:val="left"/>
        <w:rPr>
          <w:rFonts w:ascii="Times New Roman;serif" w:hAnsi="Times New Roman;serif"/>
          <w:b/>
          <w:sz w:val="20"/>
        </w:rPr>
      </w:pPr>
      <w:r>
        <w:rPr>
          <w:rFonts w:ascii="Times New Roman;serif" w:hAnsi="Times New Roman;serif"/>
          <w:b/>
          <w:sz w:val="20"/>
        </w:rPr>
        <w:t>Changes in Internal Control over Financial Reporting</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There were no changes in our internal control over financial reporting, as defined in Rules 13a-15(f) and 15d-15(f) of the Exchange Act, during the last fiscal quarter covered by this Quarterly Report on Form 10-Q that materially affected or are reasonably likely to materially affect our internal control over financial reporting.</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39</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bookmarkStart w:id="15" w:name="part_ii"/>
      <w:bookmarkEnd w:id="15"/>
      <w:r>
        <w:rPr>
          <w:rFonts w:ascii="Times New Roman;serif" w:hAnsi="Times New Roman;serif"/>
          <w:b/>
          <w:sz w:val="20"/>
        </w:rPr>
        <w:t>PART II - OTHER INFORMATION</w:t>
      </w:r>
    </w:p>
    <w:p>
      <w:pPr>
        <w:pStyle w:val="TextBody"/>
        <w:spacing w:before="240" w:after="0"/>
        <w:jc w:val="left"/>
        <w:rPr>
          <w:rFonts w:ascii="Times New Roman" w:hAnsi="Times New Roman"/>
          <w:sz w:val="20"/>
        </w:rPr>
      </w:pPr>
      <w:bookmarkStart w:id="16" w:name="item_1_legal_proceedings"/>
      <w:bookmarkEnd w:id="16"/>
      <w:r>
        <w:rPr>
          <w:rFonts w:ascii="Times New Roman;serif" w:hAnsi="Times New Roman;serif"/>
          <w:b/>
          <w:sz w:val="20"/>
        </w:rPr>
        <w:t>Item 1. Legal</w:t>
      </w:r>
      <w:r>
        <w:rPr>
          <w:rFonts w:ascii="Times New Roman" w:hAnsi="Times New Roman"/>
          <w:sz w:val="20"/>
        </w:rPr>
        <w:t xml:space="preserve"> </w:t>
      </w:r>
      <w:r>
        <w:rPr>
          <w:rFonts w:ascii="Times New Roman;serif" w:hAnsi="Times New Roman;serif"/>
          <w:b/>
          <w:sz w:val="20"/>
        </w:rPr>
        <w:t>Proceedings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 the normal course of our business, we are involved in legal proceedings. In the past, we have litigated to enforce our patents and other intellectual property rights ("IP"), to enforce the terms of license agreements and to defend ourselves against claims of invalidity. We expect to continue to be involved in similar legal proceedings in the future, including proceedings regarding infringement of our patents and proceedings to ensure proper and full payment of royalties by licensees under the terms of our license agreements.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We cannot predict the outcome of any of the proceedings described below, other than to the extent such proceedings have concluded. An adverse decision in any of these proceedings could significantly harm our business and our consolidated financial position, results of operations, and cash flows.</w:t>
      </w:r>
    </w:p>
    <w:p>
      <w:pPr>
        <w:pStyle w:val="TextBody"/>
        <w:spacing w:before="240" w:after="0"/>
        <w:jc w:val="left"/>
        <w:rPr>
          <w:rFonts w:ascii="Times New Roman;serif" w:hAnsi="Times New Roman;serif"/>
          <w:b/>
          <w:sz w:val="20"/>
        </w:rPr>
      </w:pPr>
      <w:r>
        <w:rPr>
          <w:rFonts w:ascii="Times New Roman;serif" w:hAnsi="Times New Roman;serif"/>
          <w:b/>
          <w:sz w:val="20"/>
        </w:rPr>
        <w:t>Patent Infringement Litigation</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 the ordinary course of our IP licensing business, we are required to engage in litigation to protect our IP from infringement. While litigation is never our preference, and we prefer to reach mutually agreeable commercial licensing arrangements with third parties, it is sometimes a necessary step to effectively protect our investment in our IP. As a result of these lawsuits, defendants have often filed Inter Partes Review (“IPR”) petitions with the U.S. Patent and Trademark Office’s Patent Trial and Appeal Board (and other similar post-grant proceedings outside of the U.S.) seeking to invalidate one or more of our patents. We are currently engaged in multiple lawsuits with several third parties.</w:t>
      </w:r>
    </w:p>
    <w:p>
      <w:pPr>
        <w:pStyle w:val="TextBody"/>
        <w:spacing w:before="240" w:after="0"/>
        <w:jc w:val="left"/>
        <w:rPr>
          <w:rFonts w:ascii="Times New Roman;serif" w:hAnsi="Times New Roman;serif"/>
          <w:b/>
          <w:i/>
          <w:sz w:val="20"/>
        </w:rPr>
      </w:pPr>
      <w:r>
        <w:rPr>
          <w:rFonts w:ascii="Times New Roman;serif" w:hAnsi="Times New Roman;serif"/>
          <w:b/>
          <w:i/>
          <w:sz w:val="20"/>
        </w:rPr>
        <w:t>Videotron Patent Infringement Litigation</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On June 23, 2017, Adeia Guides Inc. (formerly known as Rovi Guides, Inc.) and Adeia Media Solutions Inc. (formerly known as TiVo Solutions Inc.) (together, “Adeia Media”) filed a patent infringement complaint against Videotron Ltd. and Videotron G.P. (together, “Videotron”) in Toronto, Canada, alleging infringement of six patents (“Videotron 1”). On June 10, 2022, the Federal Court of Canada issued its decision in the case finding in favor of Videotron and its legacy “illico” platform. Specifically, the Court found invalid each of the asserted claims related to the four remaining patents involved in the case. In Canada, the prevailing party in patent litigation is entitled to reimbursement of certain of its costs and expenses. Accordingly, we paid $2.5 million for expense reimbursement in the fourth quarter of 2022. On September 12, 2022, Adeia Media filed a notice of appeal with the Federal Court of Appeal of Canada appealing the decision of the Federal Court of Canada. On January 30, 2023, Adeia Media filed its opening memorandum of fact and law. Videotron's memorandum of fact and law was filed on April 17, 2023.</w:t>
      </w:r>
    </w:p>
    <w:p>
      <w:pPr>
        <w:pStyle w:val="TextBody"/>
        <w:spacing w:before="240" w:after="0"/>
        <w:jc w:val="left"/>
        <w:rPr>
          <w:rFonts w:ascii="Times New Roman" w:hAnsi="Times New Roman"/>
          <w:sz w:val="20"/>
        </w:rPr>
      </w:pPr>
      <w:r>
        <w:rPr>
          <w:rFonts w:ascii="Times New Roman;serif" w:hAnsi="Times New Roman;serif"/>
          <w:b w:val="false"/>
          <w:sz w:val="20"/>
        </w:rPr>
        <w:t>On May 21, 2021, Adeia Media filed a patent infringement complaint against Videotron in Toronto, Canada, alleging infringement of four patents (“Videotron 2”). On July 21, 2021, the Federal Court of Canada held a case management conference in Videotron 2, shortly before which Videotron filed a motion to strike various portions of the statement of claim. On March 22, 2022, the Court issued an order on Videotron’s motion to strike, dismissing the motion in its entirety. On April 1, 2022, Videotron filed an appeal of the Court’s order dismissing Videotron’s motion to strike. On June 30, 2022, the Court of Appeal issued its decision in Videotron’s appeal in which it ruled in Adeia Media’s favor and dismissed Videotron’s appeal. Discovery in the case began in August 2022. The Court has not set the trial date.</w:t>
      </w:r>
      <w:r>
        <w:rPr>
          <w:rFonts w:ascii="Times New Roman" w:hAnsi="Times New Roman"/>
          <w:sz w:val="20"/>
        </w:rPr>
        <w:t xml:space="preserve"> </w:t>
      </w:r>
    </w:p>
    <w:p>
      <w:pPr>
        <w:pStyle w:val="TextBody"/>
        <w:spacing w:before="240" w:after="0"/>
        <w:jc w:val="left"/>
        <w:rPr>
          <w:rFonts w:ascii="Times New Roman;serif" w:hAnsi="Times New Roman;serif"/>
          <w:b/>
          <w:i/>
          <w:sz w:val="20"/>
        </w:rPr>
      </w:pPr>
      <w:r>
        <w:rPr>
          <w:rFonts w:ascii="Times New Roman;serif" w:hAnsi="Times New Roman;serif"/>
          <w:b/>
          <w:i/>
          <w:sz w:val="20"/>
        </w:rPr>
        <w:t>Bell and Telus Patent Infringement Litigation</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On January 19, 2018, Adeia Media filed a patent infringement complaint against Bell Canada (and four of its affiliates) (collectively, "Bell") in Toronto, Canada, alleging infringement of six patents (“Bell 1”). On February 2, 2018, Adeia Media filed a patent infringement complaint against Telus Corporation (and two of its affiliates) (collectively, “Telus”) in Toronto, Canada, alleging infringement of the same six patents (“Telus 1”). Bell 1and Telus 1 were heard together for purposes of pre-trial and trial proceedings. On October 7, 2022, the Federal Court of Canada issued its decision in the two cases finding in favor of Bell and Telus and their respective IPTV services, Bell Fibe TV and Telus Optik TV. Specifically, the Court found invalid each of the asserted claims of the four remaining patents involved in the case. In Canada, the prevailing party in patent litigation is entitled to reimbursement of certain of its costs and expenses. Accordingly, we accrued $2.6 million for expense reimbursement in the third quarter of 2022. On November 7, 2022, Adeia Media filed a notice of appeal with the Federal Court of Appeal of Canada appealing the decision of the Federal Court of Canada.</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40</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sz w:val="20"/>
        </w:rPr>
      </w:pPr>
      <w:r>
        <w:rPr>
          <w:rFonts w:ascii="Times New Roman;serif" w:hAnsi="Times New Roman;serif"/>
          <w:b w:val="false"/>
          <w:sz w:val="20"/>
        </w:rPr>
        <w:t>On July 27, 2021, Adeia Media filed a patent infringement complaint against Bell Canada and four of its affiliates, Telefonaktiebolaget L M Ericsson, Ericsson Canada Inc., and MK Systems USA Inc. and MK Mediatech Canada Inc. (collectively, “Defendants”) in Toronto, Canada, alleging infringement of four patents (“Bell 2”). The Defendants filed a motion to strike various portions of the statement of claim in Bell 2. On March 22, 2022, the Court issued an order on Defendants’ motion to strike, dismissing-in-part and granting-in-part. On April 1, 2022, the Defendants filed a Notice of Motion to Appeal the Court’s order on Defendants’ motion to strike. On June 30, 2022, the Court of Appeal issued its decision in Defendants' appeal in which it ruled in Adeia Media's favor and dismissed Defendants' appeal. On September 30, 2022, Defendants filed a motion for bifurcation, asking the Federal Court of Canada to bifurcate the case into two phases: a first phase related to liability and injunction and second phase addressing damages if liability is found. The Court held a hearing on the motion for bifurcation on December 12, 2022. On February 15, 2023, the Court issued an order granting the motion for bifurcation in which the Court bifurcated the liability and injunction phase from the damages quantification phase of the case. Discovery in the case began in November 2022. The Court has yet to set the trial date.</w:t>
      </w:r>
      <w:r>
        <w:rPr>
          <w:rFonts w:ascii="Times New Roman" w:hAnsi="Times New Roman"/>
          <w:sz w:val="20"/>
        </w:rPr>
        <w:t xml:space="preserve"> </w:t>
      </w:r>
    </w:p>
    <w:p>
      <w:pPr>
        <w:pStyle w:val="TextBody"/>
        <w:spacing w:before="240" w:after="0"/>
        <w:jc w:val="left"/>
        <w:rPr>
          <w:rFonts w:ascii="Times New Roman;serif" w:hAnsi="Times New Roman;serif"/>
          <w:b/>
          <w:i/>
          <w:sz w:val="20"/>
        </w:rPr>
      </w:pPr>
      <w:r>
        <w:rPr>
          <w:rFonts w:ascii="Times New Roman;serif" w:hAnsi="Times New Roman;serif"/>
          <w:b/>
          <w:i/>
          <w:sz w:val="20"/>
        </w:rPr>
        <w:t>NVIDIA Patent Infringement Litigation</w:t>
      </w:r>
    </w:p>
    <w:p>
      <w:pPr>
        <w:pStyle w:val="TextBody"/>
        <w:spacing w:before="240" w:after="0"/>
        <w:jc w:val="left"/>
        <w:rPr>
          <w:rFonts w:ascii="Times New Roman" w:hAnsi="Times New Roman"/>
          <w:sz w:val="20"/>
        </w:rPr>
      </w:pPr>
      <w:r>
        <w:rPr>
          <w:rFonts w:ascii="Times New Roman;serif" w:hAnsi="Times New Roman;serif"/>
          <w:b w:val="false"/>
          <w:sz w:val="20"/>
        </w:rPr>
        <w:t>On May 8, 2019, Adeia Semiconductor Technologies LLC (formerly known as Invensas Corporation) and Adeia Semiconductor Advanced Technologies, Inc. (formerly known as Tessera Advanced Technologies, Inc.) (together, "Adeia Semiconductor") filed a complaint against NVIDIA Corporation (“NVIDIA”) in the United States District Court for the District of Delaware, alleging infringement of five patents, and requesting, among other things, that NVIDIA be ordered to pay compensatory damages in an amount no less than a reasonable royalty. NVIDIA answered the complaint on July 1, 2019, and subsequently moved to transfer the case to the United States District Court for the Northern District of California. The Court denied NVIDIA’s motion to transfer on September 17, 2019.</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In September 2020, the Patent Trial and Appeal Board (“PTAB”) instituted IPRs of several patents-in-suit. The parties stipulated to an order staying the litigation pending resolution of the IPR proceedings and to dismissal of claims relating to two patents. As a result, there are three patents-in-suit remaining. One patent has no IPRs pending against it and two patents are subject to IPRs. On June 9, 2021, the PTAB held oral arguments in the IPRs. On September 1, 2021, the PTAB issued final written decisions in the IPRs in which it found all challenged claims of the two patents invalid. On November 1, 2021, Adeia Semiconductor filed appeals of each of the IPR decisions with the United States Court of Appeals for the Federal Circuit. On March 22, 2023, the Federal Circuit affirmed the PTAB’s final written decision in both IPRs. The stay of the district court litigation currently remains in effect.</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41</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sz w:val="20"/>
        </w:rPr>
      </w:pPr>
      <w:bookmarkStart w:id="17" w:name="item_1a_risk_factors"/>
      <w:bookmarkEnd w:id="17"/>
      <w:r>
        <w:rPr>
          <w:rFonts w:ascii="Times New Roman;serif" w:hAnsi="Times New Roman;serif"/>
          <w:b/>
          <w:sz w:val="20"/>
        </w:rPr>
        <w:t>Item 1A. Risk Factors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There were no material changes to the risk factors previously disclosed in Part 1, Item 1A. of our Annual Report on Form 10-K for the year ended December 31, 2022, which is incorporated by reference herein.</w:t>
      </w:r>
    </w:p>
    <w:p>
      <w:pPr>
        <w:pStyle w:val="TextBody"/>
        <w:spacing w:before="240" w:after="0"/>
        <w:jc w:val="left"/>
        <w:rPr>
          <w:rFonts w:ascii="Times New Roman;serif" w:hAnsi="Times New Roman;serif"/>
          <w:b/>
          <w:sz w:val="20"/>
        </w:rPr>
      </w:pPr>
      <w:bookmarkStart w:id="18" w:name="unregistered_sales_of_equity_securities"/>
      <w:bookmarkEnd w:id="18"/>
      <w:r>
        <w:rPr>
          <w:rFonts w:ascii="Times New Roman;serif" w:hAnsi="Times New Roman;serif"/>
          <w:b/>
          <w:sz w:val="20"/>
        </w:rPr>
        <w:t>Item 2. Unregistered Sales of Equity Securities and Use of Proceeds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Not applicable.</w:t>
      </w:r>
    </w:p>
    <w:p>
      <w:pPr>
        <w:pStyle w:val="TextBody"/>
        <w:spacing w:before="240" w:after="0"/>
        <w:jc w:val="left"/>
        <w:rPr>
          <w:rFonts w:ascii="Times New Roman;serif" w:hAnsi="Times New Roman;serif"/>
          <w:b/>
          <w:sz w:val="20"/>
        </w:rPr>
      </w:pPr>
      <w:bookmarkStart w:id="19" w:name="item_3__defaults_upon_senior_securities"/>
      <w:bookmarkEnd w:id="19"/>
      <w:r>
        <w:rPr>
          <w:rFonts w:ascii="Times New Roman;serif" w:hAnsi="Times New Roman;serif"/>
          <w:b/>
          <w:sz w:val="20"/>
        </w:rPr>
        <w:t>Item 3. Defaults Upon Senior Securities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Not applicable.</w:t>
      </w:r>
    </w:p>
    <w:p>
      <w:pPr>
        <w:pStyle w:val="TextBody"/>
        <w:spacing w:before="240" w:after="0"/>
        <w:jc w:val="left"/>
        <w:rPr>
          <w:rFonts w:ascii="Times New Roman;serif" w:hAnsi="Times New Roman;serif"/>
          <w:b/>
          <w:sz w:val="20"/>
        </w:rPr>
      </w:pPr>
      <w:bookmarkStart w:id="20" w:name="item_4__mine_safety_disclosures"/>
      <w:bookmarkEnd w:id="20"/>
      <w:r>
        <w:rPr>
          <w:rFonts w:ascii="Times New Roman;serif" w:hAnsi="Times New Roman;serif"/>
          <w:b/>
          <w:sz w:val="20"/>
        </w:rPr>
        <w:t>Item 4. Mine Safety Disclosures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Not applicable.</w:t>
      </w:r>
    </w:p>
    <w:p>
      <w:pPr>
        <w:pStyle w:val="TextBody"/>
        <w:spacing w:before="240" w:after="0"/>
        <w:jc w:val="left"/>
        <w:rPr>
          <w:rFonts w:ascii="Times New Roman;serif" w:hAnsi="Times New Roman;serif"/>
          <w:b/>
          <w:sz w:val="20"/>
        </w:rPr>
      </w:pPr>
      <w:bookmarkStart w:id="21" w:name="item_5__other_information"/>
      <w:bookmarkEnd w:id="21"/>
      <w:r>
        <w:rPr>
          <w:rFonts w:ascii="Times New Roman;serif" w:hAnsi="Times New Roman;serif"/>
          <w:b/>
          <w:sz w:val="20"/>
        </w:rPr>
        <w:t>Item 5. Other Information</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Not applicable.</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42</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sz w:val="20"/>
        </w:rPr>
      </w:pPr>
      <w:bookmarkStart w:id="22" w:name="item_6__exhibits"/>
      <w:bookmarkEnd w:id="22"/>
      <w:r>
        <w:rPr>
          <w:rFonts w:ascii="Times New Roman;serif" w:hAnsi="Times New Roman;serif"/>
          <w:b/>
          <w:sz w:val="20"/>
        </w:rPr>
        <w:t>Item 6. Exhibits</w:t>
      </w:r>
    </w:p>
    <w:p>
      <w:pPr>
        <w:pStyle w:val="TextBody"/>
        <w:spacing w:before="0" w:after="0"/>
        <w:jc w:val="left"/>
        <w:rPr/>
      </w:pPr>
      <w:r>
        <w:rPr/>
        <w:t> </w:t>
      </w:r>
    </w:p>
    <w:tbl>
      <w:tblPr>
        <w:tblW w:w="10539" w:type="dxa"/>
        <w:jc w:val="left"/>
        <w:tblInd w:w="0" w:type="dxa"/>
        <w:tblCellMar>
          <w:top w:w="28" w:type="dxa"/>
          <w:left w:w="28" w:type="dxa"/>
          <w:bottom w:w="28" w:type="dxa"/>
          <w:right w:w="28" w:type="dxa"/>
        </w:tblCellMar>
      </w:tblPr>
      <w:tblGrid>
        <w:gridCol w:w="781"/>
        <w:gridCol w:w="146"/>
        <w:gridCol w:w="9612"/>
      </w:tblGrid>
      <w:tr>
        <w:trPr/>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12" w:type="dxa"/>
            <w:tcBorders/>
            <w:shd w:fill="auto" w:val="clear"/>
            <w:vAlign w:val="center"/>
          </w:tcPr>
          <w:p>
            <w:pPr>
              <w:pStyle w:val="TableContents"/>
              <w:spacing w:before="0" w:after="283"/>
              <w:rPr>
                <w:sz w:val="4"/>
                <w:szCs w:val="4"/>
              </w:rPr>
            </w:pPr>
            <w:r>
              <w:rPr>
                <w:sz w:val="4"/>
                <w:szCs w:val="4"/>
              </w:rPr>
            </w:r>
          </w:p>
        </w:tc>
      </w:tr>
      <w:tr>
        <w:trPr/>
        <w:tc>
          <w:tcPr>
            <w:tcW w:w="781" w:type="dxa"/>
            <w:tcBorders>
              <w:bottom w:val="single" w:sz="4" w:space="0" w:color="000000"/>
            </w:tcBorders>
            <w:shd w:fill="auto" w:val="clear"/>
            <w:tcMar>
              <w:top w:w="0" w:type="dxa"/>
              <w:left w:w="0" w:type="dxa"/>
              <w:right w:w="0" w:type="dxa"/>
            </w:tcMar>
            <w:vAlign w:val="center"/>
          </w:tcPr>
          <w:p>
            <w:pPr>
              <w:pStyle w:val="TableContents"/>
              <w:spacing w:before="40" w:after="0"/>
              <w:ind w:left="0" w:right="0" w:hanging="0"/>
              <w:jc w:val="left"/>
              <w:rPr>
                <w:rFonts w:ascii="Times New Roman;serif" w:hAnsi="Times New Roman;serif"/>
                <w:b/>
                <w:sz w:val="16"/>
              </w:rPr>
            </w:pPr>
            <w:r>
              <w:rPr>
                <w:rFonts w:ascii="Times New Roman;serif" w:hAnsi="Times New Roman;serif"/>
                <w:b/>
                <w:sz w:val="16"/>
              </w:rPr>
              <w:t>Exhibit</w:t>
            </w:r>
          </w:p>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Number</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6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Exhibit Title</w:t>
            </w:r>
          </w:p>
        </w:tc>
      </w:tr>
      <w:tr>
        <w:trPr/>
        <w:tc>
          <w:tcPr>
            <w:tcW w:w="7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612" w:type="dxa"/>
            <w:tcBorders/>
            <w:shd w:fill="auto" w:val="clear"/>
            <w:vAlign w:val="center"/>
          </w:tcPr>
          <w:p>
            <w:pPr>
              <w:pStyle w:val="TableContents"/>
              <w:spacing w:before="0" w:after="0"/>
              <w:ind w:left="0" w:right="0" w:hanging="0"/>
              <w:jc w:val="left"/>
              <w:rPr/>
            </w:pPr>
            <w:r>
              <w:rPr/>
              <w:t> </w:t>
            </w:r>
          </w:p>
        </w:tc>
      </w:tr>
      <w:tr>
        <w:trPr/>
        <w:tc>
          <w:tcPr>
            <w:tcW w:w="7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31.1</w:t>
            </w:r>
          </w:p>
        </w:tc>
        <w:tc>
          <w:tcPr>
            <w:tcW w:w="146" w:type="dxa"/>
            <w:tcBorders/>
            <w:shd w:fill="auto" w:val="clear"/>
            <w:vAlign w:val="center"/>
          </w:tcPr>
          <w:p>
            <w:pPr>
              <w:pStyle w:val="TableContents"/>
              <w:spacing w:before="0" w:after="0"/>
              <w:ind w:left="0" w:right="0" w:hanging="0"/>
              <w:jc w:val="left"/>
              <w:rPr/>
            </w:pPr>
            <w:r>
              <w:rPr/>
              <w:t> </w:t>
            </w:r>
          </w:p>
        </w:tc>
        <w:tc>
          <w:tcPr>
            <w:tcW w:w="9612" w:type="dxa"/>
            <w:tcBorders/>
            <w:shd w:fill="auto" w:val="clear"/>
            <w:vAlign w:val="center"/>
          </w:tcPr>
          <w:p>
            <w:pPr>
              <w:pStyle w:val="TableContents"/>
              <w:spacing w:before="0" w:after="0"/>
              <w:ind w:left="0" w:right="0" w:hanging="0"/>
              <w:jc w:val="left"/>
              <w:rPr/>
            </w:pPr>
            <w:hyperlink w:anchor="adea-ex31_1.htm">
              <w:r>
                <w:rPr>
                  <w:rStyle w:val="InternetLink"/>
                  <w:rFonts w:ascii="Times New Roman;serif" w:hAnsi="Times New Roman;serif"/>
                  <w:b w:val="false"/>
                  <w:sz w:val="20"/>
                  <w:u w:val="single"/>
                </w:rPr>
                <w:t>Certification of the Chief Executive Officer pursuant to Rule 13a-14(a) of the Securities Exchange Act of 1934</w:t>
              </w:r>
            </w:hyperlink>
          </w:p>
        </w:tc>
      </w:tr>
      <w:tr>
        <w:trPr/>
        <w:tc>
          <w:tcPr>
            <w:tcW w:w="7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612" w:type="dxa"/>
            <w:tcBorders/>
            <w:shd w:fill="auto" w:val="clear"/>
            <w:vAlign w:val="center"/>
          </w:tcPr>
          <w:p>
            <w:pPr>
              <w:pStyle w:val="TableContents"/>
              <w:spacing w:before="0" w:after="0"/>
              <w:ind w:left="0" w:right="0" w:hanging="0"/>
              <w:jc w:val="left"/>
              <w:rPr/>
            </w:pPr>
            <w:r>
              <w:rPr/>
              <w:t> </w:t>
            </w:r>
          </w:p>
        </w:tc>
      </w:tr>
      <w:tr>
        <w:trPr/>
        <w:tc>
          <w:tcPr>
            <w:tcW w:w="7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31.2</w:t>
            </w:r>
          </w:p>
        </w:tc>
        <w:tc>
          <w:tcPr>
            <w:tcW w:w="146" w:type="dxa"/>
            <w:tcBorders/>
            <w:shd w:fill="auto" w:val="clear"/>
            <w:vAlign w:val="center"/>
          </w:tcPr>
          <w:p>
            <w:pPr>
              <w:pStyle w:val="TableContents"/>
              <w:spacing w:before="0" w:after="0"/>
              <w:ind w:left="0" w:right="0" w:hanging="0"/>
              <w:jc w:val="left"/>
              <w:rPr/>
            </w:pPr>
            <w:r>
              <w:rPr/>
              <w:t> </w:t>
            </w:r>
          </w:p>
        </w:tc>
        <w:tc>
          <w:tcPr>
            <w:tcW w:w="9612" w:type="dxa"/>
            <w:tcBorders/>
            <w:shd w:fill="auto" w:val="clear"/>
            <w:vAlign w:val="center"/>
          </w:tcPr>
          <w:p>
            <w:pPr>
              <w:pStyle w:val="TableContents"/>
              <w:spacing w:before="0" w:after="0"/>
              <w:ind w:left="0" w:right="0" w:hanging="0"/>
              <w:jc w:val="left"/>
              <w:rPr/>
            </w:pPr>
            <w:hyperlink w:anchor="adea-ex31_2.htm">
              <w:r>
                <w:rPr>
                  <w:rStyle w:val="InternetLink"/>
                  <w:rFonts w:ascii="Times New Roman;serif" w:hAnsi="Times New Roman;serif"/>
                  <w:b w:val="false"/>
                  <w:sz w:val="20"/>
                  <w:u w:val="single"/>
                </w:rPr>
                <w:t>Certification of the Chief Financial Officer pursuant to Rule 13a-14(a) of the Securities Exchange Act of 1934</w:t>
              </w:r>
            </w:hyperlink>
          </w:p>
        </w:tc>
      </w:tr>
      <w:tr>
        <w:trPr/>
        <w:tc>
          <w:tcPr>
            <w:tcW w:w="7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612" w:type="dxa"/>
            <w:tcBorders/>
            <w:shd w:fill="auto" w:val="clear"/>
            <w:vAlign w:val="center"/>
          </w:tcPr>
          <w:p>
            <w:pPr>
              <w:pStyle w:val="TableContents"/>
              <w:spacing w:before="0" w:after="0"/>
              <w:ind w:left="0" w:right="0" w:hanging="0"/>
              <w:jc w:val="left"/>
              <w:rPr/>
            </w:pPr>
            <w:r>
              <w:rPr/>
              <w:t> </w:t>
            </w:r>
          </w:p>
        </w:tc>
      </w:tr>
      <w:tr>
        <w:trPr/>
        <w:tc>
          <w:tcPr>
            <w:tcW w:w="7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32.1</w:t>
            </w:r>
          </w:p>
        </w:tc>
        <w:tc>
          <w:tcPr>
            <w:tcW w:w="146" w:type="dxa"/>
            <w:tcBorders/>
            <w:shd w:fill="auto" w:val="clear"/>
            <w:vAlign w:val="center"/>
          </w:tcPr>
          <w:p>
            <w:pPr>
              <w:pStyle w:val="TableContents"/>
              <w:spacing w:before="0" w:after="0"/>
              <w:ind w:left="0" w:right="0" w:hanging="0"/>
              <w:jc w:val="left"/>
              <w:rPr/>
            </w:pPr>
            <w:r>
              <w:rPr/>
              <w:t> </w:t>
            </w:r>
          </w:p>
        </w:tc>
        <w:tc>
          <w:tcPr>
            <w:tcW w:w="9612" w:type="dxa"/>
            <w:tcBorders/>
            <w:shd w:fill="auto" w:val="clear"/>
            <w:vAlign w:val="center"/>
          </w:tcPr>
          <w:p>
            <w:pPr>
              <w:pStyle w:val="TableContents"/>
              <w:spacing w:before="0" w:after="0"/>
              <w:ind w:left="0" w:right="0" w:hanging="0"/>
              <w:jc w:val="left"/>
              <w:rPr/>
            </w:pPr>
            <w:hyperlink w:anchor="adea-ex32_1.htm">
              <w:r>
                <w:rPr>
                  <w:rStyle w:val="InternetLink"/>
                  <w:rFonts w:ascii="Times New Roman;serif" w:hAnsi="Times New Roman;serif"/>
                  <w:b w:val="false"/>
                  <w:sz w:val="20"/>
                  <w:u w:val="single"/>
                </w:rPr>
                <w:t>Certification of the Chief Executive Officer and Chief Financial Officer pursuant to Rule 13a-14(b) of the Securities Exchange Act of 1934 and 18 U.S.C. Section 1350, as adopted pursuant to Section 906 of the Sarbanes-Oxley Act of 2002</w:t>
              </w:r>
            </w:hyperlink>
          </w:p>
        </w:tc>
      </w:tr>
      <w:tr>
        <w:trPr/>
        <w:tc>
          <w:tcPr>
            <w:tcW w:w="7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612" w:type="dxa"/>
            <w:tcBorders/>
            <w:shd w:fill="auto" w:val="clear"/>
            <w:vAlign w:val="center"/>
          </w:tcPr>
          <w:p>
            <w:pPr>
              <w:pStyle w:val="TableContents"/>
              <w:spacing w:before="0" w:after="0"/>
              <w:ind w:left="0" w:right="0" w:hanging="0"/>
              <w:jc w:val="left"/>
              <w:rPr/>
            </w:pPr>
            <w:r>
              <w:rPr/>
              <w:t> </w:t>
            </w:r>
          </w:p>
        </w:tc>
      </w:tr>
      <w:tr>
        <w:trPr/>
        <w:tc>
          <w:tcPr>
            <w:tcW w:w="7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101.INS</w:t>
            </w:r>
          </w:p>
        </w:tc>
        <w:tc>
          <w:tcPr>
            <w:tcW w:w="146" w:type="dxa"/>
            <w:tcBorders/>
            <w:shd w:fill="auto" w:val="clear"/>
            <w:vAlign w:val="center"/>
          </w:tcPr>
          <w:p>
            <w:pPr>
              <w:pStyle w:val="TableContents"/>
              <w:spacing w:before="0" w:after="0"/>
              <w:ind w:left="0" w:right="0" w:hanging="0"/>
              <w:jc w:val="left"/>
              <w:rPr/>
            </w:pPr>
            <w:r>
              <w:rPr/>
              <w:t> </w:t>
            </w:r>
          </w:p>
        </w:tc>
        <w:tc>
          <w:tcPr>
            <w:tcW w:w="961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Instance Document - the instance document does not appear in the Interactive Data File because its XBRL tags are embedded within the Inline XBRL document.</w:t>
            </w:r>
          </w:p>
        </w:tc>
      </w:tr>
      <w:tr>
        <w:trPr/>
        <w:tc>
          <w:tcPr>
            <w:tcW w:w="7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612" w:type="dxa"/>
            <w:tcBorders/>
            <w:shd w:fill="auto" w:val="clear"/>
            <w:vAlign w:val="center"/>
          </w:tcPr>
          <w:p>
            <w:pPr>
              <w:pStyle w:val="TableContents"/>
              <w:spacing w:before="0" w:after="0"/>
              <w:ind w:left="0" w:right="0" w:hanging="0"/>
              <w:jc w:val="left"/>
              <w:rPr/>
            </w:pPr>
            <w:r>
              <w:rPr/>
              <w:t> </w:t>
            </w:r>
          </w:p>
        </w:tc>
      </w:tr>
      <w:tr>
        <w:trPr/>
        <w:tc>
          <w:tcPr>
            <w:tcW w:w="7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101.SCH</w:t>
            </w:r>
          </w:p>
        </w:tc>
        <w:tc>
          <w:tcPr>
            <w:tcW w:w="146" w:type="dxa"/>
            <w:tcBorders/>
            <w:shd w:fill="auto" w:val="clear"/>
            <w:vAlign w:val="center"/>
          </w:tcPr>
          <w:p>
            <w:pPr>
              <w:pStyle w:val="TableContents"/>
              <w:spacing w:before="0" w:after="0"/>
              <w:ind w:left="0" w:right="0" w:hanging="0"/>
              <w:jc w:val="left"/>
              <w:rPr/>
            </w:pPr>
            <w:r>
              <w:rPr/>
              <w:t> </w:t>
            </w:r>
          </w:p>
        </w:tc>
        <w:tc>
          <w:tcPr>
            <w:tcW w:w="961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Schema Document</w:t>
            </w:r>
          </w:p>
        </w:tc>
      </w:tr>
      <w:tr>
        <w:trPr/>
        <w:tc>
          <w:tcPr>
            <w:tcW w:w="7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612" w:type="dxa"/>
            <w:tcBorders/>
            <w:shd w:fill="auto" w:val="clear"/>
            <w:vAlign w:val="center"/>
          </w:tcPr>
          <w:p>
            <w:pPr>
              <w:pStyle w:val="TableContents"/>
              <w:spacing w:before="0" w:after="0"/>
              <w:ind w:left="0" w:right="0" w:hanging="0"/>
              <w:jc w:val="left"/>
              <w:rPr/>
            </w:pPr>
            <w:r>
              <w:rPr/>
              <w:t> </w:t>
            </w:r>
          </w:p>
        </w:tc>
      </w:tr>
      <w:tr>
        <w:trPr/>
        <w:tc>
          <w:tcPr>
            <w:tcW w:w="7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101.CAL</w:t>
            </w:r>
          </w:p>
        </w:tc>
        <w:tc>
          <w:tcPr>
            <w:tcW w:w="146" w:type="dxa"/>
            <w:tcBorders/>
            <w:shd w:fill="auto" w:val="clear"/>
            <w:vAlign w:val="center"/>
          </w:tcPr>
          <w:p>
            <w:pPr>
              <w:pStyle w:val="TableContents"/>
              <w:spacing w:before="0" w:after="0"/>
              <w:ind w:left="0" w:right="0" w:hanging="0"/>
              <w:jc w:val="left"/>
              <w:rPr/>
            </w:pPr>
            <w:r>
              <w:rPr/>
              <w:t> </w:t>
            </w:r>
          </w:p>
        </w:tc>
        <w:tc>
          <w:tcPr>
            <w:tcW w:w="961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Calculation Linkbase Document</w:t>
            </w:r>
          </w:p>
        </w:tc>
      </w:tr>
      <w:tr>
        <w:trPr/>
        <w:tc>
          <w:tcPr>
            <w:tcW w:w="7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612" w:type="dxa"/>
            <w:tcBorders/>
            <w:shd w:fill="auto" w:val="clear"/>
            <w:vAlign w:val="center"/>
          </w:tcPr>
          <w:p>
            <w:pPr>
              <w:pStyle w:val="TableContents"/>
              <w:spacing w:before="0" w:after="0"/>
              <w:ind w:left="0" w:right="0" w:hanging="0"/>
              <w:jc w:val="left"/>
              <w:rPr/>
            </w:pPr>
            <w:r>
              <w:rPr/>
              <w:t> </w:t>
            </w:r>
          </w:p>
        </w:tc>
      </w:tr>
      <w:tr>
        <w:trPr/>
        <w:tc>
          <w:tcPr>
            <w:tcW w:w="7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101.DEF</w:t>
            </w:r>
          </w:p>
        </w:tc>
        <w:tc>
          <w:tcPr>
            <w:tcW w:w="146" w:type="dxa"/>
            <w:tcBorders/>
            <w:shd w:fill="auto" w:val="clear"/>
            <w:vAlign w:val="center"/>
          </w:tcPr>
          <w:p>
            <w:pPr>
              <w:pStyle w:val="TableContents"/>
              <w:spacing w:before="0" w:after="0"/>
              <w:ind w:left="0" w:right="0" w:hanging="0"/>
              <w:jc w:val="left"/>
              <w:rPr/>
            </w:pPr>
            <w:r>
              <w:rPr/>
              <w:t> </w:t>
            </w:r>
          </w:p>
        </w:tc>
        <w:tc>
          <w:tcPr>
            <w:tcW w:w="961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Definition Linkbase Document</w:t>
            </w:r>
          </w:p>
        </w:tc>
      </w:tr>
      <w:tr>
        <w:trPr/>
        <w:tc>
          <w:tcPr>
            <w:tcW w:w="7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612" w:type="dxa"/>
            <w:tcBorders/>
            <w:shd w:fill="auto" w:val="clear"/>
            <w:vAlign w:val="center"/>
          </w:tcPr>
          <w:p>
            <w:pPr>
              <w:pStyle w:val="TableContents"/>
              <w:spacing w:before="0" w:after="0"/>
              <w:ind w:left="0" w:right="0" w:hanging="0"/>
              <w:jc w:val="left"/>
              <w:rPr/>
            </w:pPr>
            <w:r>
              <w:rPr/>
              <w:t> </w:t>
            </w:r>
          </w:p>
        </w:tc>
      </w:tr>
      <w:tr>
        <w:trPr/>
        <w:tc>
          <w:tcPr>
            <w:tcW w:w="7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101.LAB</w:t>
            </w:r>
          </w:p>
        </w:tc>
        <w:tc>
          <w:tcPr>
            <w:tcW w:w="146" w:type="dxa"/>
            <w:tcBorders/>
            <w:shd w:fill="auto" w:val="clear"/>
            <w:vAlign w:val="center"/>
          </w:tcPr>
          <w:p>
            <w:pPr>
              <w:pStyle w:val="TableContents"/>
              <w:spacing w:before="0" w:after="0"/>
              <w:ind w:left="0" w:right="0" w:hanging="0"/>
              <w:jc w:val="left"/>
              <w:rPr/>
            </w:pPr>
            <w:r>
              <w:rPr/>
              <w:t> </w:t>
            </w:r>
          </w:p>
        </w:tc>
        <w:tc>
          <w:tcPr>
            <w:tcW w:w="961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Label Linkbase Document</w:t>
            </w:r>
          </w:p>
        </w:tc>
      </w:tr>
      <w:tr>
        <w:trPr/>
        <w:tc>
          <w:tcPr>
            <w:tcW w:w="7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612" w:type="dxa"/>
            <w:tcBorders/>
            <w:shd w:fill="auto" w:val="clear"/>
            <w:vAlign w:val="center"/>
          </w:tcPr>
          <w:p>
            <w:pPr>
              <w:pStyle w:val="TableContents"/>
              <w:spacing w:before="0" w:after="0"/>
              <w:ind w:left="0" w:right="0" w:hanging="0"/>
              <w:jc w:val="left"/>
              <w:rPr/>
            </w:pPr>
            <w:r>
              <w:rPr/>
              <w:t> </w:t>
            </w:r>
          </w:p>
        </w:tc>
      </w:tr>
      <w:tr>
        <w:trPr/>
        <w:tc>
          <w:tcPr>
            <w:tcW w:w="7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101.PRE</w:t>
            </w:r>
          </w:p>
        </w:tc>
        <w:tc>
          <w:tcPr>
            <w:tcW w:w="146" w:type="dxa"/>
            <w:tcBorders/>
            <w:shd w:fill="auto" w:val="clear"/>
            <w:vAlign w:val="center"/>
          </w:tcPr>
          <w:p>
            <w:pPr>
              <w:pStyle w:val="TableContents"/>
              <w:spacing w:before="0" w:after="0"/>
              <w:ind w:left="0" w:right="0" w:hanging="0"/>
              <w:jc w:val="left"/>
              <w:rPr/>
            </w:pPr>
            <w:r>
              <w:rPr/>
              <w:t> </w:t>
            </w:r>
          </w:p>
        </w:tc>
        <w:tc>
          <w:tcPr>
            <w:tcW w:w="961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Presentation Linkbase Document</w:t>
            </w:r>
          </w:p>
        </w:tc>
      </w:tr>
      <w:tr>
        <w:trPr/>
        <w:tc>
          <w:tcPr>
            <w:tcW w:w="7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612" w:type="dxa"/>
            <w:tcBorders/>
            <w:shd w:fill="auto" w:val="clear"/>
            <w:vAlign w:val="center"/>
          </w:tcPr>
          <w:p>
            <w:pPr>
              <w:pStyle w:val="TableContents"/>
              <w:spacing w:before="0" w:after="0"/>
              <w:ind w:left="0" w:right="0" w:hanging="0"/>
              <w:jc w:val="left"/>
              <w:rPr/>
            </w:pPr>
            <w:r>
              <w:rPr/>
              <w:t> </w:t>
            </w:r>
          </w:p>
        </w:tc>
      </w:tr>
      <w:tr>
        <w:trPr/>
        <w:tc>
          <w:tcPr>
            <w:tcW w:w="7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104</w:t>
            </w:r>
          </w:p>
        </w:tc>
        <w:tc>
          <w:tcPr>
            <w:tcW w:w="146" w:type="dxa"/>
            <w:tcBorders/>
            <w:shd w:fill="auto" w:val="clear"/>
            <w:vAlign w:val="center"/>
          </w:tcPr>
          <w:p>
            <w:pPr>
              <w:pStyle w:val="TableContents"/>
              <w:spacing w:before="0" w:after="0"/>
              <w:ind w:left="0" w:right="0" w:hanging="0"/>
              <w:jc w:val="left"/>
              <w:rPr/>
            </w:pPr>
            <w:r>
              <w:rPr/>
              <w:t> </w:t>
            </w:r>
          </w:p>
        </w:tc>
        <w:tc>
          <w:tcPr>
            <w:tcW w:w="961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Cover Page Interactive Data File (formatted as inline XBRL and contained in Exhibit 101)</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43</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bookmarkStart w:id="23" w:name="signatures"/>
      <w:bookmarkEnd w:id="23"/>
      <w:r>
        <w:rPr>
          <w:rFonts w:ascii="Times New Roman;serif" w:hAnsi="Times New Roman;serif"/>
          <w:b/>
          <w:sz w:val="20"/>
        </w:rPr>
        <w:t>SIGNATURES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Pursuant to the requirements of the Securities Exchange Act of 1934, the registrant has duly caused this report to be signed on its behalf by the undersigned thereunto duly authorized.</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Dated: May 8, 2023</w:t>
      </w:r>
    </w:p>
    <w:p>
      <w:pPr>
        <w:pStyle w:val="TextBody"/>
        <w:spacing w:before="0" w:after="0"/>
        <w:jc w:val="left"/>
        <w:rPr/>
      </w:pPr>
      <w:r>
        <w:rPr/>
        <w:t> </w:t>
      </w:r>
    </w:p>
    <w:tbl>
      <w:tblPr>
        <w:tblW w:w="2578" w:type="dxa"/>
        <w:jc w:val="left"/>
        <w:tblInd w:w="0" w:type="dxa"/>
        <w:tblCellMar>
          <w:top w:w="28" w:type="dxa"/>
          <w:left w:w="28" w:type="dxa"/>
          <w:bottom w:w="28" w:type="dxa"/>
          <w:right w:w="28" w:type="dxa"/>
        </w:tblCellMar>
      </w:tblPr>
      <w:tblGrid>
        <w:gridCol w:w="421"/>
        <w:gridCol w:w="146"/>
        <w:gridCol w:w="2011"/>
      </w:tblGrid>
      <w:tr>
        <w:trPr/>
        <w:tc>
          <w:tcPr>
            <w:tcW w:w="4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11" w:type="dxa"/>
            <w:tcBorders/>
            <w:shd w:fill="auto" w:val="clear"/>
            <w:vAlign w:val="center"/>
          </w:tcPr>
          <w:p>
            <w:pPr>
              <w:pStyle w:val="TableContents"/>
              <w:spacing w:before="0" w:after="283"/>
              <w:rPr>
                <w:sz w:val="4"/>
                <w:szCs w:val="4"/>
              </w:rPr>
            </w:pPr>
            <w:r>
              <w:rPr>
                <w:sz w:val="4"/>
                <w:szCs w:val="4"/>
              </w:rPr>
            </w:r>
          </w:p>
        </w:tc>
      </w:tr>
      <w:tr>
        <w:trPr/>
        <w:tc>
          <w:tcPr>
            <w:tcW w:w="2578" w:type="dxa"/>
            <w:gridSpan w:val="3"/>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ADEIA INC.</w:t>
            </w:r>
          </w:p>
        </w:tc>
      </w:tr>
      <w:tr>
        <w:trPr/>
        <w:tc>
          <w:tcPr>
            <w:tcW w:w="42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57" w:type="dxa"/>
            <w:gridSpan w:val="2"/>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42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011"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Keith A. Jones</w:t>
            </w:r>
          </w:p>
        </w:tc>
      </w:tr>
      <w:tr>
        <w:trPr/>
        <w:tc>
          <w:tcPr>
            <w:tcW w:w="42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0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Keith A. Jones</w:t>
            </w:r>
          </w:p>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Chief Financial Officer</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44</w:t>
      </w:r>
    </w:p>
    <w:p>
      <w:pPr>
        <w:pStyle w:val="HorizontalLine"/>
        <w:rPr/>
      </w:pPr>
      <w:r>
        <w:rPr/>
      </w:r>
      <w:r>
        <w:br w:type="page"/>
      </w:r>
    </w:p>
    <w:p>
      <w:pPr>
        <w:pStyle w:val="TextBody"/>
        <w:spacing w:before="0" w:after="0"/>
        <w:jc w:val="left"/>
        <w:rPr>
          <w:rFonts w:ascii="Times New Roman" w:hAnsi="Times New Roman"/>
          <w:sz w:val="20"/>
        </w:rPr>
      </w:pPr>
      <w:bookmarkStart w:id="24" w:name="adea-ex31_1.htm"/>
      <w:bookmarkStart w:id="25" w:name="ksadeaex31_1"/>
      <w:bookmarkEnd w:id="24"/>
      <w:bookmarkEnd w:id="25"/>
      <w:r>
        <w:rPr>
          <w:rFonts w:ascii="Times New Roman;serif" w:hAnsi="Times New Roman;serif"/>
          <w:b w:val="false"/>
          <w:sz w:val="20"/>
        </w:rPr>
        <w:br/>
      </w:r>
      <w:r>
        <w:rPr>
          <w:rFonts w:ascii="Times New Roman" w:hAnsi="Times New Roman"/>
          <w:sz w:val="20"/>
        </w:rPr>
        <w:t> </w:t>
      </w:r>
    </w:p>
    <w:p>
      <w:pPr>
        <w:pStyle w:val="TextBody"/>
        <w:spacing w:before="0" w:after="0"/>
        <w:jc w:val="right"/>
        <w:rPr>
          <w:rFonts w:ascii="Times New Roman;serif" w:hAnsi="Times New Roman;serif"/>
          <w:b/>
          <w:sz w:val="20"/>
        </w:rPr>
      </w:pPr>
      <w:bookmarkStart w:id="26" w:name="exhibit_31_1"/>
      <w:bookmarkEnd w:id="26"/>
      <w:r>
        <w:rPr>
          <w:rFonts w:ascii="Times New Roman;serif" w:hAnsi="Times New Roman;serif"/>
          <w:b/>
          <w:sz w:val="20"/>
        </w:rPr>
        <w:t>Exhibit 31.1</w:t>
      </w:r>
    </w:p>
    <w:p>
      <w:pPr>
        <w:pStyle w:val="TextBody"/>
        <w:spacing w:before="180" w:after="0"/>
        <w:jc w:val="center"/>
        <w:rPr>
          <w:rFonts w:ascii="Times New Roman;serif" w:hAnsi="Times New Roman;serif"/>
          <w:b/>
          <w:sz w:val="20"/>
        </w:rPr>
      </w:pPr>
      <w:r>
        <w:rPr>
          <w:rFonts w:ascii="Times New Roman;serif" w:hAnsi="Times New Roman;serif"/>
          <w:b/>
          <w:sz w:val="20"/>
        </w:rPr>
        <w:t>Certification of the Chief Executive Officer</w:t>
      </w:r>
    </w:p>
    <w:p>
      <w:pPr>
        <w:pStyle w:val="TextBody"/>
        <w:spacing w:before="0" w:after="0"/>
        <w:jc w:val="center"/>
        <w:rPr>
          <w:rFonts w:ascii="Times New Roman;serif" w:hAnsi="Times New Roman;serif"/>
          <w:b/>
          <w:sz w:val="20"/>
        </w:rPr>
      </w:pPr>
      <w:r>
        <w:rPr>
          <w:rFonts w:ascii="Times New Roman;serif" w:hAnsi="Times New Roman;serif"/>
          <w:b/>
          <w:sz w:val="20"/>
        </w:rPr>
        <w:t>Pursuant to Rule 13a-14(a) of the Securities Exchange Act of 1934</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I, Paul E. Davis, certify that:</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1. I have reviewed this quarterly report on Form 10-Q of Adeia Inc.;</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b) any fraud, whether or not material, that involves management or other employees who have a significant role in the registrant’s internal control over financial reporting.</w:t>
      </w:r>
    </w:p>
    <w:p>
      <w:pPr>
        <w:pStyle w:val="TextBody"/>
        <w:spacing w:before="0" w:after="0"/>
        <w:jc w:val="left"/>
        <w:rPr/>
      </w:pPr>
      <w:r>
        <w:rPr/>
        <w:t> </w:t>
      </w:r>
    </w:p>
    <w:tbl>
      <w:tblPr>
        <w:tblW w:w="5033" w:type="dxa"/>
        <w:jc w:val="left"/>
        <w:tblInd w:w="0" w:type="dxa"/>
        <w:tblCellMar>
          <w:top w:w="28" w:type="dxa"/>
          <w:left w:w="28" w:type="dxa"/>
          <w:bottom w:w="28" w:type="dxa"/>
          <w:right w:w="28" w:type="dxa"/>
        </w:tblCellMar>
      </w:tblPr>
      <w:tblGrid>
        <w:gridCol w:w="1636"/>
        <w:gridCol w:w="146"/>
        <w:gridCol w:w="3251"/>
      </w:tblGrid>
      <w:tr>
        <w:trPr/>
        <w:tc>
          <w:tcPr>
            <w:tcW w:w="16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251" w:type="dxa"/>
            <w:tcBorders/>
            <w:shd w:fill="auto" w:val="clear"/>
            <w:vAlign w:val="center"/>
          </w:tcPr>
          <w:p>
            <w:pPr>
              <w:pStyle w:val="TableContents"/>
              <w:spacing w:before="0" w:after="283"/>
              <w:rPr>
                <w:sz w:val="4"/>
                <w:szCs w:val="4"/>
              </w:rPr>
            </w:pPr>
            <w:r>
              <w:rPr>
                <w:sz w:val="4"/>
                <w:szCs w:val="4"/>
              </w:rPr>
            </w:r>
          </w:p>
        </w:tc>
      </w:tr>
      <w:tr>
        <w:trPr/>
        <w:tc>
          <w:tcPr>
            <w:tcW w:w="16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8, 2023</w:t>
            </w:r>
          </w:p>
        </w:tc>
        <w:tc>
          <w:tcPr>
            <w:tcW w:w="146" w:type="dxa"/>
            <w:tcBorders/>
            <w:shd w:fill="auto" w:val="clear"/>
            <w:vAlign w:val="center"/>
          </w:tcPr>
          <w:p>
            <w:pPr>
              <w:pStyle w:val="TableContents"/>
              <w:spacing w:before="0" w:after="0"/>
              <w:ind w:left="0" w:right="0" w:hanging="0"/>
              <w:jc w:val="left"/>
              <w:rPr/>
            </w:pPr>
            <w:r>
              <w:rPr/>
              <w:t> </w:t>
            </w:r>
          </w:p>
        </w:tc>
        <w:tc>
          <w:tcPr>
            <w:tcW w:w="3251" w:type="dxa"/>
            <w:tcBorders>
              <w:bottom w:val="single" w:sz="8" w:space="0" w:color="000000"/>
            </w:tcBorders>
            <w:shd w:fill="auto" w:val="clear"/>
            <w:tcMar>
              <w:top w:w="0" w:type="dxa"/>
              <w:left w:w="0" w:type="dxa"/>
              <w:right w:w="0" w:type="dxa"/>
            </w:tcMar>
            <w:vAlign w:val="center"/>
          </w:tcPr>
          <w:p>
            <w:pPr>
              <w:pStyle w:val="TableContents"/>
              <w:spacing w:before="0" w:after="0"/>
              <w:ind w:left="0" w:right="40" w:hanging="0"/>
              <w:jc w:val="left"/>
              <w:rPr>
                <w:rFonts w:ascii="Times New Roman;serif" w:hAnsi="Times New Roman;serif"/>
                <w:b w:val="false"/>
                <w:sz w:val="20"/>
              </w:rPr>
            </w:pPr>
            <w:r>
              <w:rPr>
                <w:rFonts w:ascii="Times New Roman;serif" w:hAnsi="Times New Roman;serif"/>
                <w:b w:val="false"/>
                <w:sz w:val="20"/>
              </w:rPr>
              <w:t>/s/ Paul E. Davis</w:t>
            </w:r>
          </w:p>
        </w:tc>
      </w:tr>
      <w:tr>
        <w:trPr/>
        <w:tc>
          <w:tcPr>
            <w:tcW w:w="163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51" w:type="dxa"/>
            <w:tcBorders/>
            <w:shd w:fill="auto" w:val="clear"/>
            <w:vAlign w:val="center"/>
          </w:tcPr>
          <w:p>
            <w:pPr>
              <w:pStyle w:val="TableContents"/>
              <w:spacing w:before="0" w:after="0"/>
              <w:ind w:left="0" w:right="40" w:hanging="0"/>
              <w:jc w:val="left"/>
              <w:rPr>
                <w:rFonts w:ascii="Times New Roman;serif" w:hAnsi="Times New Roman;serif"/>
                <w:b w:val="false"/>
                <w:sz w:val="20"/>
              </w:rPr>
            </w:pPr>
            <w:r>
              <w:rPr>
                <w:rFonts w:ascii="Times New Roman;serif" w:hAnsi="Times New Roman;serif"/>
                <w:b w:val="false"/>
                <w:sz w:val="20"/>
              </w:rPr>
              <w:t>Paul E. Davis</w:t>
            </w:r>
          </w:p>
        </w:tc>
      </w:tr>
      <w:tr>
        <w:trPr/>
        <w:tc>
          <w:tcPr>
            <w:tcW w:w="163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51" w:type="dxa"/>
            <w:tcBorders/>
            <w:shd w:fill="auto" w:val="clear"/>
            <w:vAlign w:val="center"/>
          </w:tcPr>
          <w:p>
            <w:pPr>
              <w:pStyle w:val="TableContents"/>
              <w:spacing w:before="0" w:after="0"/>
              <w:ind w:left="0" w:right="40" w:hanging="0"/>
              <w:jc w:val="left"/>
              <w:rPr>
                <w:rFonts w:ascii="Times New Roman;serif" w:hAnsi="Times New Roman;serif"/>
                <w:b w:val="false"/>
                <w:sz w:val="20"/>
              </w:rPr>
            </w:pPr>
            <w:r>
              <w:rPr>
                <w:rFonts w:ascii="Times New Roman;serif" w:hAnsi="Times New Roman;serif"/>
                <w:b w:val="false"/>
                <w:sz w:val="20"/>
              </w:rPr>
              <w:t>Chief Executive Officer and President</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br/>
      </w:r>
      <w:r>
        <w:rPr>
          <w:rFonts w:ascii="Times New Roman" w:hAnsi="Times New Roman"/>
          <w:sz w:val="20"/>
        </w:rPr>
        <w:t> </w:t>
      </w:r>
    </w:p>
    <w:p>
      <w:pPr>
        <w:pStyle w:val="HorizontalLine"/>
        <w:rPr/>
      </w:pPr>
      <w:r>
        <w:rPr/>
      </w:r>
      <w:r>
        <w:br w:type="page"/>
      </w:r>
    </w:p>
    <w:p>
      <w:pPr>
        <w:pStyle w:val="TextBody"/>
        <w:spacing w:before="0" w:after="0"/>
        <w:jc w:val="left"/>
        <w:rPr>
          <w:rFonts w:ascii="Times New Roman" w:hAnsi="Times New Roman"/>
          <w:sz w:val="20"/>
        </w:rPr>
      </w:pPr>
      <w:bookmarkStart w:id="27" w:name="adea-ex31_2.htm"/>
      <w:bookmarkStart w:id="28" w:name="ksadeaex31_2"/>
      <w:bookmarkEnd w:id="27"/>
      <w:bookmarkEnd w:id="28"/>
      <w:r>
        <w:rPr>
          <w:rFonts w:ascii="Times New Roman;serif" w:hAnsi="Times New Roman;serif"/>
          <w:b w:val="false"/>
          <w:sz w:val="20"/>
        </w:rPr>
        <w:br/>
      </w:r>
      <w:r>
        <w:rPr>
          <w:rFonts w:ascii="Times New Roman" w:hAnsi="Times New Roman"/>
          <w:sz w:val="20"/>
        </w:rPr>
        <w:t> </w:t>
      </w:r>
    </w:p>
    <w:p>
      <w:pPr>
        <w:pStyle w:val="TextBody"/>
        <w:spacing w:before="0" w:after="0"/>
        <w:jc w:val="right"/>
        <w:rPr>
          <w:rFonts w:ascii="Times New Roman;serif" w:hAnsi="Times New Roman;serif"/>
          <w:b/>
          <w:sz w:val="20"/>
        </w:rPr>
      </w:pPr>
      <w:r>
        <w:rPr>
          <w:rFonts w:ascii="Times New Roman;serif" w:hAnsi="Times New Roman;serif"/>
          <w:b/>
          <w:sz w:val="20"/>
        </w:rPr>
        <w:t>Exhibit 31.2</w:t>
      </w:r>
    </w:p>
    <w:p>
      <w:pPr>
        <w:pStyle w:val="TextBody"/>
        <w:spacing w:before="180" w:after="0"/>
        <w:jc w:val="center"/>
        <w:rPr>
          <w:rFonts w:ascii="Times New Roman;serif" w:hAnsi="Times New Roman;serif"/>
          <w:b/>
          <w:sz w:val="20"/>
        </w:rPr>
      </w:pPr>
      <w:r>
        <w:rPr>
          <w:rFonts w:ascii="Times New Roman;serif" w:hAnsi="Times New Roman;serif"/>
          <w:b/>
          <w:sz w:val="20"/>
        </w:rPr>
        <w:t>Certification of the Chief Financial Officer</w:t>
      </w:r>
    </w:p>
    <w:p>
      <w:pPr>
        <w:pStyle w:val="TextBody"/>
        <w:spacing w:before="0" w:after="0"/>
        <w:jc w:val="center"/>
        <w:rPr>
          <w:rFonts w:ascii="Times New Roman;serif" w:hAnsi="Times New Roman;serif"/>
          <w:b/>
          <w:sz w:val="20"/>
        </w:rPr>
      </w:pPr>
      <w:r>
        <w:rPr>
          <w:rFonts w:ascii="Times New Roman;serif" w:hAnsi="Times New Roman;serif"/>
          <w:b/>
          <w:sz w:val="20"/>
        </w:rPr>
        <w:t>Pursuant to Rule 13a-14(a) of the Securities Exchange Act of 1934</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I, Keith A. Jones, certify that:</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1. I have reviewed this quarterly report on Form 10-Q of Adeia Inc.;</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b) any fraud, whether or not material, that involves management or other employees who have a significant role in the registrant’s internal control over financial reporting.</w:t>
      </w:r>
    </w:p>
    <w:p>
      <w:pPr>
        <w:pStyle w:val="TextBody"/>
        <w:spacing w:before="0" w:after="0"/>
        <w:jc w:val="left"/>
        <w:rPr/>
      </w:pPr>
      <w:r>
        <w:rPr/>
        <w:t> </w:t>
      </w:r>
    </w:p>
    <w:tbl>
      <w:tblPr>
        <w:tblW w:w="3833" w:type="dxa"/>
        <w:jc w:val="left"/>
        <w:tblInd w:w="0" w:type="dxa"/>
        <w:tblCellMar>
          <w:top w:w="28" w:type="dxa"/>
          <w:left w:w="28" w:type="dxa"/>
          <w:bottom w:w="28" w:type="dxa"/>
          <w:right w:w="28" w:type="dxa"/>
        </w:tblCellMar>
      </w:tblPr>
      <w:tblGrid>
        <w:gridCol w:w="1636"/>
        <w:gridCol w:w="146"/>
        <w:gridCol w:w="2051"/>
      </w:tblGrid>
      <w:tr>
        <w:trPr/>
        <w:tc>
          <w:tcPr>
            <w:tcW w:w="16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51" w:type="dxa"/>
            <w:tcBorders/>
            <w:shd w:fill="auto" w:val="clear"/>
            <w:vAlign w:val="center"/>
          </w:tcPr>
          <w:p>
            <w:pPr>
              <w:pStyle w:val="TableContents"/>
              <w:spacing w:before="0" w:after="283"/>
              <w:rPr>
                <w:sz w:val="4"/>
                <w:szCs w:val="4"/>
              </w:rPr>
            </w:pPr>
            <w:r>
              <w:rPr>
                <w:sz w:val="4"/>
                <w:szCs w:val="4"/>
              </w:rPr>
            </w:r>
          </w:p>
        </w:tc>
      </w:tr>
      <w:tr>
        <w:trPr/>
        <w:tc>
          <w:tcPr>
            <w:tcW w:w="16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8, 2023</w:t>
            </w:r>
          </w:p>
        </w:tc>
        <w:tc>
          <w:tcPr>
            <w:tcW w:w="146" w:type="dxa"/>
            <w:tcBorders/>
            <w:shd w:fill="auto" w:val="clear"/>
            <w:vAlign w:val="center"/>
          </w:tcPr>
          <w:p>
            <w:pPr>
              <w:pStyle w:val="TableContents"/>
              <w:spacing w:before="0" w:after="0"/>
              <w:ind w:left="0" w:right="0" w:hanging="0"/>
              <w:jc w:val="left"/>
              <w:rPr/>
            </w:pPr>
            <w:r>
              <w:rPr/>
              <w:t> </w:t>
            </w:r>
          </w:p>
        </w:tc>
        <w:tc>
          <w:tcPr>
            <w:tcW w:w="2051" w:type="dxa"/>
            <w:tcBorders>
              <w:bottom w:val="single" w:sz="8" w:space="0" w:color="000000"/>
            </w:tcBorders>
            <w:shd w:fill="auto" w:val="clear"/>
            <w:tcMar>
              <w:top w:w="0" w:type="dxa"/>
              <w:left w:w="0" w:type="dxa"/>
              <w:right w:w="0" w:type="dxa"/>
            </w:tcMar>
            <w:vAlign w:val="center"/>
          </w:tcPr>
          <w:p>
            <w:pPr>
              <w:pStyle w:val="TableContents"/>
              <w:spacing w:before="0" w:after="0"/>
              <w:ind w:left="0" w:right="40" w:hanging="0"/>
              <w:jc w:val="left"/>
              <w:rPr>
                <w:rFonts w:ascii="Times New Roman;serif" w:hAnsi="Times New Roman;serif"/>
                <w:b w:val="false"/>
                <w:sz w:val="20"/>
              </w:rPr>
            </w:pPr>
            <w:r>
              <w:rPr>
                <w:rFonts w:ascii="Times New Roman;serif" w:hAnsi="Times New Roman;serif"/>
                <w:b w:val="false"/>
                <w:sz w:val="20"/>
              </w:rPr>
              <w:t>/s/ Keith A. Jones</w:t>
            </w:r>
          </w:p>
        </w:tc>
      </w:tr>
      <w:tr>
        <w:trPr/>
        <w:tc>
          <w:tcPr>
            <w:tcW w:w="163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51" w:type="dxa"/>
            <w:tcBorders/>
            <w:shd w:fill="auto" w:val="clear"/>
            <w:vAlign w:val="center"/>
          </w:tcPr>
          <w:p>
            <w:pPr>
              <w:pStyle w:val="TableContents"/>
              <w:spacing w:before="0" w:after="0"/>
              <w:ind w:left="0" w:right="40" w:hanging="0"/>
              <w:jc w:val="left"/>
              <w:rPr>
                <w:rFonts w:ascii="Times New Roman;serif" w:hAnsi="Times New Roman;serif"/>
                <w:b w:val="false"/>
                <w:sz w:val="20"/>
              </w:rPr>
            </w:pPr>
            <w:r>
              <w:rPr>
                <w:rFonts w:ascii="Times New Roman;serif" w:hAnsi="Times New Roman;serif"/>
                <w:b w:val="false"/>
                <w:sz w:val="20"/>
              </w:rPr>
              <w:t>Keith A. Jones</w:t>
            </w:r>
          </w:p>
        </w:tc>
      </w:tr>
      <w:tr>
        <w:trPr/>
        <w:tc>
          <w:tcPr>
            <w:tcW w:w="163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51" w:type="dxa"/>
            <w:tcBorders/>
            <w:shd w:fill="auto" w:val="clear"/>
            <w:vAlign w:val="center"/>
          </w:tcPr>
          <w:p>
            <w:pPr>
              <w:pStyle w:val="TableContents"/>
              <w:spacing w:before="0" w:after="0"/>
              <w:ind w:left="0" w:right="40" w:hanging="0"/>
              <w:jc w:val="left"/>
              <w:rPr>
                <w:rFonts w:ascii="Times New Roman;serif" w:hAnsi="Times New Roman;serif"/>
                <w:b w:val="false"/>
                <w:sz w:val="20"/>
              </w:rPr>
            </w:pPr>
            <w:r>
              <w:rPr>
                <w:rFonts w:ascii="Times New Roman;serif" w:hAnsi="Times New Roman;serif"/>
                <w:b w:val="false"/>
                <w:sz w:val="20"/>
              </w:rPr>
              <w:t>Chief Financial Officer</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br/>
      </w:r>
      <w:r>
        <w:rPr>
          <w:rFonts w:ascii="Times New Roman" w:hAnsi="Times New Roman"/>
          <w:sz w:val="20"/>
        </w:rPr>
        <w:t> </w:t>
      </w:r>
    </w:p>
    <w:p>
      <w:pPr>
        <w:pStyle w:val="HorizontalLine"/>
        <w:rPr/>
      </w:pPr>
      <w:r>
        <w:rPr/>
      </w:r>
      <w:r>
        <w:br w:type="page"/>
      </w:r>
    </w:p>
    <w:p>
      <w:pPr>
        <w:pStyle w:val="TextBody"/>
        <w:spacing w:before="0" w:after="0"/>
        <w:jc w:val="left"/>
        <w:rPr>
          <w:rFonts w:ascii="Times New Roman" w:hAnsi="Times New Roman"/>
          <w:sz w:val="20"/>
        </w:rPr>
      </w:pPr>
      <w:bookmarkStart w:id="29" w:name="adea-ex32_1.htm"/>
      <w:bookmarkStart w:id="30" w:name="ksadeaex32_1"/>
      <w:bookmarkEnd w:id="29"/>
      <w:bookmarkEnd w:id="30"/>
      <w:r>
        <w:rPr>
          <w:rFonts w:ascii="Times New Roman;serif" w:hAnsi="Times New Roman;serif"/>
          <w:b w:val="false"/>
          <w:sz w:val="20"/>
        </w:rPr>
        <w:br/>
      </w:r>
      <w:r>
        <w:rPr>
          <w:rFonts w:ascii="Times New Roman" w:hAnsi="Times New Roman"/>
          <w:sz w:val="20"/>
        </w:rPr>
        <w:t> </w:t>
      </w:r>
    </w:p>
    <w:p>
      <w:pPr>
        <w:pStyle w:val="TextBody"/>
        <w:spacing w:before="0" w:after="0"/>
        <w:jc w:val="right"/>
        <w:rPr>
          <w:rFonts w:ascii="Times New Roman;serif" w:hAnsi="Times New Roman;serif"/>
          <w:b/>
          <w:sz w:val="20"/>
        </w:rPr>
      </w:pPr>
      <w:r>
        <w:rPr>
          <w:rFonts w:ascii="Times New Roman;serif" w:hAnsi="Times New Roman;serif"/>
          <w:b/>
          <w:sz w:val="20"/>
        </w:rPr>
        <w:t>Exhibit 32.1</w:t>
      </w:r>
    </w:p>
    <w:p>
      <w:pPr>
        <w:pStyle w:val="TextBody"/>
        <w:spacing w:before="180" w:after="0"/>
        <w:jc w:val="center"/>
        <w:rPr>
          <w:rFonts w:ascii="Times New Roman;serif" w:hAnsi="Times New Roman;serif"/>
          <w:b/>
          <w:sz w:val="20"/>
        </w:rPr>
      </w:pPr>
      <w:r>
        <w:rPr>
          <w:rFonts w:ascii="Times New Roman;serif" w:hAnsi="Times New Roman;serif"/>
          <w:b/>
          <w:sz w:val="20"/>
        </w:rPr>
        <w:t>CERTIFICATION PURSUANT TO</w:t>
      </w:r>
    </w:p>
    <w:p>
      <w:pPr>
        <w:pStyle w:val="TextBody"/>
        <w:spacing w:before="0" w:after="0"/>
        <w:jc w:val="center"/>
        <w:rPr>
          <w:rFonts w:ascii="Times New Roman;serif" w:hAnsi="Times New Roman;serif"/>
          <w:b/>
          <w:sz w:val="20"/>
        </w:rPr>
      </w:pPr>
      <w:r>
        <w:rPr>
          <w:rFonts w:ascii="Times New Roman;serif" w:hAnsi="Times New Roman;serif"/>
          <w:b/>
          <w:sz w:val="20"/>
        </w:rPr>
        <w:t>RULE 13a-14(b) OF THE SECURITIES EXCHANGE ACT OF 1934</w:t>
      </w:r>
    </w:p>
    <w:p>
      <w:pPr>
        <w:pStyle w:val="TextBody"/>
        <w:spacing w:before="0" w:after="0"/>
        <w:jc w:val="center"/>
        <w:rPr>
          <w:rFonts w:ascii="Times New Roman;serif" w:hAnsi="Times New Roman;serif"/>
          <w:b/>
          <w:sz w:val="20"/>
        </w:rPr>
      </w:pPr>
      <w:r>
        <w:rPr>
          <w:rFonts w:ascii="Times New Roman;serif" w:hAnsi="Times New Roman;serif"/>
          <w:b/>
          <w:sz w:val="20"/>
        </w:rPr>
        <w:t>AND 18 U.S.C. SECTION 1350</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In connection with the Quarterly Report of Adeia Inc., a Delaware corporation (the “Company”), on Form 10-Q for the period ended March 31, 2023 as filed with the Securities and Exchange Commission (the “Report”), I, Paul E. Davis, Chief Executive Officer and President, certify, pursuant to Rule 13a-14(b) of the Securities Exchange Act of 1934 and 18 U.S.C. § 1350, as adopted pursuant to § 906 of the Sarbanes-Oxley Act of 2002, that to my knowledge:</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(1) The Report fully complies with the requirements of section 13(a) or 15(d) of the Securities Exchange Act of 1934, as amended; and</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(2) The information contained in the Report fairly presents, in all material respects, the financial condition and results of operations of the Company.</w:t>
      </w:r>
    </w:p>
    <w:p>
      <w:pPr>
        <w:pStyle w:val="TextBody"/>
        <w:spacing w:before="0" w:after="0"/>
        <w:jc w:val="left"/>
        <w:rPr/>
      </w:pPr>
      <w:r>
        <w:rPr/>
        <w:t> </w:t>
      </w:r>
    </w:p>
    <w:tbl>
      <w:tblPr>
        <w:tblW w:w="3226" w:type="dxa"/>
        <w:jc w:val="left"/>
        <w:tblInd w:w="0" w:type="dxa"/>
        <w:tblCellMar>
          <w:top w:w="28" w:type="dxa"/>
          <w:left w:w="28" w:type="dxa"/>
          <w:bottom w:w="28" w:type="dxa"/>
          <w:right w:w="28" w:type="dxa"/>
        </w:tblCellMar>
      </w:tblPr>
      <w:tblGrid>
        <w:gridCol w:w="3226"/>
      </w:tblGrid>
      <w:tr>
        <w:trPr/>
        <w:tc>
          <w:tcPr>
            <w:tcW w:w="3226" w:type="dxa"/>
            <w:tcBorders/>
            <w:shd w:fill="auto" w:val="clear"/>
            <w:vAlign w:val="center"/>
          </w:tcPr>
          <w:p>
            <w:pPr>
              <w:pStyle w:val="TableContents"/>
              <w:spacing w:before="0" w:after="283"/>
              <w:rPr>
                <w:sz w:val="4"/>
                <w:szCs w:val="4"/>
              </w:rPr>
            </w:pPr>
            <w:r>
              <w:rPr>
                <w:sz w:val="4"/>
                <w:szCs w:val="4"/>
              </w:rPr>
            </w:r>
          </w:p>
        </w:tc>
      </w:tr>
      <w:tr>
        <w:trPr/>
        <w:tc>
          <w:tcPr>
            <w:tcW w:w="3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Paul E. Davis</w:t>
            </w:r>
          </w:p>
        </w:tc>
      </w:tr>
      <w:tr>
        <w:trPr/>
        <w:tc>
          <w:tcPr>
            <w:tcW w:w="32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Paul E. Davis</w:t>
            </w:r>
          </w:p>
        </w:tc>
      </w:tr>
      <w:tr>
        <w:trPr/>
        <w:tc>
          <w:tcPr>
            <w:tcW w:w="32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Chief Executive Officer and President</w:t>
            </w:r>
          </w:p>
        </w:tc>
      </w:tr>
      <w:tr>
        <w:trPr/>
        <w:tc>
          <w:tcPr>
            <w:tcW w:w="32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May 8, 2023</w:t>
            </w:r>
          </w:p>
        </w:tc>
      </w:tr>
    </w:tbl>
    <w:p>
      <w:pPr>
        <w:pStyle w:val="TextBody"/>
        <w:spacing w:before="0" w:after="0"/>
        <w:jc w:val="left"/>
        <w:rPr/>
      </w:pPr>
      <w:r>
        <w:rPr/>
        <w:t> </w:t>
      </w:r>
    </w:p>
    <w:p>
      <w:pPr>
        <w:pStyle w:val="TextBody"/>
        <w:spacing w:before="160" w:after="0"/>
        <w:jc w:val="center"/>
        <w:rPr>
          <w:rFonts w:ascii="Times New Roman;serif" w:hAnsi="Times New Roman;serif"/>
          <w:b/>
          <w:sz w:val="20"/>
        </w:rPr>
      </w:pPr>
      <w:r>
        <w:rPr>
          <w:rFonts w:ascii="Times New Roman;serif" w:hAnsi="Times New Roman;serif"/>
          <w:b/>
          <w:sz w:val="20"/>
        </w:rPr>
        <w:t>CERTIFICATION PURSUANT TO</w:t>
      </w:r>
    </w:p>
    <w:p>
      <w:pPr>
        <w:pStyle w:val="TextBody"/>
        <w:spacing w:before="0" w:after="0"/>
        <w:jc w:val="center"/>
        <w:rPr>
          <w:rFonts w:ascii="Times New Roman;serif" w:hAnsi="Times New Roman;serif"/>
          <w:b/>
          <w:sz w:val="20"/>
        </w:rPr>
      </w:pPr>
      <w:r>
        <w:rPr>
          <w:rFonts w:ascii="Times New Roman;serif" w:hAnsi="Times New Roman;serif"/>
          <w:b/>
          <w:sz w:val="20"/>
        </w:rPr>
        <w:t>RULE 13a-14(b) OF THE SECURITIES EXCHANGE ACT OF 1934</w:t>
      </w:r>
    </w:p>
    <w:p>
      <w:pPr>
        <w:pStyle w:val="TextBody"/>
        <w:spacing w:before="0" w:after="0"/>
        <w:jc w:val="center"/>
        <w:rPr>
          <w:rFonts w:ascii="Times New Roman;serif" w:hAnsi="Times New Roman;serif"/>
          <w:b/>
          <w:sz w:val="20"/>
        </w:rPr>
      </w:pPr>
      <w:r>
        <w:rPr>
          <w:rFonts w:ascii="Times New Roman;serif" w:hAnsi="Times New Roman;serif"/>
          <w:b/>
          <w:sz w:val="20"/>
        </w:rPr>
        <w:t>AND 18 U.S.C. SECTION 1350</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In connection with the Quarterly Report of Adeia Inc., a Delaware corporation (the “Company”), on Form 10-Q for the period ended March 31, 2023 as filed with the Securities and Exchange Commission (the “Report”), I, Keith A. Jones, Chief Financial Officer of the Company, certify, pursuant to Rule 13a-14(b) of the Securities Exchange Act of 1934 and 18 U.S.C. § 1350, as adopted pursuant to § 906 of the Sarbanes-Oxley Act of 2002, that to my knowledge:</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(1) The Report fully complies with the requirements of section 13(a) or 15(d) of the Securities Exchange Act of 1934, as amended; and</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(2) The information contained in the Report fairly presents, in all material respects, the financial condition and results of operations of the Company.</w:t>
      </w:r>
    </w:p>
    <w:p>
      <w:pPr>
        <w:pStyle w:val="TextBody"/>
        <w:spacing w:before="0" w:after="0"/>
        <w:jc w:val="left"/>
        <w:rPr/>
      </w:pPr>
      <w:r>
        <w:rPr/>
        <w:t> </w:t>
      </w:r>
    </w:p>
    <w:tbl>
      <w:tblPr>
        <w:tblW w:w="2026" w:type="dxa"/>
        <w:jc w:val="left"/>
        <w:tblInd w:w="0" w:type="dxa"/>
        <w:tblCellMar>
          <w:top w:w="28" w:type="dxa"/>
          <w:left w:w="28" w:type="dxa"/>
          <w:bottom w:w="28" w:type="dxa"/>
          <w:right w:w="28" w:type="dxa"/>
        </w:tblCellMar>
      </w:tblPr>
      <w:tblGrid>
        <w:gridCol w:w="2026"/>
      </w:tblGrid>
      <w:tr>
        <w:trPr/>
        <w:tc>
          <w:tcPr>
            <w:tcW w:w="2026" w:type="dxa"/>
            <w:tcBorders/>
            <w:shd w:fill="auto" w:val="clear"/>
            <w:vAlign w:val="center"/>
          </w:tcPr>
          <w:p>
            <w:pPr>
              <w:pStyle w:val="TableContents"/>
              <w:spacing w:before="0" w:after="283"/>
              <w:rPr>
                <w:sz w:val="4"/>
                <w:szCs w:val="4"/>
              </w:rPr>
            </w:pPr>
            <w:r>
              <w:rPr>
                <w:sz w:val="4"/>
                <w:szCs w:val="4"/>
              </w:rPr>
            </w:r>
          </w:p>
        </w:tc>
      </w:tr>
      <w:tr>
        <w:trPr/>
        <w:tc>
          <w:tcPr>
            <w:tcW w:w="20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Keith A. Jones</w:t>
            </w:r>
          </w:p>
        </w:tc>
      </w:tr>
      <w:tr>
        <w:trPr/>
        <w:tc>
          <w:tcPr>
            <w:tcW w:w="20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Keith A. Jones</w:t>
            </w:r>
          </w:p>
        </w:tc>
      </w:tr>
      <w:tr>
        <w:trPr/>
        <w:tc>
          <w:tcPr>
            <w:tcW w:w="20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Chief Financial Officer</w:t>
            </w:r>
          </w:p>
        </w:tc>
      </w:tr>
      <w:tr>
        <w:trPr/>
        <w:tc>
          <w:tcPr>
            <w:tcW w:w="20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May 8, 2023</w:t>
            </w:r>
          </w:p>
        </w:tc>
      </w:tr>
    </w:tbl>
    <w:p>
      <w:pPr>
        <w:pStyle w:val="TextBody"/>
        <w:spacing w:before="0" w:after="0"/>
        <w:jc w:val="left"/>
        <w:rPr/>
      </w:pPr>
      <w:r>
        <w:rPr/>
        <w:t> </w:t>
      </w:r>
    </w:p>
    <w:p>
      <w:pPr>
        <w:pStyle w:val="TextBody"/>
        <w:spacing w:before="0" w:after="0"/>
        <w:jc w:val="left"/>
        <w:rPr>
          <w:rFonts w:ascii="Times New Roman;serif" w:hAnsi="Times New Roman;serif"/>
          <w:b w:val="false"/>
          <w:i/>
          <w:sz w:val="20"/>
        </w:rPr>
      </w:pPr>
      <w:r>
        <w:rPr>
          <w:rFonts w:ascii="Times New Roman;serif" w:hAnsi="Times New Roman;serif"/>
          <w:b w:val="false"/>
          <w:i/>
          <w:sz w:val="20"/>
        </w:rPr>
        <w:t>A signed original of this written statement required by Rule 13a-14(b) of the Securities Exchange Act of 1934 and 18 U.S.C. Section 1350 has been provided to the Registrant and will be retained by the Registrant and furnished to the Securities and Exchange Commission or its staff upon request.</w:t>
      </w:r>
    </w:p>
    <w:p>
      <w:pPr>
        <w:pStyle w:val="TextBody"/>
        <w:spacing w:before="0" w:after="0"/>
        <w:jc w:val="left"/>
        <w:rPr>
          <w:rFonts w:ascii="Times New Roman" w:hAnsi="Times New Roman"/>
          <w:sz w:val="20"/>
        </w:rPr>
      </w:pPr>
      <w:r>
        <w:rPr>
          <w:rFonts w:ascii="Times New Roman;serif" w:hAnsi="Times New Roman;serif"/>
          <w:b w:val="false"/>
          <w:sz w:val="20"/>
        </w:rPr>
        <w:br/>
      </w:r>
      <w:r>
        <w:rPr>
          <w:rFonts w:ascii="Times New Roman" w:hAnsi="Times New Roman"/>
          <w:sz w:val="20"/>
        </w:rPr>
        <w:t> </w:t>
      </w:r>
    </w:p>
    <w:p>
      <w:pPr>
        <w:pStyle w:val="HorizontalLine"/>
        <w:pBdr>
          <w:bottom w:val="double" w:sz="2" w:space="0" w:color="808080"/>
        </w:pBdr>
        <w:spacing w:before="0" w:after="283"/>
        <w:rPr/>
      </w:pPr>
      <w:r>
        <w:rPr/>
      </w:r>
    </w:p>
    <w:sectPr>
      <w:type w:val="nextPage"/>
      <w:pgSz w:w="12240" w:h="15840"/>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7</Pages>
  <Words>21596</Words>
  <CharactersWithSpaces>141602</CharactersWithSpaces>
  <Paragraphs>5127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