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-125095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 w:lineRule="exact"/>
        <w:rPr>
          <w:sz w:val="24"/>
          <w:szCs w:val="24"/>
          <w:color w:val="auto"/>
        </w:rPr>
      </w:pPr>
    </w:p>
    <w:p>
      <w:pPr>
        <w:ind w:left="3820" w:right="1900" w:hanging="3812"/>
        <w:spacing w:after="0" w:line="438" w:lineRule="auto"/>
        <w:tabs>
          <w:tab w:leader="none" w:pos="22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06" w:lineRule="exact"/>
        <w:rPr>
          <w:sz w:val="24"/>
          <w:szCs w:val="24"/>
          <w:color w:val="auto"/>
        </w:rPr>
      </w:pPr>
    </w:p>
    <w:p>
      <w:pPr>
        <w:ind w:left="4200" w:right="1880" w:hanging="4192"/>
        <w:spacing w:after="0" w:line="458"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-15875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ADEIA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107315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2"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13"/>
        </w:trPr>
        <w:tc>
          <w:tcPr>
            <w:tcW w:w="512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2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7"/>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w w:val="99"/>
              </w:rPr>
              <w:t>3025 Orchard Parkway, San Jose, California</w:t>
            </w:r>
          </w:p>
        </w:tc>
        <w:tc>
          <w:tcPr>
            <w:tcW w:w="296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223"/>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473-2500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108585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25"/>
        </w:trPr>
        <w:tc>
          <w:tcPr>
            <w:tcW w:w="38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r>
      <w:tr>
        <w:trPr>
          <w:trHeight w:val="177"/>
        </w:trPr>
        <w:tc>
          <w:tcPr>
            <w:tcW w:w="388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Trading</w:t>
            </w:r>
          </w:p>
        </w:tc>
        <w:tc>
          <w:tcPr>
            <w:tcW w:w="4840" w:type="dxa"/>
            <w:vAlign w:val="bottom"/>
            <w:tcBorders>
              <w:right w:val="single" w:sz="8" w:color="auto"/>
            </w:tcBorders>
          </w:tcPr>
          <w:p>
            <w:pPr>
              <w:spacing w:after="0"/>
              <w:rPr>
                <w:sz w:val="15"/>
                <w:szCs w:val="15"/>
                <w:color w:val="auto"/>
              </w:rPr>
            </w:pPr>
          </w:p>
        </w:tc>
      </w:tr>
      <w:tr>
        <w:trPr>
          <w:trHeight w:val="245"/>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ADEA</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96" w:lineRule="exact"/>
        <w:rPr>
          <w:sz w:val="24"/>
          <w:szCs w:val="24"/>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4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90"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300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April 25, 2024 was 108,507,448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160" w:type="dxa"/>
            <w:vAlign w:val="bottom"/>
          </w:tcPr>
          <w:p>
            <w:pPr>
              <w:spacing w:after="0"/>
              <w:rPr>
                <w:sz w:val="16"/>
                <w:szCs w:val="16"/>
                <w:color w:val="auto"/>
              </w:rPr>
            </w:pPr>
          </w:p>
        </w:tc>
        <w:tc>
          <w:tcPr>
            <w:tcW w:w="9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8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68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gridSpan w:val="5"/>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7"/>
        </w:trPr>
        <w:tc>
          <w:tcPr>
            <w:tcW w:w="7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45"/>
        </w:trPr>
        <w:tc>
          <w:tcPr>
            <w:tcW w:w="7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100" w:type="dxa"/>
            <w:vAlign w:val="bottom"/>
            <w:shd w:val="clear" w:color="auto" w:fill="CFF0FC"/>
          </w:tcPr>
          <w:p>
            <w:pPr>
              <w:spacing w:after="0"/>
              <w:rPr>
                <w:sz w:val="21"/>
                <w:szCs w:val="21"/>
                <w:color w:val="auto"/>
              </w:rPr>
            </w:pP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shd w:val="clear" w:color="auto" w:fill="CFF0FC"/>
          </w:tcPr>
          <w:p>
            <w:pPr>
              <w:spacing w:after="0"/>
              <w:rPr>
                <w:sz w:val="21"/>
                <w:szCs w:val="21"/>
                <w:color w:val="auto"/>
              </w:rPr>
            </w:pPr>
          </w:p>
        </w:tc>
      </w:tr>
      <w:tr>
        <w:trPr>
          <w:trHeight w:val="238"/>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shd w:val="clear" w:color="auto" w:fill="CFF0FC"/>
          </w:tcPr>
          <w:p>
            <w:pPr>
              <w:spacing w:after="0"/>
              <w:rPr>
                <w:sz w:val="21"/>
                <w:szCs w:val="21"/>
                <w:color w:val="auto"/>
              </w:rPr>
            </w:pPr>
          </w:p>
        </w:tc>
      </w:tr>
      <w:tr>
        <w:trPr>
          <w:trHeight w:val="238"/>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0"/>
                <w:szCs w:val="20"/>
                <w:color w:val="auto"/>
              </w:rPr>
            </w:pPr>
          </w:p>
        </w:tc>
      </w:tr>
      <w:tr>
        <w:trPr>
          <w:trHeight w:val="236"/>
        </w:trPr>
        <w:tc>
          <w:tcPr>
            <w:tcW w:w="7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55,123</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(14,175 )</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(15,938 )</w:t>
            </w: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0"/>
                <w:szCs w:val="20"/>
                <w:color w:val="auto"/>
              </w:rPr>
            </w:pPr>
          </w:p>
        </w:tc>
      </w:tr>
      <w:tr>
        <w:trPr>
          <w:trHeight w:val="240"/>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40,805</w:t>
            </w:r>
          </w:p>
        </w:tc>
        <w:tc>
          <w:tcPr>
            <w:tcW w:w="100" w:type="dxa"/>
            <w:vAlign w:val="bottom"/>
            <w:shd w:val="clear" w:color="auto" w:fill="CFF0FC"/>
          </w:tcPr>
          <w:p>
            <w:pPr>
              <w:spacing w:after="0"/>
              <w:rPr>
                <w:sz w:val="20"/>
                <w:szCs w:val="20"/>
                <w:color w:val="auto"/>
              </w:rPr>
            </w:pP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tcPr>
          <w:p>
            <w:pPr>
              <w:spacing w:after="0"/>
              <w:rPr>
                <w:sz w:val="20"/>
                <w:szCs w:val="20"/>
                <w:color w:val="auto"/>
              </w:rPr>
            </w:pP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21"/>
                <w:szCs w:val="21"/>
                <w:color w:val="auto"/>
              </w:rPr>
            </w:pPr>
          </w:p>
        </w:tc>
      </w:tr>
      <w:tr>
        <w:trPr>
          <w:trHeight w:val="238"/>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105,585</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112,977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-1899920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-949960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-932815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34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7"/>
        </w:trPr>
        <w:tc>
          <w:tcPr>
            <w:tcW w:w="77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45"/>
        </w:trPr>
        <w:tc>
          <w:tcPr>
            <w:tcW w:w="7760" w:type="dxa"/>
            <w:vAlign w:val="bottom"/>
          </w:tcPr>
          <w:p>
            <w:pPr>
              <w:spacing w:after="0"/>
              <w:rPr>
                <w:sz w:val="21"/>
                <w:szCs w:val="21"/>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losses on available-for-sale debt securities</w:t>
            </w:r>
          </w:p>
        </w:tc>
        <w:tc>
          <w:tcPr>
            <w:tcW w:w="12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36"/>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29,025</w:t>
            </w:r>
          </w:p>
        </w:tc>
        <w:tc>
          <w:tcPr>
            <w:tcW w:w="100" w:type="dxa"/>
            <w:vAlign w:val="bottom"/>
            <w:tcBorders>
              <w:top w:val="single" w:sz="8" w:color="CFF0FC"/>
            </w:tcBorders>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$1,463 and $1,463,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Unbilled contracts receivable,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1,079,340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legal fees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729,389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748,934</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(2024: authorized 15,000 shares; 2023: authorized 15,000 shares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no shares issued and outstanding)</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(2024: authorized 350,000 shares, issued 122,468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108,453 shares; 2023: authorized 350,000 shares, issued 120,730 shares, outstanding</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107,384 shares)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635,552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(2024: 14,015 shares; 2023: 13,346 shares)</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(230,226 )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(222,497 )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(55,426 )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(56,325 )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349,951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1,079,340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-5624830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-5624830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-4374515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-4374515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-3107690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-3107690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-2165350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0"/>
        </w:trPr>
        <w:tc>
          <w:tcPr>
            <w:tcW w:w="77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(3,048 )</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(298 )</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(27,612 )</w:t>
            </w: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(2,808 )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(4,468 )</w:t>
            </w: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(4,126 )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(1,821 )</w:t>
            </w:r>
          </w:p>
        </w:tc>
      </w:tr>
      <w:tr>
        <w:trPr>
          <w:trHeight w:val="238"/>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20"/>
                <w:szCs w:val="20"/>
                <w:color w:val="auto"/>
              </w:rPr>
            </w:pPr>
          </w:p>
        </w:tc>
      </w:tr>
      <w:tr>
        <w:trPr>
          <w:trHeight w:val="236"/>
        </w:trPr>
        <w:tc>
          <w:tcPr>
            <w:tcW w:w="77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(793 )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(390 )</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(8,476 )</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(11,169 )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(10,988 )</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(390 )</w:t>
            </w:r>
          </w:p>
        </w:tc>
      </w:tr>
      <w:tr>
        <w:trPr>
          <w:trHeight w:val="238"/>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(5,420 )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(5,314 )</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debt</w:t>
            </w:r>
          </w:p>
        </w:tc>
        <w:tc>
          <w:tcPr>
            <w:tcW w:w="1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(40,125 )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(83,625 )</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program and exercise of stock options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 for tax withholdings on equity awards</w:t>
            </w:r>
          </w:p>
        </w:tc>
        <w:tc>
          <w:tcPr>
            <w:tcW w:w="1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(7,729 )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(6,560 )</w:t>
            </w:r>
          </w:p>
        </w:tc>
      </w:tr>
      <w:tr>
        <w:trPr>
          <w:trHeight w:val="20"/>
        </w:trPr>
        <w:tc>
          <w:tcPr>
            <w:tcW w:w="7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(52,777 )</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(95,088 )</w:t>
            </w:r>
          </w:p>
        </w:tc>
      </w:tr>
      <w:tr>
        <w:trPr>
          <w:trHeight w:val="20"/>
        </w:trPr>
        <w:tc>
          <w:tcPr>
            <w:tcW w:w="7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(32,126 )</w:t>
            </w: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58,024</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82,429</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Unpaid purchases of property and equipment at the end of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-3081655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-2139950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-1198245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-881380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-205105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4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40" w:type="dxa"/>
            <w:vAlign w:val="bottom"/>
          </w:tcPr>
          <w:p>
            <w:pPr>
              <w:spacing w:after="0"/>
              <w:rPr>
                <w:sz w:val="17"/>
                <w:szCs w:val="17"/>
                <w:color w:val="auto"/>
              </w:rPr>
            </w:pPr>
          </w:p>
        </w:tc>
        <w:tc>
          <w:tcPr>
            <w:tcW w:w="88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ed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8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9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79"/>
              <w:spacing w:after="0" w:line="178" w:lineRule="exact"/>
              <w:rPr>
                <w:sz w:val="20"/>
                <w:szCs w:val="20"/>
                <w:color w:val="auto"/>
              </w:rPr>
            </w:pPr>
            <w:r>
              <w:rPr>
                <w:rFonts w:ascii="Times New Roman" w:cs="Times New Roman" w:eastAsia="Times New Roman" w:hAnsi="Times New Roman"/>
                <w:sz w:val="16"/>
                <w:szCs w:val="16"/>
                <w:b w:val="1"/>
                <w:bCs w:val="1"/>
                <w:color w:val="auto"/>
              </w:rPr>
              <w:t>ve Loss</w:t>
            </w:r>
          </w:p>
        </w:tc>
        <w:tc>
          <w:tcPr>
            <w:tcW w:w="140" w:type="dxa"/>
            <w:vAlign w:val="bottom"/>
          </w:tcPr>
          <w:p>
            <w:pPr>
              <w:spacing w:after="0"/>
              <w:rPr>
                <w:sz w:val="15"/>
                <w:szCs w:val="15"/>
                <w:color w:val="auto"/>
              </w:rPr>
            </w:pPr>
          </w:p>
        </w:tc>
        <w:tc>
          <w:tcPr>
            <w:tcW w:w="880" w:type="dxa"/>
            <w:vAlign w:val="bottom"/>
            <w:gridSpan w:val="2"/>
          </w:tcPr>
          <w:p>
            <w:pPr>
              <w:jc w:val="right"/>
              <w:ind w:right="299"/>
              <w:spacing w:after="0" w:line="17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5"/>
                <w:szCs w:val="15"/>
                <w:color w:val="auto"/>
              </w:rPr>
            </w:pPr>
          </w:p>
        </w:tc>
        <w:tc>
          <w:tcPr>
            <w:tcW w:w="940" w:type="dxa"/>
            <w:vAlign w:val="bottom"/>
            <w:gridSpan w:val="2"/>
          </w:tcPr>
          <w:p>
            <w:pPr>
              <w:jc w:val="right"/>
              <w:ind w:right="380"/>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107,384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$ 635,331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(222,497</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(56,325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(63 )</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($0.05 per share)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(5,420 )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(5,420 )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canceled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Withholding taxes related to net share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settlement of restricted awards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(669 )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1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(7,729 )</w:t>
            </w:r>
          </w:p>
        </w:tc>
        <w:tc>
          <w:tcPr>
            <w:tcW w:w="18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(7,729 )</w:t>
            </w:r>
          </w:p>
        </w:tc>
        <w:tc>
          <w:tcPr>
            <w:tcW w:w="0" w:type="dxa"/>
            <w:vAlign w:val="bottom"/>
          </w:tcPr>
          <w:p>
            <w:pPr>
              <w:spacing w:after="0"/>
              <w:rPr>
                <w:sz w:val="1"/>
                <w:szCs w:val="1"/>
                <w:color w:val="auto"/>
              </w:rPr>
            </w:pPr>
          </w:p>
        </w:tc>
      </w:tr>
      <w:tr>
        <w:trPr>
          <w:trHeight w:val="232"/>
        </w:trPr>
        <w:tc>
          <w:tcPr>
            <w:tcW w:w="20" w:type="dxa"/>
            <w:vAlign w:val="bottom"/>
            <w:tcBorders>
              <w:bottom w:val="single" w:sz="8" w:color="CFF0FC"/>
            </w:tcBorders>
            <w:shd w:val="clear" w:color="auto" w:fill="CFF0FC"/>
          </w:tcPr>
          <w:p>
            <w:pPr>
              <w:spacing w:after="0"/>
              <w:rPr>
                <w:sz w:val="20"/>
                <w:szCs w:val="20"/>
                <w:color w:val="auto"/>
              </w:rPr>
            </w:pPr>
          </w:p>
        </w:tc>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$ 635,552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14,015</w:t>
            </w:r>
          </w:p>
        </w:tc>
        <w:tc>
          <w:tcPr>
            <w:tcW w:w="11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 (230,226 )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(71 )</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(55,426 )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-179070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-179070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-179070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-179070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80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40" w:type="dxa"/>
            <w:vAlign w:val="bottom"/>
            <w:gridSpan w:val="5"/>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98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8"/>
              <w:spacing w:after="0" w:line="15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1020" w:type="dxa"/>
            <w:vAlign w:val="bottom"/>
            <w:gridSpan w:val="2"/>
          </w:tcPr>
          <w:p>
            <w:pPr>
              <w:jc w:val="right"/>
              <w:ind w:right="368"/>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4"/>
                <w:szCs w:val="14"/>
                <w:color w:val="auto"/>
              </w:rPr>
            </w:pPr>
          </w:p>
        </w:tc>
        <w:tc>
          <w:tcPr>
            <w:tcW w:w="840" w:type="dxa"/>
            <w:vAlign w:val="bottom"/>
            <w:gridSpan w:val="2"/>
          </w:tcPr>
          <w:p>
            <w:pPr>
              <w:jc w:val="right"/>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105,167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636,266</w:t>
            </w:r>
          </w:p>
        </w:tc>
        <w:tc>
          <w:tcPr>
            <w:tcW w:w="2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(211,223</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(123,697</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12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Cash dividends paid on common stock ($0.05 per</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(5,314 )</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(5,314 )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w:t>
            </w: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(664 )</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(6,560 )</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(6,560 )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635,001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(217,783 )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(94,676 )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-144780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-144780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-144780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-144780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-144780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-144780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-144780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over 11,000 patents and patent applications worldwide.</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 percent of the outstanding shares of Xperi Inc.’s common stock to holders of the Company’s common stock as of the close of business on the record date of September 21, 2022 (the “Record Date”). Each Company stockholder of record received four shares of Xperi Inc. common stock for every ten shares of Company common stock that it held on the Record Date. Following the Separation, the Company retains no ownership in Xperi Inc., which is now listed under the ticker symbol “XPER” on the New York Stock Exchange. Effective at the open of business on October 3, 2022, the Company’s shares of common stock, par value $0.001 per share, began trading on the Nasdaq Global Select Market under the new ticker symbol “ADEA”.</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Additionally, as a result of the Separation, the Company changed its operational structure in the fourth quarter of 2022, resulting in one reportable segment, IP Licensing.</w:t>
      </w:r>
    </w:p>
    <w:p>
      <w:pPr>
        <w:spacing w:after="0" w:line="16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2023 have been derived from the Company’s annual audited Consolidated Financial Statements included in its Annual Report on Form 10-K for the year ended December 31, 2023, filed on February 23, 2024 (the “Form 10-K”). These Condensed Consolidated Financial Statements should be read in conjunction with the annual audited Consolidated Financial Statements and notes thereto included in the Form 10-K as of and for the year ended December 31, 2023.</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months ended March 31, 2024 are not necessarily indicative of the results that may be expected for the full year ending December 31, 2024 or any future period and the Company makes no representations related thereto.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during the three months ended March 31, 2024, as compared to the significant accounting policies described in the Form 10-K.</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 the Company adopted Topic 848 and modified its debt agreement to reference the other rate. The adoption did not have a material impact to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color w:val="auto"/>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1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fixed-fee Media IP licensing, (ii) fixed-fee or minimum guarantee Semiconductor IP licensing, and (iii) per-unit or per-subscriber Media IP or Semiconductor IP royalty licensing.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Per-unit or per-subscriber Media IP or Semiconductor IP royalty licensing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5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3"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non-recurring revenue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34"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Recurring revenue</w:t>
            </w:r>
          </w:p>
        </w:tc>
        <w:tc>
          <w:tcPr>
            <w:tcW w:w="4320" w:type="dxa"/>
            <w:vAlign w:val="bottom"/>
            <w:gridSpan w:val="2"/>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82,776</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84,366</w:t>
            </w:r>
          </w:p>
        </w:tc>
        <w:tc>
          <w:tcPr>
            <w:tcW w:w="100" w:type="dxa"/>
            <w:vAlign w:val="bottom"/>
            <w:shd w:val="clear" w:color="auto" w:fill="CFF0FC"/>
          </w:tcPr>
          <w:p>
            <w:pPr>
              <w:spacing w:after="0"/>
              <w:rPr>
                <w:sz w:val="20"/>
                <w:szCs w:val="20"/>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revenue</w:t>
            </w:r>
          </w:p>
        </w:tc>
        <w:tc>
          <w:tcPr>
            <w:tcW w:w="28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100" w:type="dxa"/>
            <w:vAlign w:val="bottom"/>
          </w:tcPr>
          <w:p>
            <w:pPr>
              <w:spacing w:after="0"/>
              <w:rPr>
                <w:sz w:val="20"/>
                <w:szCs w:val="20"/>
                <w:color w:val="auto"/>
              </w:rPr>
            </w:pPr>
          </w:p>
        </w:tc>
      </w:tr>
      <w:tr>
        <w:trPr>
          <w:trHeight w:val="276"/>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320" w:type="dxa"/>
            <w:vAlign w:val="bottom"/>
            <w:gridSpan w:val="2"/>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83,405</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100" w:type="dxa"/>
            <w:vAlign w:val="bottom"/>
            <w:shd w:val="clear" w:color="auto" w:fill="CFF0FC"/>
          </w:tcPr>
          <w:p>
            <w:pPr>
              <w:spacing w:after="0"/>
              <w:rPr>
                <w:sz w:val="24"/>
                <w:szCs w:val="24"/>
                <w:color w:val="auto"/>
              </w:rPr>
            </w:pPr>
          </w:p>
        </w:tc>
      </w:tr>
      <w:tr>
        <w:trPr>
          <w:trHeight w:val="875"/>
        </w:trPr>
        <w:tc>
          <w:tcPr>
            <w:tcW w:w="360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jc w:val="right"/>
              <w:ind w:right="610"/>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3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-1078230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-1061085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by market vertical</w:t>
            </w: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5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60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600" w:type="dxa"/>
            <w:vAlign w:val="bottom"/>
          </w:tcPr>
          <w:p>
            <w:pPr>
              <w:spacing w:after="0"/>
              <w:rPr>
                <w:sz w:val="20"/>
                <w:szCs w:val="20"/>
                <w:color w:val="auto"/>
              </w:rPr>
            </w:pPr>
          </w:p>
        </w:tc>
        <w:tc>
          <w:tcPr>
            <w:tcW w:w="1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1720" w:type="dxa"/>
            <w:vAlign w:val="bottom"/>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80,437</w:t>
            </w:r>
          </w:p>
        </w:tc>
        <w:tc>
          <w:tcPr>
            <w:tcW w:w="122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82,634</w:t>
            </w:r>
          </w:p>
        </w:tc>
        <w:tc>
          <w:tcPr>
            <w:tcW w:w="100" w:type="dxa"/>
            <w:vAlign w:val="bottom"/>
            <w:shd w:val="clear" w:color="auto" w:fill="CFF0FC"/>
          </w:tcPr>
          <w:p>
            <w:pPr>
              <w:spacing w:after="0"/>
              <w:rPr>
                <w:sz w:val="20"/>
                <w:szCs w:val="20"/>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w:t>
            </w:r>
          </w:p>
        </w:tc>
        <w:tc>
          <w:tcPr>
            <w:tcW w:w="1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34,673</w:t>
            </w:r>
          </w:p>
        </w:tc>
        <w:tc>
          <w:tcPr>
            <w:tcW w:w="100" w:type="dxa"/>
            <w:vAlign w:val="bottom"/>
          </w:tcPr>
          <w:p>
            <w:pPr>
              <w:spacing w:after="0"/>
              <w:rPr>
                <w:sz w:val="20"/>
                <w:szCs w:val="20"/>
                <w:color w:val="auto"/>
              </w:rPr>
            </w:pPr>
          </w:p>
        </w:tc>
      </w:tr>
      <w:tr>
        <w:trPr>
          <w:trHeight w:val="276"/>
        </w:trPr>
        <w:tc>
          <w:tcPr>
            <w:tcW w:w="5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tcBorders>
              <w:bottom w:val="single" w:sz="8" w:color="auto"/>
            </w:tcBorders>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83,405</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Assets</w:t>
      </w:r>
    </w:p>
    <w:p>
      <w:pPr>
        <w:spacing w:after="0" w:line="22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were recorded in the Condensed Consolidated Balance Sheets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r>
      <w:tr>
        <w:trPr>
          <w:trHeight w:val="276"/>
        </w:trPr>
        <w:tc>
          <w:tcPr>
            <w:tcW w:w="7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contract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148,966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allowance for credit losses at March 31, 2024 and December 31, 2023 was $1.5 million and it is presented as part of accounts receivable, net in the Condensed Consolidated Balance Sheets.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7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1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6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FF0FC"/>
          </w:tcPr>
          <w:p>
            <w:pPr>
              <w:spacing w:after="0"/>
              <w:rPr>
                <w:sz w:val="21"/>
                <w:szCs w:val="21"/>
                <w:color w:val="auto"/>
              </w:rPr>
            </w:pPr>
          </w:p>
        </w:tc>
      </w:tr>
    </w:tbl>
    <w:p>
      <w:pPr>
        <w:spacing w:after="0" w:line="211" w:lineRule="exact"/>
        <w:rPr>
          <w:sz w:val="20"/>
          <w:szCs w:val="20"/>
          <w:color w:val="auto"/>
        </w:rPr>
      </w:pPr>
    </w:p>
    <w:p>
      <w:pPr>
        <w:ind w:firstLine="8"/>
        <w:spacing w:after="0" w:line="255"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and the prospective license during the three months ended March 31, 2024 and 2023 and expects to record revenue from the prospective license in future periods.</w:t>
      </w:r>
    </w:p>
    <w:p>
      <w:pPr>
        <w:spacing w:after="0" w:line="18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8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(remaining 9 months)</w:t>
            </w: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COMPOSITION OF CERTAIN FINANCIAL STATEMENT CAPTIONS</w:t>
            </w: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7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706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-958215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-941070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16,429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20"/>
                <w:szCs w:val="20"/>
                <w:color w:val="auto"/>
              </w:rPr>
            </w:pPr>
          </w:p>
        </w:tc>
      </w:tr>
      <w:tr>
        <w:trPr>
          <w:trHeight w:val="240"/>
        </w:trPr>
        <w:tc>
          <w:tcPr>
            <w:tcW w:w="70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22,637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100" w:type="dxa"/>
            <w:vAlign w:val="bottom"/>
            <w:shd w:val="clear" w:color="auto" w:fill="CFF0FC"/>
          </w:tcPr>
          <w:p>
            <w:pPr>
              <w:spacing w:after="0"/>
              <w:rPr>
                <w:sz w:val="20"/>
                <w:szCs w:val="20"/>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(15,853 )</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(15,333 )</w:t>
            </w:r>
          </w:p>
        </w:tc>
      </w:tr>
      <w:tr>
        <w:trPr>
          <w:trHeight w:val="276"/>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6,784</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26,934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20"/>
                <w:szCs w:val="20"/>
                <w:color w:val="auto"/>
              </w:rPr>
            </w:pPr>
          </w:p>
        </w:tc>
      </w:tr>
      <w:tr>
        <w:trPr>
          <w:trHeight w:val="276"/>
        </w:trPr>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30,900</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shd w:val="clear" w:color="auto" w:fill="CFF0FC"/>
          </w:tcPr>
          <w:p>
            <w:pPr>
              <w:spacing w:after="0"/>
              <w:rPr>
                <w:sz w:val="24"/>
                <w:szCs w:val="24"/>
                <w:color w:val="auto"/>
              </w:rPr>
            </w:pPr>
          </w:p>
        </w:tc>
      </w:tr>
      <w:tr>
        <w:trPr>
          <w:trHeight w:val="416"/>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r>
      <w:tr>
        <w:trPr>
          <w:trHeight w:val="276"/>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-2842260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-2825115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-1729105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-1711960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right="3660" w:firstLine="8"/>
        <w:spacing w:after="0" w:line="496" w:lineRule="auto"/>
        <w:tabs>
          <w:tab w:leader="none" w:pos="18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14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further detail on the nature of the guarantee. Other long-term liabilities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FF0FC"/>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0"/>
                <w:szCs w:val="20"/>
                <w:color w:val="auto"/>
              </w:rPr>
            </w:pPr>
          </w:p>
        </w:tc>
      </w:tr>
      <w:tr>
        <w:trPr>
          <w:trHeight w:val="276"/>
        </w:trPr>
        <w:tc>
          <w:tcPr>
            <w:tcW w:w="7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left="5540" w:right="3660" w:hanging="5532"/>
        <w:spacing w:after="0" w:line="454" w:lineRule="auto"/>
        <w:tabs>
          <w:tab w:leader="none" w:pos="199"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 on the nature of the guarantee.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certificates of deposit, and in equity securities consisting of money market funds. The Company classifies its debt securities as available-for-sale (“AFS”), which are accounted for at fair value with credit related losses recognized as a provision for credit losses in its Consolidated Statements of Income and all non-credit related unrealized gains and losses recognized in accumulated other comprehensive income or loss on the Consolidated Balance Sheets. Under ASU 2016-01 (Topic 321), equity securities are measured at fair value with unrealized gains and losses recognized in other income and expense, net, in the Consolidated Statements of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March 31, 2024 and December 31, 2023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5"/>
            <w:vMerge w:val="restart"/>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-4742815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-4742815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-4742815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-4742815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-4742815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-4417695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-4417695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-4417695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-4417695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-4417695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-3766820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-2063115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-2063115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-2063115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-2063115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-1737360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-1737360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-1737360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-1737360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At March 31, 2024 and December 31, 2023, the Company had $89.0 million and $83.6 million, respectively, in cash and cash equivalents and short-term investments. A portion of these amounts was held in marketable securities, as shown above. The remaining balances of $53.9 million and $48.8 million at March 31, 2024 and December 31, 2023, respectively, consisted of cash held in operating accounts not included in the tables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three months ended March 31, 2024 and 2023. Unrealized losses on AFS debt securities were immaterial as of March 31, 2024 and December 31, 2023.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losses related to its AFS debt securities during the three months ended March 31, 2024 and 2023, respectively.</w:t>
      </w:r>
    </w:p>
    <w:p>
      <w:pPr>
        <w:spacing w:after="0" w:line="18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estimated fair value of marketable debt securities by contractual maturity at March 31, 2024 is shown below (in thousands). Actual maturities may differ from contractual maturities because issuers may have the right to call or prepay obligations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7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two to three years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w:t>
      </w:r>
    </w:p>
    <w:p>
      <w:pPr>
        <w:spacing w:after="0" w:line="22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8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w:t>
      </w:r>
    </w:p>
    <w:p>
      <w:pPr>
        <w:spacing w:after="0" w:line="18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Observable market-based inputs or unobservable inputs that are corroborated by market data.</w:t>
      </w:r>
    </w:p>
    <w:p>
      <w:pPr>
        <w:spacing w:after="0" w:line="184" w:lineRule="exact"/>
        <w:rPr>
          <w:sz w:val="20"/>
          <w:szCs w:val="20"/>
          <w:color w:val="auto"/>
        </w:rPr>
      </w:pPr>
    </w:p>
    <w:p>
      <w:pPr>
        <w:ind w:left="1020" w:right="60" w:hanging="997"/>
        <w:spacing w:after="0" w:line="265" w:lineRule="auto"/>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2023 and March 31,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8" w:name="page19"/>
    <w:bookmarkEnd w:id="18"/>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March 31,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25"/>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35,106</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760" w:right="360" w:hanging="375"/>
        <w:spacing w:after="0" w:line="223"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1" w:lineRule="exact"/>
        <w:rPr>
          <w:rFonts w:ascii="Times New Roman" w:cs="Times New Roman" w:eastAsia="Times New Roman" w:hAnsi="Times New Roman"/>
          <w:sz w:val="24"/>
          <w:szCs w:val="24"/>
          <w:color w:val="auto"/>
          <w:vertAlign w:val="superscript"/>
        </w:rPr>
      </w:pPr>
    </w:p>
    <w:p>
      <w:pPr>
        <w:ind w:left="760" w:hanging="375"/>
        <w:spacing w:after="0" w:line="187"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5"/>
        <w:spacing w:after="0" w:line="186"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1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25"/>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760" w:right="360" w:hanging="375"/>
        <w:spacing w:after="0" w:line="223"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1" w:lineRule="exact"/>
        <w:rPr>
          <w:rFonts w:ascii="Times New Roman" w:cs="Times New Roman" w:eastAsia="Times New Roman" w:hAnsi="Times New Roman"/>
          <w:sz w:val="24"/>
          <w:szCs w:val="24"/>
          <w:color w:val="auto"/>
          <w:vertAlign w:val="superscript"/>
        </w:rPr>
      </w:pPr>
    </w:p>
    <w:p>
      <w:pPr>
        <w:ind w:left="760" w:hanging="375"/>
        <w:spacing w:after="0" w:line="187"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5"/>
        <w:spacing w:after="0" w:line="186"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carrying amounts and estimated fair values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58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7"/>
                <w:szCs w:val="17"/>
                <w:color w:val="auto"/>
              </w:rPr>
            </w:pPr>
          </w:p>
        </w:tc>
      </w:tr>
      <w:tr>
        <w:trPr>
          <w:trHeight w:val="245"/>
        </w:trPr>
        <w:tc>
          <w:tcPr>
            <w:tcW w:w="5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580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Refinanced Term B Loans </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546,332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547,697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585,695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546,332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547,697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585,695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-187960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firstLine="8"/>
        <w:spacing w:after="0" w:line="241" w:lineRule="auto"/>
        <w:tabs>
          <w:tab w:leader="none" w:pos="18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$14.8 million and $15.6 million as of March 31, 2024 and December 31, 2023, respectively. See “Note 8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reported at fair value in the Condensed Consolidated Balance Sheets, the Company’s debt would be classified within Level 2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estimated based on the quoted market prices for the same or similar issues.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carrying value of goodwill at March 31, 2024 and December 31, 2023 was $313.7 million. There were no changes to the carrying value of goodwill from January 1, through March 31, 2024.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for the three months ended March 31,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0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3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10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on</w:t>
            </w:r>
          </w:p>
        </w:tc>
        <w:tc>
          <w:tcPr>
            <w:tcW w:w="2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on</w:t>
            </w:r>
          </w:p>
        </w:tc>
        <w:tc>
          <w:tcPr>
            <w:tcW w:w="2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patents / core technology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661,336</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(336,774 )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324,562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654,360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(323,261 )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331,099</w:t>
            </w:r>
          </w:p>
        </w:tc>
        <w:tc>
          <w:tcPr>
            <w:tcW w:w="100" w:type="dxa"/>
            <w:vAlign w:val="bottom"/>
          </w:tcPr>
          <w:p>
            <w:pPr>
              <w:spacing w:after="0"/>
              <w:rPr>
                <w:sz w:val="20"/>
                <w:szCs w:val="20"/>
                <w:color w:val="auto"/>
              </w:rPr>
            </w:pPr>
          </w:p>
        </w:tc>
      </w:tr>
      <w:tr>
        <w:trPr>
          <w:trHeight w:val="215"/>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contracts and related</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relationships</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8"/>
              </w:rPr>
              <w:t>(149,471 )</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(139,827 )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technology / content database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(38,681 )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(38,681 )</w:t>
            </w: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Trademarks/trade name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4-10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(1,300 )</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857,217</w:t>
            </w:r>
          </w:p>
        </w:tc>
        <w:tc>
          <w:tcPr>
            <w:tcW w:w="3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(526,226 )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850,241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(503,069 )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-1086485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-1086485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-1086485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-1086485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-1086485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As of March 31, 2024, the estimated future amortization expense of total finite-lived intangible assets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160" w:type="dxa"/>
            <w:vAlign w:val="bottom"/>
            <w:shd w:val="clear" w:color="auto" w:fill="CFF0FC"/>
          </w:tcPr>
          <w:p>
            <w:pPr>
              <w:spacing w:after="0"/>
              <w:rPr>
                <w:sz w:val="21"/>
                <w:szCs w:val="21"/>
                <w:color w:val="auto"/>
              </w:rPr>
            </w:pPr>
          </w:p>
        </w:tc>
        <w:tc>
          <w:tcPr>
            <w:tcW w:w="1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54,397</w:t>
            </w:r>
          </w:p>
        </w:tc>
        <w:tc>
          <w:tcPr>
            <w:tcW w:w="100" w:type="dxa"/>
            <w:vAlign w:val="bottom"/>
          </w:tcPr>
          <w:p>
            <w:pPr>
              <w:spacing w:after="0"/>
              <w:rPr>
                <w:sz w:val="20"/>
                <w:szCs w:val="20"/>
                <w:color w:val="auto"/>
              </w:rPr>
            </w:pPr>
          </w:p>
        </w:tc>
      </w:tr>
      <w:tr>
        <w:trPr>
          <w:trHeight w:val="25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54,263</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00" w:type="dxa"/>
            <w:vAlign w:val="bottom"/>
          </w:tcPr>
          <w:p>
            <w:pPr>
              <w:spacing w:after="0"/>
              <w:rPr>
                <w:sz w:val="20"/>
                <w:szCs w:val="20"/>
                <w:color w:val="auto"/>
              </w:rPr>
            </w:pPr>
          </w:p>
        </w:tc>
      </w:tr>
      <w:tr>
        <w:trPr>
          <w:trHeight w:val="25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48,868</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tcPr>
          <w:p>
            <w:pPr>
              <w:spacing w:after="0"/>
              <w:rPr>
                <w:sz w:val="20"/>
                <w:szCs w:val="20"/>
                <w:color w:val="auto"/>
              </w:rPr>
            </w:pPr>
          </w:p>
        </w:tc>
      </w:tr>
      <w:tr>
        <w:trPr>
          <w:trHeight w:val="27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24"/>
                <w:szCs w:val="24"/>
                <w:color w:val="auto"/>
              </w:rPr>
            </w:pPr>
          </w:p>
        </w:tc>
        <w:tc>
          <w:tcPr>
            <w:tcW w:w="1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330,991</w:t>
            </w:r>
          </w:p>
        </w:tc>
        <w:tc>
          <w:tcPr>
            <w:tcW w:w="100" w:type="dxa"/>
            <w:vAlign w:val="bottom"/>
            <w:shd w:val="clear" w:color="auto" w:fill="CFF0FC"/>
          </w:tcPr>
          <w:p>
            <w:pPr>
              <w:spacing w:after="0"/>
              <w:rPr>
                <w:sz w:val="24"/>
                <w:szCs w:val="24"/>
                <w:color w:val="auto"/>
              </w:rPr>
            </w:pPr>
          </w:p>
        </w:tc>
      </w:tr>
      <w:tr>
        <w:trPr>
          <w:trHeight w:val="524"/>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6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Refinanced Term B Loans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561,125</w:t>
            </w: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601,250</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6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(14,793 )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(15,555 )</w:t>
            </w:r>
          </w:p>
        </w:tc>
      </w:tr>
      <w:tr>
        <w:trPr>
          <w:trHeight w:val="240"/>
        </w:trPr>
        <w:tc>
          <w:tcPr>
            <w:tcW w:w="77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546,332</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16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(36,926 )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(66,145 )</w:t>
            </w:r>
          </w:p>
        </w:tc>
      </w:tr>
      <w:tr>
        <w:trPr>
          <w:trHeight w:val="27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509,406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Refinanced Term B Loans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8, 2021, the Company amended that certain Credit Agreement dated June 1, 2020 by and among the Company,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In connection with the amendment (the “Amendment”), the Company made a voluntary prepayment of $50.6 million of the term loan outstanding under the 2020 Credit Agreement using cash on hand.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the Company with additional flexibility under the covenant governing restricted payments. The Company commenced repaying quarterly installments under the Refinanced Term B Loans in the third quarter of 2021.</w:t>
      </w:r>
    </w:p>
    <w:p>
      <w:pPr>
        <w:spacing w:after="0" w:line="1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On May 30, 2023, the Company amended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3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obligations under the 2020 Credit Agreement, inclusive of any changes by the Amendment, continue to be guaranteed by the Company’s wholly-owned material domestic subsidiaries (collectively, the “Guarantors”) and continue to be secured by a lien on substantially all of the assets of the Company and the Guarantors.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ind w:right="40"/>
        <w:spacing w:after="0" w:line="253" w:lineRule="auto"/>
        <w:rPr>
          <w:sz w:val="20"/>
          <w:szCs w:val="20"/>
          <w:color w:val="auto"/>
        </w:rPr>
      </w:pPr>
      <w:r>
        <w:rPr>
          <w:rFonts w:ascii="Times New Roman" w:cs="Times New Roman" w:eastAsia="Times New Roman" w:hAnsi="Times New Roman"/>
          <w:sz w:val="18"/>
          <w:szCs w:val="18"/>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March 31, 2024. The 2020 Credit Agreement, as amended, also requires the Company to make additional cash payments on an annual basis beginning in April 2023 based on certain leverage ratios and excess cash flow generated for the immediately preceding fiscal year. The additional cash payments are applied to the remaining principal balance due at final maturity. Accordingly, during the three months ended March 31, 2024, the Company paid $29.1 million under the excess cash flow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$561.1 million in total debt outstanding. There were also $14.8 million of unamortized debt discount and issuance costs recorded as a reduction from the carrying amount of the debt. The interest rate on the Refinanced Term B Loans as of March 31, 2024, including the amortization of debt discount and issuance costs, was 10.0% and interest is payable monthly. Interest expense was $14.0 million and $15.9 million for the three months ended March 31, 2024 and 2023, respectively. Amortized debt discount and issuance costs, which were included in interest expense, amounted to $0.8 million and $1.2 million for the three months ended March 31, 2024 and 2023, respectively.</w:t>
      </w:r>
    </w:p>
    <w:p>
      <w:pPr>
        <w:spacing w:after="0" w:line="1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March 31, 2024, future minimum principal payments for long-term debt, excluding any additional principal payment required by the excess cash flow provision,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5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5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76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7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NET INCOME PER SHARE</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income per share (in thousands, except per share amounts):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7740" w:type="dxa"/>
            <w:vAlign w:val="bottom"/>
          </w:tcPr>
          <w:p>
            <w:pPr>
              <w:spacing w:after="0"/>
              <w:rPr>
                <w:sz w:val="24"/>
                <w:szCs w:val="24"/>
                <w:color w:val="auto"/>
              </w:rPr>
            </w:pPr>
          </w:p>
        </w:tc>
        <w:tc>
          <w:tcPr>
            <w:tcW w:w="350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77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107,765</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 and units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 program</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112,977</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98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98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-949960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-932815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excluding any unvested restricted stock units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total of 16.8 million shares have been reserved for issuance under the 2020 EIP provided that each share issued pursuant to “full value” awards (i.e., stock awards, restricted stock awards, restricted stock units, performance awards and dividend equivalents) are counted against shares available for issuance under the 2020 EIP on a 1.5 to 1 ratio. At the 2022 Annual Stockholders Meeting on April 29, 2022, the Company’s shareholders approved an amendment to the 2020 EIP and increased by 8.8 million the number of shares reserved for issuance. As of March 31, 2024, there were 0.9 million shares reserved for future grants under the 2020 EIP.</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3" w:name="page24"/>
    <w:bookmarkEnd w:id="23"/>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3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Plan was amended in 2022. The number of shares subject to stock options and restricted stock units outstanding under these plans are included in the tables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below (in thousands, except per share amounts):</w:t>
      </w:r>
    </w:p>
    <w:p>
      <w:pPr>
        <w:spacing w:after="0" w:line="23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Options Outstanding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0" w:type="dxa"/>
            <w:vAlign w:val="bottom"/>
          </w:tcPr>
          <w:p>
            <w:pPr>
              <w:spacing w:after="0"/>
              <w:rPr>
                <w:sz w:val="1"/>
                <w:szCs w:val="1"/>
                <w:color w:val="auto"/>
              </w:rPr>
            </w:pPr>
          </w:p>
        </w:tc>
      </w:tr>
      <w:tr>
        <w:trPr>
          <w:trHeight w:val="245"/>
        </w:trPr>
        <w:tc>
          <w:tcPr>
            <w:tcW w:w="7720" w:type="dxa"/>
            <w:vAlign w:val="bottom"/>
          </w:tcPr>
          <w:p>
            <w:pPr>
              <w:spacing w:after="0"/>
              <w:rPr>
                <w:sz w:val="21"/>
                <w:szCs w:val="21"/>
                <w:color w:val="auto"/>
              </w:rPr>
            </w:pPr>
          </w:p>
        </w:tc>
        <w:tc>
          <w:tcPr>
            <w:tcW w:w="1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to Options</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8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7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-1103630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-1086485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with respect to outstanding restricted stock units (including both time-based vesting and performance-based vesting) as of March 31, 2024 is as follows (in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Time-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25"/>
        </w:trPr>
        <w:tc>
          <w:tcPr>
            <w:tcW w:w="58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based Vesting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based Vesting</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(1,692 )</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2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 Due to the fair market value per share of Company’s common stock on November 30, 2023 as compared to the fair market value per share on June 1, 2023, the offering period was automatically terminated and a new 24-month offering period began on December 1, 2023 and will end on November 30, 2025.</w:t>
      </w:r>
    </w:p>
    <w:p>
      <w:pPr>
        <w:spacing w:after="0" w:line="18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At the 2022 Annual Stockholders Meeting on April 29, 2022, the Company’s shareholders approved an amendment to the 2020 ESPP and increased by 6.0 million the number of shares reserved for issuance. As of March 31, 2024, there were 5.3 million shares reserved for grant under the Company’s 2020 ESPP.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Equity Awards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when declared by the Company’s board of directors (the “Board”). During the three months ended March 31, 2024 and 2023, quarterly dividends declared were $0.05 per common share, respectively. The capacity to pay dividends in the future depends on many factors, including the Company’s financial condition, results of operations, capital requirements, capital structure, industry practice and other business conditions that the Board considers relevant.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On June 12, 2020 the Board authorized a new stock repurchase program providing for the repurchase of up to $150.0 million of the Company’s Common Stock dependent on market conditions, share prices and other factors. On April 22, 2021, the Board authorized an additional $100.0 million of purchases under the existing stock repurchase plan.</w:t>
      </w:r>
    </w:p>
    <w:p>
      <w:pPr>
        <w:spacing w:after="0" w:line="1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were no shares repurchased during the three months ended March 31, 2024. As of March 31, 2024, the Company had repurchased a total of approximately 10.0 million shares of common stock, since inception of the plan, at an average price of $17.24 per share for a total cost of $172.2 million. The shares repurchased are recorded as treasury stock and are accounted for under the cost method. No expiration date has been specified for this plan. As of March 31, 2024, the total remaining amount available for repurchase under this plan was $77.8 million. The Company may execute authorized repurchases from time to time under the plan.</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During the three months ended March 31, 2024 and 2023, the Company withheld 0.7 million and 0.7 million shares of common stock to satisfy $7.7 million and $6.6 million of required withholding taxes,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recording stock-based compensation (“SBC”) expense for the three months ended March 31, 2024 and 2023 is as follows (in thousands):</w:t>
      </w:r>
    </w:p>
    <w:p>
      <w:pPr>
        <w:spacing w:after="0" w:line="23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8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20"/>
                <w:szCs w:val="20"/>
                <w:color w:val="auto"/>
              </w:rPr>
            </w:pPr>
          </w:p>
        </w:tc>
      </w:tr>
      <w:tr>
        <w:trPr>
          <w:trHeight w:val="27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three months ended March 31, 2024 and 2023.</w:t>
      </w:r>
    </w:p>
    <w:p>
      <w:pPr>
        <w:spacing w:after="0" w:line="2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There were no performance stock awards subject to market conditions granted during the three months ended March 31, 2024. The following assumptions were used to value the restricted stock units subject to market conditions granted during the three months ended March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20" w:type="dxa"/>
            <w:vAlign w:val="bottom"/>
          </w:tcPr>
          <w:p>
            <w:pPr>
              <w:spacing w:after="0"/>
              <w:rPr>
                <w:sz w:val="21"/>
                <w:szCs w:val="21"/>
                <w:color w:val="auto"/>
              </w:rPr>
            </w:pPr>
          </w:p>
        </w:tc>
        <w:tc>
          <w:tcPr>
            <w:tcW w:w="288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March 2023</w:t>
            </w:r>
          </w:p>
        </w:tc>
      </w:tr>
      <w:tr>
        <w:trPr>
          <w:trHeight w:val="243"/>
        </w:trPr>
        <w:tc>
          <w:tcPr>
            <w:tcW w:w="8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life (years)</w:t>
            </w:r>
          </w:p>
        </w:tc>
        <w:tc>
          <w:tcPr>
            <w:tcW w:w="2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8"/>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ESPP grants during the three months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and effective tax rate for interim periods are based on its estimated annual effective tax rate adjusted for discrete items during the period. For the three months ended March 31, 2024 and 2023, the Company recorded income tax expense of $5.7 million and $11.8 million, respectively. The effective tax rate varies from the 21% U.S. federal tax rate primarily due to foreign exchange gain or loss on prior year South Korea withholding tax refund claims. The decrease in income tax expense for the three months ended March 31, 2024, as compared to the same period in the prior year was primarily due to a decrease in pretax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one to eight years, some of which may include options to extend the leases for five years or longer, and some of which may include options to terminate the leases within the next five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sectPr>
      </w:pPr>
    </w:p>
    <w:bookmarkStart w:id="27" w:name="page28"/>
    <w:bookmarkEnd w:id="27"/>
    <w:p>
      <w:pPr>
        <w:ind w:right="280"/>
        <w:spacing w:after="0" w:line="281" w:lineRule="auto"/>
        <w:rPr>
          <w:sz w:val="20"/>
          <w:szCs w:val="20"/>
          <w:color w:val="auto"/>
        </w:rPr>
      </w:pPr>
      <w:r>
        <w:rPr>
          <w:rFonts w:ascii="Times New Roman" w:cs="Times New Roman" w:eastAsia="Times New Roman" w:hAnsi="Times New Roman"/>
          <w:sz w:val="18"/>
          <w:szCs w:val="18"/>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p>
      <w:pPr>
        <w:spacing w:after="0" w:line="234"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6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FF0FC"/>
          </w:tcPr>
          <w:p>
            <w:pPr>
              <w:spacing w:after="0"/>
              <w:rPr>
                <w:sz w:val="20"/>
                <w:szCs w:val="20"/>
                <w:color w:val="auto"/>
              </w:rPr>
            </w:pP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r>
      <w:tr>
        <w:trPr>
          <w:trHeight w:val="272"/>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580" w:type="dxa"/>
            <w:vAlign w:val="bottom"/>
            <w:tcBorders>
              <w:bottom w:val="single" w:sz="8" w:color="auto"/>
            </w:tcBorders>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4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p>
      <w:pPr>
        <w:spacing w:after="0" w:line="23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4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0"/>
                <w:szCs w:val="20"/>
                <w:color w:val="auto"/>
              </w:rPr>
            </w:pPr>
          </w:p>
        </w:tc>
      </w:tr>
      <w:tr>
        <w:trPr>
          <w:trHeight w:val="24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new lease liabilities:</w:t>
            </w:r>
          </w:p>
        </w:tc>
        <w:tc>
          <w:tcPr>
            <w:tcW w:w="4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2760" w:type="dxa"/>
            <w:vAlign w:val="bottom"/>
            <w:shd w:val="clear" w:color="auto" w:fill="CFF0FC"/>
          </w:tcPr>
          <w:p>
            <w:pPr>
              <w:spacing w:after="0"/>
              <w:rPr>
                <w:sz w:val="21"/>
                <w:szCs w:val="21"/>
                <w:color w:val="auto"/>
              </w:rPr>
            </w:pPr>
          </w:p>
        </w:tc>
        <w:tc>
          <w:tcPr>
            <w:tcW w:w="17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760" w:type="dxa"/>
            <w:vAlign w:val="bottom"/>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647"/>
        </w:trPr>
        <w:tc>
          <w:tcPr>
            <w:tcW w:w="4620" w:type="dxa"/>
            <w:vAlign w:val="bottom"/>
          </w:tcPr>
          <w:p>
            <w:pPr>
              <w:spacing w:after="0"/>
              <w:rPr>
                <w:sz w:val="24"/>
                <w:szCs w:val="24"/>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28</w:t>
            </w:r>
          </w:p>
        </w:tc>
        <w:tc>
          <w:tcPr>
            <w:tcW w:w="1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4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March 31, 2024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r>
      <w:tr>
        <w:trPr>
          <w:trHeight w:val="159"/>
        </w:trPr>
        <w:tc>
          <w:tcPr>
            <w:tcW w:w="9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80" w:type="dxa"/>
            <w:vAlign w:val="bottom"/>
          </w:tcPr>
          <w:p>
            <w:pPr>
              <w:jc w:val="right"/>
              <w:ind w:right="913"/>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r>
      <w:tr>
        <w:trPr>
          <w:trHeight w:val="43"/>
        </w:trPr>
        <w:tc>
          <w:tcPr>
            <w:tcW w:w="90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Pr>
          <w:p>
            <w:pPr>
              <w:spacing w:after="0"/>
              <w:rPr>
                <w:sz w:val="20"/>
                <w:szCs w:val="20"/>
                <w:color w:val="auto"/>
              </w:rPr>
            </w:pP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(5,005 )</w:t>
            </w: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9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20"/>
                <w:szCs w:val="20"/>
                <w:color w:val="auto"/>
              </w:rPr>
            </w:pPr>
          </w:p>
        </w:tc>
      </w:tr>
      <w:tr>
        <w:trPr>
          <w:trHeight w:val="20"/>
        </w:trPr>
        <w:tc>
          <w:tcPr>
            <w:tcW w:w="9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00" w:firstLine="8"/>
        <w:spacing w:after="0" w:line="241" w:lineRule="auto"/>
        <w:tabs>
          <w:tab w:leader="none" w:pos="18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2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March 31, 2024, the Company’s total future unconditional purchase obligations were approximately $3.3 million, including $1.5 million due in the remainder of 2024, $1.6 million due in 2025 and $0.2 million due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2024 and 2031.</w:t>
      </w:r>
    </w:p>
    <w:p>
      <w:pPr>
        <w:spacing w:after="0" w:line="18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As of March 31, 2024 and December 31, 2023, the balance of the guarantee liability was $18.5 million. The Company made no guarantee payment during the three months ended March 31, 2024. During the three months ended March 31, 2023, the Company made guarantee payments of $0.5 million and recognized other income of $0.3 million in the Consolidated Statement of Income as a result of a change in the carrying value of the guarantee liability.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There is no set date for the Federal Court of Appeal of Canada to issue its decision.</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There is no set date for the Federal Court of Appeal of Canada to issue its decision.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30" w:name="page31"/>
    <w:bookmarkEnd w:id="30"/>
    <w:p>
      <w:pPr>
        <w:ind w:right="400"/>
        <w:spacing w:after="0" w:line="265" w:lineRule="auto"/>
        <w:rPr>
          <w:sz w:val="20"/>
          <w:szCs w:val="20"/>
          <w:color w:val="auto"/>
        </w:rPr>
      </w:pPr>
      <w:r>
        <w:rPr>
          <w:rFonts w:ascii="Times New Roman" w:cs="Times New Roman" w:eastAsia="Times New Roman" w:hAnsi="Times New Roman"/>
          <w:sz w:val="18"/>
          <w:szCs w:val="18"/>
          <w:color w:val="auto"/>
        </w:rPr>
        <w:t>The Company is unable to predict the final outcome of other lawsuits, including other patent infringement lawsuits in Canada,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7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to determine the validity and scope of the proprietary rights of others and to defend itself or its customers against claims of infringement or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AND GEOGRAPHIC INFORMATION</w:t>
      </w:r>
    </w:p>
    <w:p>
      <w:pPr>
        <w:spacing w:after="0" w:line="229"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The Company has one reportable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spacing w:after="0" w:line="17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A portion of the Company’s revenue is derived from licensees headquartered outside of the U.S., and it is expected that this revenue will continue to account for a portion of total revenue in future periods. The table below lists the geographic revenue for the periods indicated (in thousands):</w:t>
      </w:r>
    </w:p>
    <w:p>
      <w:pPr>
        <w:spacing w:after="0" w:line="172"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68,439</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82 %</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81,129</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45"/>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28,620</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Middle East</w:t>
            </w: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328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83,405</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-187960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2024 and 2023, there were three and two customers, respectively, that each accounted for 10% or more of total revenue. The following table sets forth revenue generated from customers which comprise 10% or more of total revenue for the periods indicated:</w:t>
      </w:r>
    </w:p>
    <w:p>
      <w:pPr>
        <w:sectPr>
          <w:pgSz w:w="11900" w:h="16838" w:orient="portrait"/>
          <w:cols w:equalWidth="0" w:num="1">
            <w:col w:w="11300"/>
          </w:cols>
          <w:pgMar w:left="320" w:top="120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10% of total revenue.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left="-131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31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13970</wp:posOffset>
            </wp:positionV>
            <wp:extent cx="24314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7" w:lineRule="exact"/>
        <w:rPr>
          <w:sz w:val="20"/>
          <w:szCs w:val="20"/>
          <w:color w:val="auto"/>
        </w:rPr>
      </w:pPr>
    </w:p>
    <w:p>
      <w:pPr>
        <w:ind w:left="24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28575</wp:posOffset>
            </wp:positionV>
            <wp:extent cx="713232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0"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20.6 %</w:t>
      </w:r>
      <w:r>
        <w:rPr>
          <w:sz w:val="20"/>
          <w:szCs w:val="20"/>
          <w:color w:val="auto"/>
        </w:rPr>
        <w:tab/>
      </w:r>
      <w:r>
        <w:rPr>
          <w:rFonts w:ascii="Times New Roman" w:cs="Times New Roman" w:eastAsia="Times New Roman" w:hAnsi="Times New Roman"/>
          <w:sz w:val="17"/>
          <w:szCs w:val="17"/>
          <w:color w:val="auto"/>
        </w:rPr>
        <w:t>14.7 %</w:t>
      </w:r>
    </w:p>
    <w:p>
      <w:pPr>
        <w:spacing w:after="0" w:line="63" w:lineRule="exact"/>
        <w:rPr>
          <w:sz w:val="20"/>
          <w:szCs w:val="20"/>
          <w:color w:val="auto"/>
        </w:rPr>
      </w:pPr>
    </w:p>
    <w:p>
      <w:pPr>
        <w:ind w:left="3220"/>
        <w:spacing w:after="0"/>
        <w:tabs>
          <w:tab w:leader="none" w:pos="5460" w:val="left"/>
        </w:tabs>
        <w:rPr>
          <w:sz w:val="20"/>
          <w:szCs w:val="20"/>
          <w:color w:val="auto"/>
        </w:rPr>
      </w:pPr>
      <w:r>
        <w:rPr>
          <w:rFonts w:ascii="Times New Roman" w:cs="Times New Roman" w:eastAsia="Times New Roman" w:hAnsi="Times New Roman"/>
          <w:sz w:val="18"/>
          <w:szCs w:val="18"/>
          <w:color w:val="auto"/>
        </w:rPr>
        <w:t>12.4 %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220"/>
        <w:spacing w:after="0"/>
        <w:tabs>
          <w:tab w:leader="none" w:pos="546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3460"/>
        <w:spacing w:after="0"/>
        <w:tabs>
          <w:tab w:leader="none" w:pos="5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17.7 %</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760"/>
          </w:cols>
          <w:pgMar w:left="320" w:top="1200" w:right="279" w:bottom="1440" w:gutter="0" w:footer="0" w:header="0"/>
          <w:type w:val="continuous"/>
        </w:sectPr>
      </w:pPr>
    </w:p>
    <w:bookmarkStart w:id="31" w:name="page32"/>
    <w:bookmarkEnd w:id="31"/>
    <w:p>
      <w:pPr>
        <w:spacing w:after="0" w:line="281" w:lineRule="auto"/>
        <w:rPr>
          <w:sz w:val="20"/>
          <w:szCs w:val="20"/>
          <w:color w:val="auto"/>
        </w:rPr>
      </w:pPr>
      <w:r>
        <w:rPr>
          <w:rFonts w:ascii="Times New Roman" w:cs="Times New Roman" w:eastAsia="Times New Roman" w:hAnsi="Times New Roman"/>
          <w:sz w:val="18"/>
          <w:szCs w:val="18"/>
          <w:color w:val="auto"/>
        </w:rPr>
        <w:t>As of March 31, 2024, the Company had one customer representing 60% of aggregate accounts receivable. At December 31, 2023, the Company had two customers representing 42% and 28% of aggregate accounts receivable,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Cash Dividends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On April 25, 2024, the Board declared a cash dividend of $0.05 per share of common stock, payable on June 18, 2024 to the stockholders of record at the close of business on May 28, 2024.</w:t>
      </w:r>
    </w:p>
    <w:p>
      <w:pPr>
        <w:spacing w:after="0" w:line="1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0"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2023 found in the Form 10-K filed by us on February 23, 2023 (the “Form 10-K”). This section of this Form 10-Q generally discusses quarter over quarter comparisons of 2024 against 2023.</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the Company’s ability to achieve the intended benefits of, and its ability to recognize the tax treatment of, the spin-off of its product business; unpredictability and severity of catastrophic events, including, but not limited to, acts of terrorism or outbreak of war or hostilities, natural disasters and future outbreaks or pandemics, each of which may have an adverse impact on the Company’s business, results of operations, and financial condition.</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October 1, 2022, Adeia Inc. (formerly known as Xperi Holding Corporation) (“Adeia”,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3" w:name="page34"/>
    <w:bookmarkEnd w:id="33"/>
    <w:p>
      <w:pPr>
        <w:ind w:right="80"/>
        <w:spacing w:after="0" w:line="255" w:lineRule="auto"/>
        <w:rPr>
          <w:sz w:val="20"/>
          <w:szCs w:val="20"/>
          <w:color w:val="auto"/>
        </w:rPr>
      </w:pPr>
      <w:r>
        <w:rPr>
          <w:rFonts w:ascii="Times New Roman" w:cs="Times New Roman" w:eastAsia="Times New Roman" w:hAnsi="Times New Roman"/>
          <w:sz w:val="18"/>
          <w:szCs w:val="18"/>
          <w:color w:val="auto"/>
        </w:rPr>
        <w:t>Following the Separation, we are a leading IP licensing platform in the consumer and entertainment space, with a diverse portfolio of media and semiconductor intellectual property and over 11,000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spacing w:after="0" w:line="18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approximately 135 employees, with substantially all of our employees located in the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which has arisen in part from the effects of the COVID-19 pandemic, has had, and may continue to have, an adverse impact on our business. The impact to date has included periods of significant volatility in the markets we serve, in particular the broad consumer electronics market. The current macroeconomic environment has also caused challenges and delays in acquiring new customers and executing license renewals. These factors have negatively impacted our financial condition and results of operations, which may result in an impairment of our long-lived assets, including goodwill, and increased credit losses.</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our operations and those of our customers have also been negatively impacted by certain trends arising out of the COVID-19 pandemic and macroeconomic conditions including labor market constraints, shortages of semiconductor components, decreased manufacturing capacities and delays in shipments, product development and product launches. Moreover, United States federal, state and foreign government policies have contributed to a rise of inflation that has increased, and may continue to increase, the cost of our operations and have had, and may continue to have, an adverse effect on demand for our customers’ products and services and in turn our licensing revenues, which has had and may continue to have an adverse effect on our financial performance.</w:t>
      </w:r>
    </w:p>
    <w:p>
      <w:pPr>
        <w:spacing w:after="0" w:line="18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Although a significant portion of our revenue is derived from fixed-fee and minimum-guarantee arrangements from large, well-capitalized customers, our per-unit and variable-fee based revenue will continue to be susceptible to global health concerns, outbreaks, pandemics, armed conflict, market volatility, labor shortages, supply chain disruptions, microchip shortages and market downturns.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three months ended March 31, 2024, as compared to the same period in 2023:</w:t>
      </w:r>
    </w:p>
    <w:p>
      <w:pPr>
        <w:spacing w:after="0" w:line="55" w:lineRule="exact"/>
        <w:rPr>
          <w:sz w:val="20"/>
          <w:szCs w:val="20"/>
          <w:color w:val="auto"/>
        </w:rPr>
      </w:pPr>
    </w:p>
    <w:p>
      <w:pPr>
        <w:ind w:left="1020" w:right="8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$33.9 million, or 28.9%, from $117.3 million in 2023 to $83.4 million in 2024. The decrease was due to the execution of two long-term license agreements with Kioxia and Western Digital in the first quarter of 2023, for which a portion of revenue was recognized up-front in such quarter.</w:t>
      </w:r>
    </w:p>
    <w:p>
      <w:pPr>
        <w:spacing w:after="0" w:line="69"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$1.6 million, or 1.9% from $84.4 million in 2023 to $82.8 million in 2024, driven primarily by a decline in royalty revenue from certain Pay-TV customers in Canada.</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$32.3 million, or 98.2% from $32.9 million in 2023 to $0.6 million in 2024, driven primarily by the execution of long-term license agreements with Kioxia and Western Digital in the first quarter of 2023.</w:t>
      </w:r>
    </w:p>
    <w:p>
      <w:pPr>
        <w:spacing w:after="0" w:line="162"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increased by $3.8 million, or 6.0%, from $63.4 million to $67.2 million. The increase was primarily due to a decrease in accounts receivable and an increase in unbilled contracts receivable, which resulted from collection efforts and multi-year and long-term license agreements executed during the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640"/>
        <w:spacing w:after="0" w:line="312" w:lineRule="auto"/>
        <w:rPr>
          <w:sz w:val="20"/>
          <w:szCs w:val="20"/>
          <w:color w:val="auto"/>
        </w:rPr>
      </w:pPr>
      <w:r>
        <w:rPr>
          <w:rFonts w:ascii="Times New Roman" w:cs="Times New Roman" w:eastAsia="Times New Roman" w:hAnsi="Times New Roman"/>
          <w:sz w:val="17"/>
          <w:szCs w:val="17"/>
          <w:color w:val="auto"/>
        </w:rPr>
        <w:t xml:space="preserve">We derive the majority of our revenue from the licensing of our intellectual property (“IP”) rights to customers. For our revenue recognition policy, including descriptions of revenue-generating activities, refer to “Note 3 –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of the Notes to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results for the periods indicated as a percentage of revenue:</w:t>
      </w:r>
    </w:p>
    <w:p>
      <w:pPr>
        <w:spacing w:after="0" w:line="23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8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r>
      <w:tr>
        <w:trPr>
          <w:trHeight w:val="238"/>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8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r>
      <w:tr>
        <w:trPr>
          <w:trHeight w:val="238"/>
        </w:trPr>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r>
      <w:tr>
        <w:trPr>
          <w:trHeight w:val="247"/>
        </w:trPr>
        <w:tc>
          <w:tcPr>
            <w:tcW w:w="8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r>
      <w:tr>
        <w:trPr>
          <w:trHeight w:val="236"/>
        </w:trPr>
        <w:tc>
          <w:tcPr>
            <w:tcW w:w="7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0"/>
                <w:szCs w:val="20"/>
                <w:color w:val="auto"/>
              </w:rPr>
            </w:pPr>
          </w:p>
        </w:tc>
      </w:tr>
      <w:tr>
        <w:trPr>
          <w:trHeight w:val="247"/>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r>
      <w:tr>
        <w:trPr>
          <w:trHeight w:val="240"/>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20"/>
                <w:szCs w:val="20"/>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r>
      <w:tr>
        <w:trPr>
          <w:trHeight w:val="276"/>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25 %</w:t>
            </w:r>
          </w:p>
        </w:tc>
      </w:tr>
      <w:tr>
        <w:trPr>
          <w:trHeight w:val="632"/>
        </w:trPr>
        <w:tc>
          <w:tcPr>
            <w:tcW w:w="758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r>
      <w:tr>
        <w:trPr>
          <w:trHeight w:val="762"/>
        </w:trPr>
        <w:tc>
          <w:tcPr>
            <w:tcW w:w="7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-1883410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-1883410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-932815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-915670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-932815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-915670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months ended March 31, 2024 and 2023 (in thousands, except for percentages):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4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30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83,405</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(33,902 )</w:t>
            </w:r>
          </w:p>
        </w:tc>
        <w:tc>
          <w:tcPr>
            <w:tcW w:w="5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3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decrease in revenue during the three months ended March 31, 2024, as compared to the same period in 2023, was primarily attributable to the execution of two long-term license agreements with Kioxia and Western Digital in the first quarter of 2023, for which a portion of revenue was recognized up-front in such quarter.</w:t>
      </w:r>
    </w:p>
    <w:p>
      <w:pPr>
        <w:spacing w:after="0" w:line="17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Recurring revenue for the three months ended March 31, 2024 and 2023 were $82.8 million and $84.4 million, respectively. The decrease of $1.6 million was primarily attributable to a decline in royalty revenue from certain Pay-TV customers in Canada.</w:t>
      </w:r>
    </w:p>
    <w:p>
      <w:pPr>
        <w:spacing w:after="0" w:line="163"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Non-recurring revenues for the three months ended March 31, 2024 and 2023 were $0.6 million and $32.9 million, respectively. The decreased was primarily attributable to the execution of long-term license agreements with Kioxia and Western Digital in the first quarter of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 thousands, except for percentages):</w:t>
      </w:r>
    </w:p>
    <w:p>
      <w:pPr>
        <w:spacing w:after="0" w:line="11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4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3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3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increase in R&amp;D expense during the three months ended March 31, 2024, as compared to the same period in 2023, was primarily due to an increase in personnel costs as a result of increased headcount.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(in thousands, except for percentages):</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5"/>
        </w:trPr>
        <w:tc>
          <w:tcPr>
            <w:tcW w:w="3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40"/>
        </w:trPr>
        <w:tc>
          <w:tcPr>
            <w:tcW w:w="3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0"/>
                <w:szCs w:val="20"/>
                <w:color w:val="auto"/>
              </w:rPr>
            </w:pPr>
          </w:p>
        </w:tc>
      </w:tr>
      <w:tr>
        <w:trPr>
          <w:trHeight w:val="234"/>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34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The increase in SG&amp;A expense during the three months ended March 31, 2024, as compared to the same period in 2023, was primarily due to an increase in professional services costs and personnel cost as a result of increased headcount. The increase was partially offset by decreases in advertising expense, credit losses and D&amp;O insurance premiums.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2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Amortization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4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3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(532 )</w:t>
            </w:r>
          </w:p>
        </w:tc>
        <w:tc>
          <w:tcPr>
            <w:tcW w:w="4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3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decrease in amortization expense during the three months ended March 31, 2024, as compared to the same period in 2023, was primarily due to certain intangible assets becoming fully amortized during 2023. The decrease was partially offset by an increase in amortization expense as a result of patents acquired during the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4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3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expense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3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increase in litigation expense during the three months ended March 31, 2024, as compared to the same period in 2023, was primarily due to increased case activity in current litigation matters.</w:t>
      </w:r>
    </w:p>
    <w:p>
      <w:pPr>
        <w:spacing w:after="0" w:line="163"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5"/>
        </w:trPr>
        <w:tc>
          <w:tcPr>
            <w:tcW w:w="3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40"/>
        </w:trPr>
        <w:tc>
          <w:tcPr>
            <w:tcW w:w="3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0"/>
                <w:szCs w:val="20"/>
                <w:color w:val="auto"/>
              </w:rPr>
            </w:pPr>
          </w:p>
        </w:tc>
      </w:tr>
      <w:tr>
        <w:trPr>
          <w:trHeight w:val="234"/>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(1,763 )</w:t>
            </w:r>
          </w:p>
        </w:tc>
        <w:tc>
          <w:tcPr>
            <w:tcW w:w="4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34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decrease in interest expense during the three months ended March 31, 2024, as compared to the same periods in 2023, was primarily due to lower debt balance and amortization of debt discount and issuance costs, partially offset by increased interest rates on our variable interest rate debt due to the rising interest rate environment.</w:t>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anticipate interest expense will continue to decrease in 2024, when compared to 2023, as a result of a full year of a lower debt balance and amortization of debt discount and issuance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4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3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gridSpan w:val="2"/>
          </w:tcPr>
          <w:p>
            <w:pPr>
              <w:spacing w:after="0"/>
              <w:rPr>
                <w:sz w:val="20"/>
                <w:szCs w:val="20"/>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(220 )</w:t>
            </w:r>
          </w:p>
        </w:tc>
        <w:tc>
          <w:tcPr>
            <w:tcW w:w="4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645"/>
        </w:trPr>
        <w:tc>
          <w:tcPr>
            <w:tcW w:w="34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3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98" w:right="239" w:bottom="1440" w:gutter="0" w:footer="0" w:header="0"/>
        </w:sectPr>
      </w:pPr>
    </w:p>
    <w:bookmarkStart w:id="37" w:name="page38"/>
    <w:bookmarkEnd w:id="37"/>
    <w:p>
      <w:pPr>
        <w:ind w:right="160"/>
        <w:spacing w:after="0" w:line="265" w:lineRule="auto"/>
        <w:rPr>
          <w:sz w:val="20"/>
          <w:szCs w:val="20"/>
          <w:color w:val="auto"/>
        </w:rPr>
      </w:pPr>
      <w:r>
        <w:rPr>
          <w:rFonts w:ascii="Times New Roman" w:cs="Times New Roman" w:eastAsia="Times New Roman" w:hAnsi="Times New Roman"/>
          <w:sz w:val="18"/>
          <w:szCs w:val="18"/>
          <w:color w:val="auto"/>
        </w:rPr>
        <w:t>The decrease in other income and expense, net during the three months ended March 31, 2024, as compared to the same periods in 2023, was primarily due to a decrease in realized gains on our investments in marketable securities, partially offset by an increase in interest income from significant financing components from certain revenue contracts.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5"/>
        </w:trPr>
        <w:tc>
          <w:tcPr>
            <w:tcW w:w="34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3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(6,094 )</w:t>
            </w:r>
          </w:p>
        </w:tc>
        <w:tc>
          <w:tcPr>
            <w:tcW w:w="4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3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income tax provision for interim periods is based on the estimated annual effective tax rate adjusted for discrete items during the period. For the three months ended March 31, 2024, and March 31, 2023, we recorded income tax expense of $5.7 million and $11.8 million, respectively, on pretax income of $6.6 million and $40.8 million, respectively. The decrease in income tax expense for the three months ended March 31, 2024, as compared to the same period in the prior year was primarily due to a decrease in pretax income.</w:t>
      </w:r>
    </w:p>
    <w:p>
      <w:pPr>
        <w:spacing w:after="0" w:line="7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effective tax rate varies from the 21% U.S. federal tax rate due to foreign withholding taxes, state income taxes, and unrealized foreign exchange gain or loss from prior year South Korea withholding tax refund claims.</w:t>
      </w:r>
    </w:p>
    <w:p>
      <w:pPr>
        <w:spacing w:after="0" w:line="55"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for the three months ended March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58,024</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12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66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63,352</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(10,988 )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(52,777 )</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(95,088 )</w:t>
            </w:r>
          </w:p>
        </w:tc>
      </w:tr>
    </w:tbl>
    <w:p>
      <w:pPr>
        <w:spacing w:after="0" w:line="9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our operating cash flows and our short-term investments in marketable securities. Cash, cash equivalents and marketable securities were $89.0 million at March 31, 2024, an increase of $5.4 million from $83.6 million at December 31, 2023. This increase primarily resulted from $67.2 million of cash generated from operations, partially offset by $40.1 million in repayment of our long-term debt, $7.7 million in repurchases of common stock associated with tax withholdings on equity awards, $5.4 million in dividends paid, $0.8 million in purchases of property and equipment, and $8.5 million in purchases of intangible assets.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8" w:name="page39"/>
    <w:bookmarkEnd w:id="38"/>
    <w:p>
      <w:pPr>
        <w:ind w:right="300"/>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For information about our material cash requirements, see “Liquidity and Capital Resources” in Part II, Item 7 of our Annual Report on Form 10-K for the year ended December 31, 2023. Other than the principal payments of $40.1 million made by us under the Refinanced Term B Loans during the three months ended March 31, 2024, our cash requirements have not materially changed since December 31, 2023.</w:t>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expect to continue to make additional payments on our existing debt from cash generated from operations. Our material cash requirements include the following contractual and other obligations.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11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 March 2024, we paid quarterly cash dividends of $0.05 per share of common stock. In April 2024, our board of directors (the “Board”) authorized payment of a quarterly cash dividend of $0.05 per share, to be paid in June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12, 2020, our Board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March 31, 2024, we have repurchased an aggregate of approximately 10.0 million shares of common stock at a total cost of $172.2 million at an average price of $17.24. As of March 31, 2024, the total remaining amount available for repurchase under the Plan was $77.8 million. 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Cash flows provided by operations were $67.2 million for the three months ended March 31, 2024, were primarily due to our net income of $0.9 million being adjusted for non-cash items of amortization of intangible assets of $23.2 million, amortization of debt issuance costs of $0.8 million, stock-based compensation expense of $5.1 million and $34.8 million in changes in operating assets and liabilities including payment during the period of employee bonuses earned in 2023.</w:t>
      </w:r>
    </w:p>
    <w:p>
      <w:pPr>
        <w:spacing w:after="0" w:line="182"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Cash flows provided by operations were $63.4 million for the three months ended March 31, 2023, primarily due to our net income of $29.0 million being adjusted for non-cash items of amortization of intangible assets of $23.7 million, deferred income taxes of $2.4 million, amortization of debt issuance costs of $1.2 million and stock-based compensation expense of $3.6 million. These increases were partially offset by $2.5 million in changes in operating assets and liabilities including payment during the quarter of employee bonuses earned in 2022.</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$11.0 million for the three months ended March 31, 2024, primarily related to purchases of short-term investments of $11.2 million, purchases of property and equipment of $0.8 million, purchases of intangible assets of $8.5 million, and proceeds from maturities of investments of $9.5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$0.4 million for the three months ended March 31, 2023, primarily related to capital expenditures.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semiconductor production and test equipment. During the three months ended March 31, 2024 and 2023, we spent $0.8 million and $0.4 million on capital expenditures, respectively, and we expect capital expenditures in the remainder of 2024 to be approximately $2.0 million. Our capital expenditures for intangible assets consists primarily of acquired patents. During the three months ended March 31, 2024, we spent $8.5 million on purchases of intangible assets.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was $52.8 million for the three months ended March 31, 2024 due to $40.1 million in repayment of indebtedness, $5.4 million in dividends paid, $7.7 million in repurchases of common stock for tax withholdings on equity awards, partially offset by $0.5 million in proceeds from the issuance of common stock under our employee stock grant programs and employee stock purchase plans.</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was $95.1 million for the three months ended March 31, 2023 due to $83.6 million in repayment of indebtedness, $5.3 million in dividends paid, $6.6 million in repurchases of common stock, partially offset by $0.4 million in proceeds from the issuance of common stock under our employee stock grant programs and employee stock purchase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8, 2021, we amended (the “Amendment”) that certain Credit Agreement dated June 1, 2020 by and among us,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us with additional flexibility under the covenant governing restricted payments. We commenced repaying quarterly installments under the Refinanced Term B Loans in the third quarter of 2021.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40" w:name="page41"/>
    <w:bookmarkEnd w:id="40"/>
    <w:p>
      <w:pPr>
        <w:spacing w:after="0" w:line="254" w:lineRule="auto"/>
        <w:rPr>
          <w:sz w:val="20"/>
          <w:szCs w:val="20"/>
          <w:color w:val="auto"/>
        </w:rPr>
      </w:pPr>
      <w:r>
        <w:rPr>
          <w:rFonts w:ascii="Times New Roman" w:cs="Times New Roman" w:eastAsia="Times New Roman" w:hAnsi="Times New Roman"/>
          <w:sz w:val="18"/>
          <w:szCs w:val="18"/>
          <w:color w:val="auto"/>
        </w:rPr>
        <w:t>On May 30, 2023, we amended the 2020 Credit Agreement to replace the reference to LIBOR as the base rate with the reference to the Secured Overnight Financing Rate “SOFR” as administered by the Federal Reserve Bank of New York. At March 31, 2024, $561.1 million was outstanding under the Refinanced Term B Loans with an interest rate, including unamortized debt discount and issuance costs of $14.8 million. Interest is payable monthly. Under the existing loan agreements, we have future minimum principal payments for our debt of $30.4 million in the remainder of 2024, $40.5 million each year from 2025 through 2027, with the remaining principal balance of $409.3 million due in 2028. After the Separation, we own the debt under the Refinanced B Term Loans. Additionally, we paid $29.1 million during the three months ended March 31, 2024, based on certain leverage ratios and our excess cash flow generated for the year ended December 31, 2023. We are obligated to continue to pay a portion of excess cash flows on an annual basis. The Refinanced Term B Loans contain customary covenants, and as of March 31, 2024, we were in full compliance with such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there were no significant changes in our critical accounting policies and estimates. See “Note 2 –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Significant Accounting Policies</w:t>
      </w:r>
      <w:r>
        <w:rPr>
          <w:rFonts w:ascii="Times New Roman" w:cs="Times New Roman" w:eastAsia="Times New Roman" w:hAnsi="Times New Roman"/>
          <w:sz w:val="18"/>
          <w:szCs w:val="18"/>
          <w:color w:val="auto"/>
        </w:rPr>
        <w:t>” of Notes to Condensed Consolidated Financial Statements for additional detail. For a discussion of our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policies and estimates, see Part II, Item 7 –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Condensed Consolidated Financial Statements for a full description of recent accounting pronouncements including the respective expected dates of adoption.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 discussion of our market risk, see Part II, Item 7A –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our Annual Report on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and other intellectual property rights (“IP”), to enforce the terms of license agreements, to protect trade secrets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ordinary course of our IP licensing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There is no set date for the Federal Court of Appeal of Canada to issue its decision.</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The trial is scheduled to start on January 13,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 and Telus Patent Infringement Litigation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 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ind w:right="80"/>
        <w:spacing w:after="0" w:line="258" w:lineRule="auto"/>
        <w:rPr>
          <w:sz w:val="20"/>
          <w:szCs w:val="20"/>
          <w:color w:val="auto"/>
        </w:rPr>
      </w:pPr>
      <w:r>
        <w:rPr>
          <w:rFonts w:ascii="Times New Roman" w:cs="Times New Roman" w:eastAsia="Times New Roman" w:hAnsi="Times New Roman"/>
          <w:sz w:val="18"/>
          <w:szCs w:val="18"/>
          <w:color w:val="auto"/>
        </w:rPr>
        <w:t>prevailing party in patent litigation is entitled to reimbursement of certain of its costs and expenses. Accordingly, we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There is no set date for the Federal Court of Appeal to issue its decision.</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trial is scheduled to start on April 28,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January 16, 2024, Shaw submitted a pre-motion letter to the Court requesting leave of the Court to file a motion to dismiss the complaint. On January 19, 2024, Adeia Media submitted a letter to the Court in response to Shaw’s pre-motion letter. The Court has yet to rule on Shaw’s pre-motion letter. The trial date has not been set.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Corp. (f.k.a. Twitter) Litigation</w:t>
      </w:r>
    </w:p>
    <w:p>
      <w:pPr>
        <w:spacing w:after="0" w:line="229"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On August 7, 2023, Adeia Media LLC (“Adeia Media”) filed a complaint against X Corporation (“X Corp.”) in California Superior Court for Santa Clara County alleging breach of contract by X Corp. for failure to pay royalties owed to Adeia Media under the patent license agreement between the parties. On October 2, 2023, X Corp. filed its answer to the complaint, asserting a general denial of the allegations and causes of action in the complaint and asserting affirmative defenses. The trial date has not been set.</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November 28, 2023, X Corp. filed a complaint for declaratory judgment of patent noninfringement (“DJ Complaint”) in the United States District Court for the Northern District of California against Adeia Inc., Adeia Media LLC and Adeia Guides Inc. (collectively, “Adeia Media”) alleging that it had terminated the patent license agreement between the companies and seeking a finding that it does not infringe four Adeia Media patents. On January 16, 2024, Adeia Media filed a motion to dismiss the DJ Complaint for lack of subject matter jurisdiction.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Part 1, Item 1A. of our Annual Report on Form 10-K for the year ended December 31, 2023, which is incorporated by reference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there were no Rule 10b5-1 plans or non-Rule 10b5-1 trading arrangements adopted, modified or terminated by any director or officer of the Company.</w:t>
      </w:r>
    </w:p>
    <w:p>
      <w:pPr>
        <w:spacing w:after="0" w:line="1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980" w:right="10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0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0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7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c>
          <w:tcPr>
            <w:tcW w:w="2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Rule 13a-14(b)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and 18 U.S.C. Section 1350, as 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2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540" w:right="3580" w:hanging="5519"/>
        <w:spacing w:after="0" w:line="79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3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ADEIA INC.</w:t>
      </w:r>
    </w:p>
    <w:p>
      <w:pPr>
        <w:spacing w:after="0" w:line="305" w:lineRule="exact"/>
        <w:rPr>
          <w:sz w:val="20"/>
          <w:szCs w:val="20"/>
          <w:color w:val="auto"/>
        </w:rPr>
      </w:pPr>
    </w:p>
    <w:p>
      <w:pPr>
        <w:ind w:left="614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26035</wp:posOffset>
            </wp:positionV>
            <wp:extent cx="28854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8544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Keith A. Jones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0"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760" w:right="140" w:hanging="3"/>
        <w:spacing w:after="0" w:line="265" w:lineRule="auto"/>
        <w:tabs>
          <w:tab w:leader="none" w:pos="9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760" w:right="520" w:hanging="3"/>
        <w:spacing w:after="0" w:line="265" w:lineRule="auto"/>
        <w:tabs>
          <w:tab w:leader="none" w:pos="9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760" w:right="640" w:hanging="3"/>
        <w:spacing w:after="0" w:line="312" w:lineRule="auto"/>
        <w:tabs>
          <w:tab w:leader="none" w:pos="94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20" w:hanging="3"/>
        <w:spacing w:after="0" w:line="265" w:lineRule="auto"/>
        <w:tabs>
          <w:tab w:leader="none" w:pos="9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60" w:right="60" w:hanging="3"/>
        <w:spacing w:after="0" w:line="281" w:lineRule="auto"/>
        <w:tabs>
          <w:tab w:leader="none" w:pos="9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60" w:hanging="3"/>
        <w:spacing w:after="0" w:line="281" w:lineRule="auto"/>
        <w:tabs>
          <w:tab w:leader="none" w:pos="9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Paul E. Davis</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0"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760" w:right="140" w:hanging="3"/>
        <w:spacing w:after="0" w:line="265" w:lineRule="auto"/>
        <w:tabs>
          <w:tab w:leader="none" w:pos="9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760" w:right="520" w:hanging="3"/>
        <w:spacing w:after="0" w:line="265" w:lineRule="auto"/>
        <w:tabs>
          <w:tab w:leader="none" w:pos="9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760" w:right="640" w:hanging="3"/>
        <w:spacing w:after="0" w:line="312" w:lineRule="auto"/>
        <w:tabs>
          <w:tab w:leader="none" w:pos="94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20" w:hanging="3"/>
        <w:spacing w:after="0" w:line="265" w:lineRule="auto"/>
        <w:tabs>
          <w:tab w:leader="none" w:pos="9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60" w:right="60" w:hanging="3"/>
        <w:spacing w:after="0" w:line="281" w:lineRule="auto"/>
        <w:tabs>
          <w:tab w:leader="none" w:pos="9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60" w:hanging="3"/>
        <w:spacing w:after="0" w:line="281" w:lineRule="auto"/>
        <w:tabs>
          <w:tab w:leader="none" w:pos="9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Keith A. Jones</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2"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March 31, 2024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spacing w:after="0" w:line="128" w:lineRule="exact"/>
        <w:rPr>
          <w:sz w:val="20"/>
          <w:szCs w:val="20"/>
          <w:color w:val="auto"/>
        </w:rPr>
      </w:pPr>
    </w:p>
    <w:p>
      <w:pPr>
        <w:ind w:left="1020" w:hanging="26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E. Davis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8, 2024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2" w:lineRule="exact"/>
        <w:rPr>
          <w:sz w:val="20"/>
          <w:szCs w:val="20"/>
          <w:color w:val="auto"/>
        </w:rPr>
      </w:pPr>
    </w:p>
    <w:p>
      <w:pPr>
        <w:jc w:val="both"/>
        <w:ind w:right="14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March 31, 2024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28" w:lineRule="exact"/>
        <w:rPr>
          <w:sz w:val="20"/>
          <w:szCs w:val="20"/>
          <w:color w:val="auto"/>
        </w:rPr>
      </w:pPr>
    </w:p>
    <w:p>
      <w:pPr>
        <w:ind w:left="1020" w:hanging="26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Keith A. Jones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8, 2024</w:t>
      </w:r>
    </w:p>
    <w:p>
      <w:pPr>
        <w:spacing w:after="0" w:line="236" w:lineRule="exact"/>
        <w:rPr>
          <w:sz w:val="20"/>
          <w:szCs w:val="20"/>
          <w:color w:val="auto"/>
        </w:rPr>
      </w:pPr>
    </w:p>
    <w:p>
      <w:pPr>
        <w:ind w:right="180" w:firstLine="749"/>
        <w:spacing w:after="0" w:line="314"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2024-05-08T15:25:57Z</dcterms:created>
  <dcterms:modified xsi:type="dcterms:W3CDTF">2024-05-08T15:25:57Z</dcterms:modified>
</cp:coreProperties>
</file>