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46990</wp:posOffset>
            </wp:positionV>
            <wp:extent cx="1320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-115570</wp:posOffset>
            </wp:positionV>
            <wp:extent cx="1320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41" w:lineRule="exact"/>
        <w:rPr>
          <w:sz w:val="24"/>
          <w:szCs w:val="24"/>
          <w:color w:val="auto"/>
        </w:rPr>
      </w:pPr>
    </w:p>
    <w:p>
      <w:pPr>
        <w:ind w:left="3920" w:right="2620" w:hanging="3912"/>
        <w:spacing w:after="0" w:line="301" w:lineRule="auto"/>
        <w:tabs>
          <w:tab w:leader="none" w:pos="251"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22"/>
          <w:szCs w:val="22"/>
          <w:color w:val="auto"/>
        </w:rPr>
      </w:pPr>
    </w:p>
    <w:p>
      <w:pPr>
        <w:ind w:left="548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OR</w:t>
      </w:r>
    </w:p>
    <w:p>
      <w:pPr>
        <w:spacing w:after="0" w:line="194" w:lineRule="exact"/>
        <w:rPr>
          <w:rFonts w:ascii="MS PGothic" w:cs="MS PGothic" w:eastAsia="MS PGothic" w:hAnsi="MS PGothic"/>
          <w:sz w:val="22"/>
          <w:szCs w:val="22"/>
          <w:color w:val="auto"/>
        </w:rPr>
      </w:pPr>
    </w:p>
    <w:p>
      <w:pPr>
        <w:ind w:left="260" w:hanging="252"/>
        <w:spacing w:after="0"/>
        <w:tabs>
          <w:tab w:leader="none" w:pos="26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6" w:lineRule="exact"/>
        <w:rPr>
          <w:rFonts w:ascii="MS PGothic" w:cs="MS PGothic" w:eastAsia="MS PGothic" w:hAnsi="MS PGothic"/>
          <w:sz w:val="22"/>
          <w:szCs w:val="22"/>
          <w:color w:val="auto"/>
        </w:rPr>
      </w:pPr>
    </w:p>
    <w:p>
      <w:pPr>
        <w:ind w:left="4420"/>
        <w:spacing w:after="0"/>
        <w:rPr>
          <w:rFonts w:ascii="MS PGothic" w:cs="MS PGothic" w:eastAsia="MS PGothic" w:hAnsi="MS PGothic"/>
          <w:sz w:val="22"/>
          <w:szCs w:val="22"/>
          <w:color w:val="auto"/>
        </w:rPr>
      </w:pPr>
      <w:r>
        <w:rPr>
          <w:rFonts w:ascii="Times New Roman" w:cs="Times New Roman" w:eastAsia="Times New Roman" w:hAnsi="Times New Roman"/>
          <w:sz w:val="15"/>
          <w:szCs w:val="15"/>
          <w:b w:val="1"/>
          <w:bCs w:val="1"/>
          <w:color w:val="auto"/>
        </w:rPr>
        <w:t>Commission File Number: 001-39304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59690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ADEIA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55880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880" w:type="dxa"/>
            <w:vAlign w:val="bottom"/>
          </w:tcPr>
          <w:p>
            <w:pPr>
              <w:jc w:val="center"/>
              <w:ind w:left="163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tcPr>
          <w:p>
            <w:pPr>
              <w:jc w:val="right"/>
              <w:ind w:right="2252"/>
              <w:spacing w:after="0"/>
              <w:rPr>
                <w:sz w:val="20"/>
                <w:szCs w:val="20"/>
                <w:color w:val="auto"/>
              </w:rPr>
            </w:pPr>
            <w:r>
              <w:rPr>
                <w:rFonts w:ascii="Times New Roman" w:cs="Times New Roman" w:eastAsia="Times New Roman" w:hAnsi="Times New Roman"/>
                <w:sz w:val="14"/>
                <w:szCs w:val="14"/>
                <w:b w:val="1"/>
                <w:bCs w:val="1"/>
                <w:color w:val="auto"/>
              </w:rPr>
              <w:t>84-4734590</w:t>
            </w:r>
          </w:p>
        </w:tc>
        <w:tc>
          <w:tcPr>
            <w:tcW w:w="0" w:type="dxa"/>
            <w:vAlign w:val="bottom"/>
          </w:tcPr>
          <w:p>
            <w:pPr>
              <w:spacing w:after="0"/>
              <w:rPr>
                <w:sz w:val="1"/>
                <w:szCs w:val="1"/>
                <w:color w:val="auto"/>
              </w:rPr>
            </w:pPr>
          </w:p>
        </w:tc>
      </w:tr>
      <w:tr>
        <w:trPr>
          <w:trHeight w:val="152"/>
        </w:trPr>
        <w:tc>
          <w:tcPr>
            <w:tcW w:w="3880" w:type="dxa"/>
            <w:vAlign w:val="bottom"/>
          </w:tcPr>
          <w:p>
            <w:pPr>
              <w:jc w:val="center"/>
              <w:ind w:left="165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40" w:type="dxa"/>
            <w:vAlign w:val="bottom"/>
          </w:tcPr>
          <w:p>
            <w:pPr>
              <w:jc w:val="center"/>
              <w:ind w:right="143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163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40" w:type="dxa"/>
            <w:vAlign w:val="bottom"/>
          </w:tcPr>
          <w:p>
            <w:pPr>
              <w:jc w:val="center"/>
              <w:ind w:right="143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63"/>
        </w:trPr>
        <w:tc>
          <w:tcPr>
            <w:tcW w:w="7400" w:type="dxa"/>
            <w:vAlign w:val="bottom"/>
            <w:gridSpan w:val="5"/>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3025 Orchard Parkway, San Jose, California</w:t>
            </w:r>
          </w:p>
        </w:tc>
        <w:tc>
          <w:tcPr>
            <w:tcW w:w="3840" w:type="dxa"/>
            <w:vAlign w:val="bottom"/>
          </w:tcPr>
          <w:p>
            <w:pPr>
              <w:jc w:val="right"/>
              <w:ind w:right="2432"/>
              <w:spacing w:after="0"/>
              <w:rPr>
                <w:sz w:val="20"/>
                <w:szCs w:val="20"/>
                <w:color w:val="auto"/>
              </w:rPr>
            </w:pPr>
            <w:r>
              <w:rPr>
                <w:rFonts w:ascii="Times New Roman" w:cs="Times New Roman" w:eastAsia="Times New Roman" w:hAnsi="Times New Roman"/>
                <w:sz w:val="14"/>
                <w:szCs w:val="14"/>
                <w:b w:val="1"/>
                <w:bCs w:val="1"/>
                <w:color w:val="auto"/>
              </w:rPr>
              <w:t>95134</w:t>
            </w:r>
          </w:p>
        </w:tc>
        <w:tc>
          <w:tcPr>
            <w:tcW w:w="0" w:type="dxa"/>
            <w:vAlign w:val="bottom"/>
          </w:tcPr>
          <w:p>
            <w:pPr>
              <w:spacing w:after="0"/>
              <w:rPr>
                <w:sz w:val="1"/>
                <w:szCs w:val="1"/>
                <w:color w:val="auto"/>
              </w:rPr>
            </w:pPr>
          </w:p>
        </w:tc>
      </w:tr>
      <w:tr>
        <w:trPr>
          <w:trHeight w:val="183"/>
        </w:trPr>
        <w:tc>
          <w:tcPr>
            <w:tcW w:w="3880" w:type="dxa"/>
            <w:vAlign w:val="bottom"/>
          </w:tcPr>
          <w:p>
            <w:pPr>
              <w:jc w:val="center"/>
              <w:ind w:left="161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40" w:type="dxa"/>
            <w:vAlign w:val="bottom"/>
          </w:tcPr>
          <w:p>
            <w:pPr>
              <w:jc w:val="center"/>
              <w:ind w:right="1432"/>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48"/>
        </w:trPr>
        <w:tc>
          <w:tcPr>
            <w:tcW w:w="3880" w:type="dxa"/>
            <w:vAlign w:val="bottom"/>
          </w:tcPr>
          <w:p>
            <w:pPr>
              <w:spacing w:after="0"/>
              <w:rPr>
                <w:sz w:val="21"/>
                <w:szCs w:val="21"/>
                <w:color w:val="auto"/>
              </w:rPr>
            </w:pPr>
          </w:p>
        </w:tc>
        <w:tc>
          <w:tcPr>
            <w:tcW w:w="2540" w:type="dxa"/>
            <w:vAlign w:val="bottom"/>
            <w:gridSpan w:val="2"/>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(408) 473-2500</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5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0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7"/>
                <w:szCs w:val="7"/>
                <w:color w:val="auto"/>
              </w:rPr>
            </w:pPr>
          </w:p>
        </w:tc>
        <w:tc>
          <w:tcPr>
            <w:tcW w:w="2040" w:type="dxa"/>
            <w:vAlign w:val="bottom"/>
            <w:tcBorders>
              <w:right w:val="single" w:sz="8" w:color="auto"/>
            </w:tcBorders>
          </w:tcPr>
          <w:p>
            <w:pPr>
              <w:jc w:val="center"/>
              <w:ind w:right="477"/>
              <w:spacing w:after="0" w:line="81" w:lineRule="exact"/>
              <w:rPr>
                <w:sz w:val="20"/>
                <w:szCs w:val="20"/>
                <w:color w:val="auto"/>
              </w:rPr>
            </w:pPr>
            <w:r>
              <w:rPr>
                <w:rFonts w:ascii="Times New Roman" w:cs="Times New Roman" w:eastAsia="Times New Roman" w:hAnsi="Times New Roman"/>
                <w:sz w:val="9"/>
                <w:szCs w:val="9"/>
                <w:b w:val="1"/>
                <w:bCs w:val="1"/>
                <w:color w:val="auto"/>
              </w:rPr>
              <w:t>Trading</w:t>
            </w:r>
          </w:p>
        </w:tc>
        <w:tc>
          <w:tcPr>
            <w:tcW w:w="980" w:type="dxa"/>
            <w:vAlign w:val="bottom"/>
            <w:gridSpan w:val="2"/>
          </w:tcPr>
          <w:p>
            <w:pPr>
              <w:spacing w:after="0"/>
              <w:rPr>
                <w:sz w:val="7"/>
                <w:szCs w:val="7"/>
                <w:color w:val="auto"/>
              </w:rPr>
            </w:pPr>
          </w:p>
        </w:tc>
        <w:tc>
          <w:tcPr>
            <w:tcW w:w="3840" w:type="dxa"/>
            <w:vAlign w:val="bottom"/>
            <w:tcBorders>
              <w:right w:val="single" w:sz="8" w:color="auto"/>
            </w:tcBorders>
            <w:vMerge w:val="restart"/>
          </w:tcPr>
          <w:p>
            <w:pPr>
              <w:jc w:val="center"/>
              <w:ind w:right="93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38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980" w:type="dxa"/>
            <w:vAlign w:val="bottom"/>
            <w:tcBorders>
              <w:bottom w:val="single" w:sz="8" w:color="auto"/>
            </w:tcBorders>
            <w:gridSpan w:val="2"/>
          </w:tcPr>
          <w:p>
            <w:pPr>
              <w:spacing w:after="0"/>
              <w:rPr>
                <w:sz w:val="16"/>
                <w:szCs w:val="16"/>
                <w:color w:val="auto"/>
              </w:rPr>
            </w:pPr>
          </w:p>
        </w:tc>
        <w:tc>
          <w:tcPr>
            <w:tcW w:w="38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8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500" w:type="dxa"/>
            <w:vAlign w:val="bottom"/>
            <w:tcBorders>
              <w:bottom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jc w:val="center"/>
              <w:ind w:right="457"/>
              <w:spacing w:after="0" w:line="125" w:lineRule="exact"/>
              <w:rPr>
                <w:sz w:val="20"/>
                <w:szCs w:val="20"/>
                <w:color w:val="auto"/>
              </w:rPr>
            </w:pPr>
            <w:r>
              <w:rPr>
                <w:rFonts w:ascii="Times New Roman" w:cs="Times New Roman" w:eastAsia="Times New Roman" w:hAnsi="Times New Roman"/>
                <w:sz w:val="14"/>
                <w:szCs w:val="14"/>
                <w:color w:val="auto"/>
              </w:rPr>
              <w:t>ADEA</w:t>
            </w:r>
          </w:p>
        </w:tc>
        <w:tc>
          <w:tcPr>
            <w:tcW w:w="980" w:type="dxa"/>
            <w:vAlign w:val="bottom"/>
            <w:tcBorders>
              <w:bottom w:val="single" w:sz="8" w:color="auto"/>
            </w:tcBorders>
            <w:gridSpan w:val="2"/>
          </w:tcPr>
          <w:p>
            <w:pPr>
              <w:spacing w:after="0"/>
              <w:rPr>
                <w:sz w:val="10"/>
                <w:szCs w:val="10"/>
                <w:color w:val="auto"/>
              </w:rPr>
            </w:pPr>
          </w:p>
        </w:tc>
        <w:tc>
          <w:tcPr>
            <w:tcW w:w="3840" w:type="dxa"/>
            <w:vAlign w:val="bottom"/>
            <w:tcBorders>
              <w:bottom w:val="single" w:sz="8" w:color="auto"/>
              <w:right w:val="single" w:sz="8" w:color="auto"/>
            </w:tcBorders>
          </w:tcPr>
          <w:p>
            <w:pPr>
              <w:jc w:val="center"/>
              <w:ind w:right="932"/>
              <w:spacing w:after="0" w:line="125" w:lineRule="exact"/>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51" w:lineRule="exact"/>
        <w:rPr>
          <w:sz w:val="24"/>
          <w:szCs w:val="24"/>
          <w:color w:val="auto"/>
        </w:rPr>
      </w:pPr>
    </w:p>
    <w:p>
      <w:pPr>
        <w:spacing w:after="0"/>
        <w:tabs>
          <w:tab w:leader="none" w:pos="3420" w:val="left"/>
        </w:tabs>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tab/>
        <w:t>None</w:t>
      </w:r>
    </w:p>
    <w:p>
      <w:pPr>
        <w:spacing w:after="0" w:line="3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155"/>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2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60"/>
              <w:spacing w:after="0"/>
              <w:rPr>
                <w:sz w:val="20"/>
                <w:szCs w:val="20"/>
                <w:color w:val="auto"/>
              </w:rPr>
            </w:pPr>
            <w:r>
              <w:rPr>
                <w:rFonts w:ascii="Times New Roman" w:cs="Times New Roman" w:eastAsia="Times New Roman" w:hAnsi="Times New Roman"/>
                <w:sz w:val="13"/>
                <w:szCs w:val="13"/>
                <w:color w:val="auto"/>
              </w:rPr>
              <w:t>Accelerated filer</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2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280" w:type="dxa"/>
            <w:vAlign w:val="bottom"/>
          </w:tcPr>
          <w:p>
            <w:pPr>
              <w:ind w:left="3560"/>
              <w:spacing w:after="0"/>
              <w:rPr>
                <w:sz w:val="20"/>
                <w:szCs w:val="20"/>
                <w:color w:val="auto"/>
              </w:rPr>
            </w:pPr>
            <w:r>
              <w:rPr>
                <w:rFonts w:ascii="Times New Roman" w:cs="Times New Roman" w:eastAsia="Times New Roman" w:hAnsi="Times New Roman"/>
                <w:sz w:val="13"/>
                <w:szCs w:val="13"/>
                <w:color w:val="auto"/>
              </w:rPr>
              <w:t>Emerging growth company</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26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Securities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as of June 30, 2024 was approximately $722,283,679 (based on the closing sale price of the registrant’s common stock as reported on The Nasdaq Global Select Market).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common stock as of February 7, 2025 was 107,508,991.</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2" w:lineRule="exact"/>
        <w:rPr>
          <w:sz w:val="24"/>
          <w:szCs w:val="24"/>
          <w:color w:val="auto"/>
        </w:rPr>
      </w:pPr>
    </w:p>
    <w:p>
      <w:pPr>
        <w:ind w:right="620"/>
        <w:spacing w:after="0"/>
        <w:rPr>
          <w:sz w:val="20"/>
          <w:szCs w:val="20"/>
          <w:color w:val="auto"/>
        </w:rPr>
      </w:pPr>
      <w:r>
        <w:rPr>
          <w:rFonts w:ascii="Times New Roman" w:cs="Times New Roman" w:eastAsia="Times New Roman" w:hAnsi="Times New Roman"/>
          <w:sz w:val="13"/>
          <w:szCs w:val="13"/>
          <w:color w:val="auto"/>
        </w:rPr>
        <w:t>Portions of the registrant’s Proxy Statement for the registrant’s 2025 Annual Meeting of Stockholders will be filed with the Commission within 120 days after the close of the registrant’s 2024 fiscal year and are incorporated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60" w:type="dxa"/>
            <w:vAlign w:val="bottom"/>
            <w:gridSpan w:val="16"/>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ADEIA INC.</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20" w:type="dxa"/>
            <w:vAlign w:val="bottom"/>
            <w:gridSpan w:val="18"/>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40" w:type="dxa"/>
            <w:vAlign w:val="bottom"/>
            <w:gridSpan w:val="19"/>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16"/>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11"/>
            <w:vMerge w:val="restart"/>
          </w:tcPr>
          <w:p>
            <w:pPr>
              <w:jc w:val="center"/>
              <w:ind w:right="442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20" w:type="dxa"/>
            <w:vAlign w:val="bottom"/>
            <w:gridSpan w:val="11"/>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43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2"/>
          </w:tcPr>
          <w:p>
            <w:pPr>
              <w:spacing w:after="0"/>
              <w:rPr>
                <w:sz w:val="17"/>
                <w:szCs w:val="17"/>
                <w:color w:val="auto"/>
              </w:rPr>
            </w:pPr>
          </w:p>
        </w:tc>
        <w:tc>
          <w:tcPr>
            <w:tcW w:w="442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1A.</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1B.</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1C.</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38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7A.</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9A.</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9B.</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9C.</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434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10.</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11.</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12.</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13.</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14.</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gridSpan w:val="14"/>
          </w:tcPr>
          <w:p>
            <w:pPr>
              <w:jc w:val="center"/>
              <w:ind w:right="434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15.</w:t>
            </w:r>
          </w:p>
        </w:tc>
        <w:tc>
          <w:tcPr>
            <w:tcW w:w="4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6"/>
          </w:tcPr>
          <w:p>
            <w:pPr>
              <w:spacing w:after="0"/>
              <w:rPr>
                <w:sz w:val="17"/>
                <w:szCs w:val="17"/>
                <w:color w:val="auto"/>
              </w:rPr>
            </w:pPr>
          </w:p>
        </w:tc>
        <w:tc>
          <w:tcPr>
            <w:tcW w:w="43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16.</w:t>
            </w:r>
          </w:p>
        </w:tc>
        <w:tc>
          <w:tcPr>
            <w:tcW w:w="93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69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9"/>
          </w:tcPr>
          <w:p>
            <w:pPr>
              <w:jc w:val="center"/>
              <w:ind w:left="4090"/>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(this “Annual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the Company’s ability to achieve the intended benefits of, and its ability to recognize the tax treatment of, the spin-off of its product business;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Although forward-looking statements in this Annual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Annual Report and are based on information currently and reasonably known to us. We undertake no obligation to revise or update any forward-looking statements in order to reflect any event or circumstance that may arise after the date of this Annual Report, other than as required by law. Readers are urged to carefully review and consider the various disclosures made in this Annual Report, which attempt to advise interested parties of the risks and factors that may affect our business, financial condition, results of operations and prospects.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3025 Orchard Parkway, San Jose, California. Our telephone number is 408-473-2500. We maintain a corporate website at www.adeia.com. The reference to our website does not constitute incorporation by reference of the information contained on this website. Adeia and the Adeia logo are trademarks or registered trademarks of Adeia Inc. or its affiliated companies in the U.S. All other company, brand and product names may be trademarks or registered trademarks of their respective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(the “Company,” “Adeia,” “we,” “our,” and “us”) are a technology company and an innovation incubator. We have spent decades investing in advanced research and development to create market-leading technologies for the entertainment, media, consumer electronics, and semiconductor industries. Our innovative solutions support practically every aspect of consumers’ day-to-day interaction with media, consumer electronics and entertainment, enabling our customers to build customized, next-generation solutions for users around the globe. Our commitment to and investment in innovation has resulted in a leading intellectual property (“IP”) licensing platform in these industries, with a diverse portfolio of media and semiconductor IP. In order to serve an increasingly connected world, we invent, develop, acquire and license fundamental innovations that enhance billions of devices and shape the way millions of people explore and experience entertainment and technology across a variety of platforms.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Ideas are at the heart of our business and are embedded in our name, which means “to license” in Greek. Licensing these ideas is how we go to market – by making our ideas broadly available to the media and semiconductor industries. Our innovations address one of the biggest consumer trends in entertainment today – the massive proliferation of entertainment content and the rapidly changing habits of how consumers are finding, engaging with and enjoying entertainment and evolving technology, such as AI.</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IP licensing platform provides access to innovations that allow our customers, who are some of the largest media, entertainment, consumer electronics, social media and semiconductor companies in the world, to create cutting-edge technology solutions and products. Our engineers and scientists are focused on innovating and creating the most advanced and forward-thinking solutions to help solve challenges facing the media and semiconductor industries. Our internal innovation engine accounts for approximately 85% of our combined patent portfolio and generates ideas that are converted into our powerful IP, which enables fundamental technologies in our target markets.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 long history of innovation across a diverse set of applications and technologies and have grown an IP portfolio of approximately 12,250 media and semiconductor patent assets, which are specifically designed to meet the evolving needs of businesses and consumers. Our media portfolio covers fundamental aspects of the entertainment experience across platforms, including how users search, save, stream, discover, consume, personalize and interact with content. Many of our media solutions have become ubiquitous across the industry and are being incorporated into emerging solutions that span new and adjacent markets. Our semiconductor portfolio is comprised of patents and technology know-how that enable the new era in semiconductors, including the next generation of logic and memory semiconductors that are powering the increasing demand for generative artificial intelligence applications. Our semiconductor portfolio generally covers three fundamental technology areas, hybrid bonding (or Direct Bond Interconnect (DBI)), advanced processing nodes, and advanced packaging solutions. Specifically, our portfolio enables us to address the semiconductor market demands of higher bandwidth, improved compute performance and cost management in heterogeneous integration.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Separation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February 2022, Xperi Holding Corporation (“Xperi Hold Co”) introduced “Adeia” as the new brand for its IP licensing business. On October 1, 2022, Xperi Hold Co’s product business was separated from Xperi Hold Co through a tax-efficient spin-off transaction (the “Separation”) and became an independent, publicly-traded company named Xperi Inc. The IP licensing business was retained by Xperi Hold Co, which was renamed Adeia Inc.</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Following the Separation, Xperi Inc. became an independent, publicly-traded company, and we retain no ownership interest in Xperi Inc. Xperi Inc.’s historical financial results for periods prior to the Separation are reflected in our consolidated financial statements as discontinued operations for the periods presented. For further details, refer to “Note 9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Notes to Consolidated Financial Statements in Item 8 of Part II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adopted a proactive strategy designed to protect and extend our technology and IP. We continue to grow our patent portfolios in size and relevance through ongoing investment in internal innovation, strategic management and targeted acquisitions within our expanding addressable markets.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 our business primarily by licensing our innovations to leading companies in the broader media and semiconductor industries and companies adopting new technologies that will help drive these industries forward. License arrangements include access to one or more of our foundational IP portfolios and may also include access to some of our industry-leading technologies and proven know-how.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 Strategy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invent, develop, and license fundamental innovations that shape the way millions of people explore and experience entertainment and enhance media services that span billions of devices in an increasingly connected world. From TVs to smartphones, in almost any place you can think of, from home to work to on the go, and in all types of entertainment experiences, from Pay-TV to over-the-top (“OTT”) to social media and to the metaverse, managing content and connections in a way that is smart, immersive, and personal is precisely what our innovations do.</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patented innovations broadly cover all aspects of the entertainment experience, including (i) guidance, (ii) discovery, (iii) search, (iv) recommendations, (v) multi-screen, (vi) personalization, (vii) data analytics, (viii) advertising, (ix) computer vision, (x) content storage and (xi) high-performance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123190</wp:posOffset>
            </wp:positionV>
            <wp:extent cx="5683250" cy="3917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325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01" w:right="539" w:bottom="1440" w:gutter="0" w:footer="0" w:header="0"/>
        </w:sectPr>
      </w:pPr>
    </w:p>
    <w:bookmarkStart w:id="5" w:name="page6"/>
    <w:bookmarkEnd w:id="5"/>
    <w:p>
      <w:pPr>
        <w:ind w:right="20"/>
        <w:spacing w:after="0" w:line="258" w:lineRule="auto"/>
        <w:rPr>
          <w:sz w:val="20"/>
          <w:szCs w:val="20"/>
          <w:color w:val="auto"/>
        </w:rPr>
      </w:pPr>
      <w:r>
        <w:rPr>
          <w:rFonts w:ascii="Times New Roman" w:cs="Times New Roman" w:eastAsia="Times New Roman" w:hAnsi="Times New Roman"/>
          <w:sz w:val="18"/>
          <w:szCs w:val="18"/>
          <w:color w:val="auto"/>
        </w:rPr>
        <w:t>We license our patented media innovations for use with traditional linear television, both in North America and internationally, as well as in connection with OTT and social media services that provide access to entertainment inside and outside the home on a broad array of devices. We believe the continued growth of video consumption, the evolution of how consumers explore and experience video, and the need for content storage and high-performance computing present new opportunities for us to continue to develop patentable innovations, expand the industries we serve and license additional patent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Strategy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semiconductor business invents, develops, and licenses the fundamental technologies that enable the current and next generation devices that we use to watch and enjoy entertainment. We are focused on two emerging technologies, hybrid bonding and advanced processing nodes, both of which address semiconductor market demands for higher bandwidth, improved compute performance and cost management with 2.5 and 3D heterogeneous integration. We license our patented innovations to leading semiconductor companies, and partner with the industry to accelerate the adoption of these technologies. We believe that the multi-generational nature of our DBI platforms will be beneficial to the greater semiconductor sector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-8255</wp:posOffset>
            </wp:positionV>
            <wp:extent cx="5854700" cy="1689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4700"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Recently, we have also launched a co-optimization effort that builds on our core fundamental semiconductor IP. Co-optimization is a holistic approach whereby the circuit design, process design and system design are optimized simultaneously. We believe that co-optimization is necessary given the limitations of Moore’s Law and that we are uniquely positioned to capitalize on this need given our existing portfolio of semiconductor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 Portfolio Licensing Markets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business has a strong foundation of recurring, annual revenue. That revenue is derived from licensing our patent portfolios across multiple markets, including:</w:t>
      </w:r>
    </w:p>
    <w:p>
      <w:pPr>
        <w:spacing w:after="0" w:line="50" w:lineRule="exact"/>
        <w:rPr>
          <w:sz w:val="20"/>
          <w:szCs w:val="20"/>
          <w:color w:val="auto"/>
        </w:rPr>
      </w:pPr>
    </w:p>
    <w:p>
      <w:pPr>
        <w:ind w:left="1020" w:right="20" w:hanging="503"/>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Multichannel Video Programming Distributors (“MVPD”): </w:t>
      </w:r>
      <w:r>
        <w:rPr>
          <w:rFonts w:ascii="Times New Roman" w:cs="Times New Roman" w:eastAsia="Times New Roman" w:hAnsi="Times New Roman"/>
          <w:sz w:val="18"/>
          <w:szCs w:val="18"/>
          <w:color w:val="auto"/>
        </w:rPr>
        <w:t>includes cable, satellite and telecommunications television providers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and distribute linear content over their own networks (MVPDs), as well as television providers that aggregate and stream linear content over broadband networks (virtual MVPDs). Customers typically pay us a monthly per-subscriber fee and include many of the leading MVPDs and virtual MVPDs such as Altice USA (including Optimum), AT&amp;T (including DirecTV and DirecTV Stream), Charter, Comcast (including Sky), Cox, DISH Network (including Sling TV), Google (including YouTube TV), Verizon and Vodafone.</w:t>
      </w:r>
    </w:p>
    <w:p>
      <w:pPr>
        <w:spacing w:after="0" w:line="71" w:lineRule="exact"/>
        <w:rPr>
          <w:rFonts w:ascii="Times New Roman" w:cs="Times New Roman" w:eastAsia="Times New Roman" w:hAnsi="Times New Roman"/>
          <w:sz w:val="18"/>
          <w:szCs w:val="18"/>
          <w:color w:val="auto"/>
        </w:rPr>
      </w:pPr>
    </w:p>
    <w:p>
      <w:pPr>
        <w:ind w:left="1020" w:hanging="503"/>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OTT Video Service Providers: </w:t>
      </w:r>
      <w:r>
        <w:rPr>
          <w:rFonts w:ascii="Times New Roman" w:cs="Times New Roman" w:eastAsia="Times New Roman" w:hAnsi="Times New Roman"/>
          <w:sz w:val="18"/>
          <w:szCs w:val="18"/>
          <w:color w:val="auto"/>
        </w:rPr>
        <w:t>includes subscription video-on-demand (“SVOD”) and free advertising-supported streaming service (FAST)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that offer online services and devices that enable internet streaming and downloading of movies, television shows, music and other types of media content, as well as content providers, networks and media companies that provide content directly to consumers through a variety of business models. Customers have typically paid us fixed fees for specified periods of time and include some of the leading media companies and services including Amazon (including Amazon Prime), DAZN, Google (including YouTube), Starz and Peacock.</w:t>
      </w:r>
    </w:p>
    <w:p>
      <w:pPr>
        <w:spacing w:after="0" w:line="71" w:lineRule="exact"/>
        <w:rPr>
          <w:rFonts w:ascii="Times New Roman" w:cs="Times New Roman" w:eastAsia="Times New Roman" w:hAnsi="Times New Roman"/>
          <w:sz w:val="18"/>
          <w:szCs w:val="18"/>
          <w:color w:val="auto"/>
        </w:rPr>
      </w:pPr>
    </w:p>
    <w:p>
      <w:pPr>
        <w:ind w:left="1020" w:right="200" w:hanging="503"/>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Electronics (“CE”) Manufacturers: </w:t>
      </w:r>
      <w:r>
        <w:rPr>
          <w:rFonts w:ascii="Times New Roman" w:cs="Times New Roman" w:eastAsia="Times New Roman" w:hAnsi="Times New Roman"/>
          <w:sz w:val="18"/>
          <w:szCs w:val="18"/>
          <w:color w:val="auto"/>
        </w:rPr>
        <w:t>includes producers of content access points such as smart televisions, streaming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devices, video game consoles, mobile devices, content storage devices and other connected media devices. Our CE licenses are typically structured as license fees based on the number of units licensed, for specified products, in defined territories. Our agreements with some of the larger CE manufacturers generally allow customers to ship an unlimited number of units, provided they pay us fixed fees for specified periods of time. Select customers include LG, Panasonic, Roku, Samsung, Sharp, TCL, and Vizio.</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 w:name="page7"/>
    <w:bookmarkEnd w:id="6"/>
    <w:p>
      <w:pPr>
        <w:ind w:left="1020" w:right="20" w:hanging="503"/>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Social Media Companies: </w:t>
      </w:r>
      <w:r>
        <w:rPr>
          <w:rFonts w:ascii="Times New Roman" w:cs="Times New Roman" w:eastAsia="Times New Roman" w:hAnsi="Times New Roman"/>
          <w:sz w:val="18"/>
          <w:szCs w:val="18"/>
          <w:color w:val="auto"/>
        </w:rPr>
        <w:t>includes social media companies that allow users to stream and upload user-generated content, often leveraging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variety of computer vision technologies. Customers have typically paid us fixed fees for specified periods of time and include several of the leading social media companies.</w:t>
      </w:r>
    </w:p>
    <w:p>
      <w:pPr>
        <w:spacing w:after="0" w:line="170" w:lineRule="exact"/>
        <w:rPr>
          <w:rFonts w:ascii="Times New Roman" w:cs="Times New Roman" w:eastAsia="Times New Roman" w:hAnsi="Times New Roman"/>
          <w:sz w:val="18"/>
          <w:szCs w:val="18"/>
          <w:color w:val="auto"/>
        </w:rPr>
      </w:pPr>
    </w:p>
    <w:p>
      <w:pPr>
        <w:ind w:left="1020" w:right="14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Semiconductors: </w:t>
      </w:r>
      <w:r>
        <w:rPr>
          <w:rFonts w:ascii="Times New Roman" w:cs="Times New Roman" w:eastAsia="Times New Roman" w:hAnsi="Times New Roman"/>
          <w:sz w:val="18"/>
          <w:szCs w:val="18"/>
          <w:color w:val="auto"/>
        </w:rPr>
        <w:t>includes providers of memory, logic, sensors, and radio frequency (“RF”) devices commonly used in electronic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mobile phones, laptops, PCs, game consoles and servers. Our agreements with our semiconductor customers can include fixed fees, per-unit fees, milestone based fees, or a combination of these fees. These agreements are typically for specified periods of time, and our customers include Kioxia, Micron, OmniVision, Samsung, SK hynix, Sony, UMC and Western Digital.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grow our business with several specific opportunities, including:</w:t>
      </w:r>
    </w:p>
    <w:p>
      <w:pPr>
        <w:spacing w:after="0" w:line="221" w:lineRule="exact"/>
        <w:rPr>
          <w:sz w:val="20"/>
          <w:szCs w:val="20"/>
          <w:color w:val="auto"/>
        </w:rPr>
      </w:pPr>
    </w:p>
    <w:p>
      <w:pPr>
        <w:ind w:left="1020" w:right="4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Greater penetration in OTT: </w:t>
      </w:r>
      <w:r>
        <w:rPr>
          <w:rFonts w:ascii="Times New Roman" w:cs="Times New Roman" w:eastAsia="Times New Roman" w:hAnsi="Times New Roman"/>
          <w:sz w:val="18"/>
          <w:szCs w:val="18"/>
          <w:color w:val="auto"/>
        </w:rPr>
        <w:t>The OTT market is currently experiencing explosive growth. For example, the leading provider of SVOD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has worldwide subscribers in excess of 200 million. While these services have significantly lower ARPUs as compared to traditional Pay-TV, the scale of the overall OTT video market continues to grow and presents an increasingly important licensing opportunity for our business. In December of 2024 we announced that Amazon signed a multi-year license agreement for access to our media portfolio. Amazon is a top five provider of OTT services and we believe represents a significant proof point that our fundamental innovations from our patent portfolios are similarly relevant to these new and widely-adopted OTT video services.</w:t>
      </w:r>
    </w:p>
    <w:p>
      <w:pPr>
        <w:spacing w:after="0" w:line="182" w:lineRule="exact"/>
        <w:rPr>
          <w:rFonts w:ascii="Times New Roman" w:cs="Times New Roman" w:eastAsia="Times New Roman" w:hAnsi="Times New Roman"/>
          <w:sz w:val="18"/>
          <w:szCs w:val="18"/>
          <w:color w:val="auto"/>
        </w:rPr>
      </w:pPr>
    </w:p>
    <w:p>
      <w:pPr>
        <w:ind w:left="1020" w:right="120" w:hanging="503"/>
        <w:spacing w:after="0" w:line="25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 the Semiconductor licensing business: </w:t>
      </w:r>
      <w:r>
        <w:rPr>
          <w:rFonts w:ascii="Times New Roman" w:cs="Times New Roman" w:eastAsia="Times New Roman" w:hAnsi="Times New Roman"/>
          <w:sz w:val="18"/>
          <w:szCs w:val="18"/>
          <w:color w:val="auto"/>
        </w:rPr>
        <w:t>With the rising cost and complexity of developing cutting-edge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processes, the industry is increasingly looking beyond Moore’s Law towards advanced packaging and 3D integration technologies. Leveraging the combination of our highly-experienced technologists, scientists and engineers and our advanced research and development (“R&amp;D”) labs, we continue to develop industry-leading 3D integration solutions such as hybrid bonding that meet the demand for greater functionality, higher performance and smaller size for the next generation of electronics.</w:t>
      </w:r>
    </w:p>
    <w:p>
      <w:pPr>
        <w:spacing w:after="0" w:line="179" w:lineRule="exact"/>
        <w:rPr>
          <w:rFonts w:ascii="Times New Roman" w:cs="Times New Roman" w:eastAsia="Times New Roman" w:hAnsi="Times New Roman"/>
          <w:sz w:val="18"/>
          <w:szCs w:val="18"/>
          <w:color w:val="auto"/>
        </w:rPr>
      </w:pPr>
    </w:p>
    <w:p>
      <w:pPr>
        <w:ind w:left="1020" w:hanging="503"/>
        <w:spacing w:after="0" w:line="25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into new and adjacent markets: </w:t>
      </w:r>
      <w:r>
        <w:rPr>
          <w:rFonts w:ascii="Times New Roman" w:cs="Times New Roman" w:eastAsia="Times New Roman" w:hAnsi="Times New Roman"/>
          <w:sz w:val="18"/>
          <w:szCs w:val="18"/>
          <w:color w:val="auto"/>
        </w:rPr>
        <w:t>With the proliferation of media discovery and distribution and computer vision technologies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and adjacent markets outside of our current MVPD, OTT, and social media markets, new opportunities have emerged for us to leverage our existing IP portfolios to seek license arrangements with many new companies. Some of these new markets include companies that provide advertising technology, automotive, e-commerce, gaming, and music streaming products and services. We have begun to see traction in these adjacent markets and announced a new e-commerce deal with a leading luxury retailer in November of 2024.</w:t>
      </w:r>
    </w:p>
    <w:p>
      <w:pPr>
        <w:spacing w:after="0" w:line="179"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of MVPD licensing internationally: </w:t>
      </w:r>
      <w:r>
        <w:rPr>
          <w:rFonts w:ascii="Times New Roman" w:cs="Times New Roman" w:eastAsia="Times New Roman" w:hAnsi="Times New Roman"/>
          <w:sz w:val="18"/>
          <w:szCs w:val="18"/>
          <w:color w:val="auto"/>
        </w:rPr>
        <w:t>We continue to license MVPDs internationally and have already successfully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leading providers. Licensing unlicensed international MVPD providers presents a significant opportunity for expanding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demonstrated by our portfolio of industry recognized, widely-deployed, advanced technologies and IP, we have a long track record of innovating in the fields of media and semiconductors. We believe that ongoing investment in R&amp;D is required for us to remain competitive in the markets we serve. Today, we have a collection of world-class talent and strong R&amp;D capabilities. Our ongoing investment in R&amp;D, which is supported by a strong industry network of partners, enables us to create original inventions which shape and anticipate future market trends in markets we serve. We continue to focus our R&amp;D efforts on IP development and next generation technology solutions, including semiconductor hardware research, machine learning, generative AI and advanced algorithm development. Our R&amp;D projects follow a forward-looking technology roadmap and execute a pragmatic technology strategy to position us with a sustainable competitive advantage for decades to 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the exclusionary nature of patent rights, we do not compete, in a traditional sense, with other patent holders for patent licensing relationships. Other patent holders do not have the same rights to the inventions and technologies encompassed by our patent portfolio. In any service, device, or piece of equipment that contains IP, the provider or manufacturer may need to obtain licenses from multiple holders of the IP. In licensing our patent portfolios, we compete with other patent holders for a share of the licensing fees that comprise the total potential revenue that is supported by a certain service or product.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Our Investment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operate in an industry in which innovation, investment in new ideas and protection of our IP rights are critical for success. We protect our innovations and inventions through a variety of means, including applying for patent protection domestically and internationally. As of December 31, 2024, we held approximately 12,250 patent and patent applications worldwide, including approximately 5,400 United States issued patents and 1,870 patent applications, as well as approximately 3,725 foreign issued patents and 1,250 patent applications. The last of our currently issued patents are set to expire in May 2044. From time to time, we acquire complementary IP portfolios. Our criteria for patent acquisitions include: compatibility with our existing portfolios, the number and jurisdiction of patent assets, the technical and legal strength of the patents, the actual or likely adoption by the industry and the economic value of the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are engaged with and have successfully licensed and transferred our technologies to many companies, some of the companies that use our patented technologies have nonetheless chosen not to enter into license agreements with us. Consequently, we have, at times, initiated litigation to enforce our IP rights and protect our investment. We view litigation as an instrument of last resort, and we use it only when our efforts to reach negotiated licenses have stalled or failed. If we are unable to secure license agreements on favorable terms through negotiations, or if licensees do not comply with the terms of their licenses, we might have to file new litigation to enforce our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opportunities for our success and growth depend in large part on our ability to attract, develop and retain a talented and engaged workforce. In particular, we are competing for technical talent and we need to offer not only robust and attractive compensation packages but also provide broad opportunities for our employees to make an impact, grow and develop. As of December 31, 2024, we had a talent base consisting of approximately 150 full-time employees, with substantially all of our employees located in the U.S.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enable our talent to actively contribute to, and have a positive impact on, our overall business and culture, we develop and maintain a set of programs and initiatives. These programs and initiatives include competitive compensation and benefits offerings, company culture initiatives, diversity and inclusion initiatives and goal and performance management. In support of these efforts, our Board of Directors monitors many of these programs and initiatives and provides guidance and feedback as appropriate. Our goal is to provide a work environment that empowers our teams and enables employees to enjoy a healthy and productive work-life balance for themselves, their families and our community.</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incentives are based on merits, and we have a strong pay-for-performance culture. We benchmark our total rewards annually to ensure our compensation and benefit programs remain competitive with industry peers. Our compensation framework for employees reflects a combination of fixed and variable pay including base salary, bonuses, performance awards and stock-based compensation. We offer competitive employee benefits that are designed to meet or exceed local laws.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invest in the career growth of our employees by providing a wide range of development opportunities, including face-to-face (where possible), virtual, social and self-directed learning, mentoring, coaching, training and external development. We also conduct annual assessments of employees to identify development needs based on department goals. We believe in the principles of a learning organization and strive to provide continuous educational opportunities for our employees.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leverage our manager ecosystem to align corporate goals with employee objectives. We have delivered management training and supplementary resources to enable our management community to provide excellent support and guidance to their teams. Employees are encouraged to create and align individual, functional and team-based goals, track performance against goals, write self-evaluations and provide feedback to supervisors or management members.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None of our employees are covered by a collective bargaining agreement or are represented by a labor union. We have not experienced any organized work stoppages, and we consider the relationships with our employees to be positive.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internet address is www.adeia.com, where we make available, free of charge, our annual reports on Form 10-K, quarterly reports on Form 10-Q, current reports on Form 8-K and any amendments to those reports, as soon as reasonably practicable after we electronically file such material with, or furnish it to, the SEC. Our SEC reports can be accessed through the investor relations section of our website. The information found on our website is not incorporated into this or any other report we file with or furnish to the SEC.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Operations</w:t>
      </w:r>
    </w:p>
    <w:p>
      <w:pPr>
        <w:spacing w:after="0" w:line="22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IP licensing business is dependent on the strength of our patent portfolios.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 into IP license agreements that have fixed expiration dates and if, upon expiration or termination, we are unable to renew or replace such license agreements on terms favorable to us, our results of operations could be harmed.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and enforce our IP rights, contract rights, and our confidential information, our business will suffer.</w:t>
      </w:r>
    </w:p>
    <w:p>
      <w:pPr>
        <w:spacing w:after="0" w:line="117" w:lineRule="exact"/>
        <w:rPr>
          <w:rFonts w:ascii="Times New Roman" w:cs="Times New Roman" w:eastAsia="Times New Roman" w:hAnsi="Times New Roman"/>
          <w:sz w:val="18"/>
          <w:szCs w:val="18"/>
          <w:color w:val="auto"/>
        </w:rPr>
      </w:pPr>
    </w:p>
    <w:p>
      <w:pPr>
        <w:ind w:left="1020" w:right="240" w:hanging="503"/>
        <w:spacing w:after="0" w:line="312"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use adequate mechanisms to protect our technology and IP, or if a court fails to enforce our IP rights, our business will suffer. We cannot be certain that these protection mechanisms can be successfully asserted in the future or will not be invalidated or challenged.</w:t>
      </w:r>
    </w:p>
    <w:p>
      <w:pPr>
        <w:spacing w:after="0" w:line="31" w:lineRule="exact"/>
        <w:rPr>
          <w:rFonts w:ascii="Times New Roman" w:cs="Times New Roman" w:eastAsia="Times New Roman" w:hAnsi="Times New Roman"/>
          <w:sz w:val="17"/>
          <w:szCs w:val="17"/>
          <w:color w:val="auto"/>
        </w:rPr>
      </w:pPr>
    </w:p>
    <w:p>
      <w:pPr>
        <w:ind w:left="1020" w:right="8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nature of our business, we could continue to be involved in a number of costly litigation, arbitration and administrative proceedings to enforce or defend our IP rights and to defend our licensing practices.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IP license agreements contain “most favored nations” clauses, which may restrict our ability to offer more competitive terms to other customers in the future.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make strategic decisions about our patent portfolios. Although we seek to focus our operations in areas where we see the potential for growth and to divest assets where we see more limited opportunities, dispositions we decide to undertake may involve risks, and the anticipated benefits of such actions may not be realized.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and timing of our IP license agreements may cause fluctuations in our quarterly or annual financial results.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IP license agreements may convert to fully paid-up licenses at the expiration of their terms, or upon the occurrence of certain events, and in such event, we will not receive fees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success of our business is partially dependent on a royalty-based business model, which is inherently risky.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and cash flow is dependent upon our customers’ sales and other factors that are beyond our control or are difficult to forecast.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22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which could adversely affect our financial position.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may expose us to interest rate risk, which could cause our debt costs to increase significantly.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our debt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 is dependent on cash flow generated by our subsidiaries.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interpretations of, tax rules and regulations, could adversely affect our effective tax rates and negatively affect our business and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to offset future taxable income may be subject to limitations.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121" w:lineRule="exact"/>
        <w:rPr>
          <w:sz w:val="20"/>
          <w:szCs w:val="20"/>
          <w:color w:val="auto"/>
        </w:rPr>
      </w:pPr>
    </w:p>
    <w:p>
      <w:pPr>
        <w:ind w:left="1020" w:right="4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governmental regulations, new interpretations of existing laws, including legislative initiatives, or judicial or regulatory decisions regarding IP rights or the internet could cause uncertainties and result in harm to our business.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of trade relations between the United States and China, other trade conflicts and barriers, economic sanctions, and national security protection policies could limit or prevent existing or potential customers from doing business with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w:t>
      </w:r>
    </w:p>
    <w:p>
      <w:pPr>
        <w:spacing w:after="0" w:line="121" w:lineRule="exact"/>
        <w:rPr>
          <w:sz w:val="20"/>
          <w:szCs w:val="20"/>
          <w:color w:val="auto"/>
        </w:rPr>
      </w:pPr>
    </w:p>
    <w:p>
      <w:pPr>
        <w:ind w:left="1020" w:right="2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the expected benefits of the Separation, and we may not enjoy the same benefits of diversity, leverage and market reputation that we previously enjoyed as a combined company.</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together with certain related transactions, were to fail to qualify for non-recognition treatment for U.S. federal income tax purposes, then we could be subject to significant tax liability.</w:t>
      </w:r>
    </w:p>
    <w:p>
      <w:pPr>
        <w:spacing w:after="0" w:line="53"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we assumed, and indemnified Xperi Inc. for certain liabilities. If we are required to make payments pursuant to these indemnities, we may need to divert cash to meet those obligations and our financial results could be negatively impacted. In addition, Xperi Inc. assumed, and must indemnify us for certain liabilities. These indemnities may not be sufficient to insure us against the full amount of liabilities for which we will be allocated responsibility, and Xperi Inc. may not be able to satisfy its indemnification obligations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21"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operating results may vary, which may cause the price of our common stock to decline.</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or pay dividends at a consistent rate, and any decrease in or suspension of the dividend could cause our stock price to decline.</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repurchase program could increase the volatility of the price of our common stock, and the program may be suspended or terminated at any time, which may cause the trading price of our common stock to decline.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certificate of incorporation and bylaws or Delaware law might delay or prevent a change of control transaction and depress the market price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IP licensing business is dependent on the strength of our patent portfolios.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derive our revenue from patent licenses and technology transfer agreements. The success of our business depends on our ability to continue to develop, acquire, and enforce patents that address the evolving needs of the industries in which our current or future customers operate. We devote significant resources to developing and acquiring such patents and we must continue to do so in the future to remain competitive. Competition for acquiring such patents is intense and there is no assurance that we can continue to acquire such patents on favorable terms or develop such patents in a timely or economical fashion. Furthermore, our patents will expire in the future, the timing of which varies from jurisdiction to jurisdiction. Our current U.S. issued patents expire at various times through the next two decades. Consequently, we need to develop or acquire successful innovations and obtain patents on those innovations, or acquire new patents from third parties, before our current patents expire. Our failure to do so could significantly harm our business, financial position, results of operations, and cash flows.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IP license agreements that have fixed expiration dates and if, upon expiration or termination, we are unable to renew or replace such license agreements on terms favorable to us, our results of operations could be harmed.</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enter into IP license agreements that have fixed expiration dates. Upon expiration of such agreements, we need to renew or replace these agreements in order to maintain our revenue base. If we are unable to replace the revenue from an expiring license, either through a renewal of such license or with licenses from other customers, our results of operations could be adversely impacted as compared to periods prior to such expiration.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not be able to continue entering into licenses on terms that are favorable to us, which could harm our results of operations. While we have expanded our licensable technology portfolio through internal development and third-party acquisitions, there is no guarantee that these measures will lead to continued revenue. If we fail to continue to do business with our current customers, our business would be materially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0" w:name="page11"/>
    <w:bookmarkEnd w:id="10"/>
    <w:p>
      <w:pPr>
        <w:ind w:right="220"/>
        <w:spacing w:after="0" w:line="258" w:lineRule="auto"/>
        <w:rPr>
          <w:sz w:val="20"/>
          <w:szCs w:val="20"/>
          <w:color w:val="auto"/>
        </w:rPr>
      </w:pPr>
      <w:r>
        <w:rPr>
          <w:rFonts w:ascii="Times New Roman" w:cs="Times New Roman" w:eastAsia="Times New Roman" w:hAnsi="Times New Roman"/>
          <w:sz w:val="18"/>
          <w:szCs w:val="18"/>
          <w:color w:val="auto"/>
        </w:rPr>
        <w:t>Furthermore, a small number of our customers represent a significant percentage of our revenue. For the year ended December 31, 2024, five customers represented 49.6% of aggregate revenue. Agreements with some of these customers do not require any minimum license fees. Consumer demand for our technologies can shift quickly as many of the markets in which we serve are rapidly evolving. As a result, these customers may lose subscribers, which would reduce our revenue. Accordingly, the possibility that a customer, including a customer that represents a significant portion of our revenue, may reduce or eliminate its use of our technologies, presents a risk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and enforce our IP rights, contract rights, and our confidential information, our business will suffer.</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rely primarily on a combination of license, development and nondisclosure agreements and other contractual provisions, as well as IP laws, to protect our technology and IP. If we fail to protect our technology or IP, including by failing to enforce the terms of our contracts or IP rights through litigation, our customers and others may seek to use our technology and IP without a license or without the payment of license fees, which could weaken our competitive position, reduce our operating results and increase the likelihood of costly litigation.</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Others may also develop new technologies that are similar or superior to our technologies, duplicate our technologies or design around our technologies. The growth of our business depends in large part on our ability to secure IP rights in a timely manner, our ability to convince third parties of the applicability of our IP rights to their products and services, and our ability to enforce our IP rights.</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attempt to obtain patent protection for our innovations, and our license agreements typically include both issued patents and pending patent applications. If we fail to file for patents in a timely manner or if the patents issued to us do not cover all of the inventions disclosed in our patent applications, others could use portions of our technology and IP without a license or without the payment of license fees. For example, our business may suffer if we are unable to obtain patent protection in a timely manner from the US Patent and Trademark Office.</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use adequate mechanisms to protect our technology and IP, or if a court fails to enforce our IP rights, our business will suffer. We cannot be certain that these protection mechanisms can be successfully asserted in the future or will not be invalidated or challenged.</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 the laws and enforcement regimes of certain countries may not protect our technology and IP to the same extent as do the laws and enforcement regimes of the U.S. In certain jurisdictions we may be unable to protect our technology and IP adequately against unauthorized use, which could adversely affect our business.</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times, we are engaged in disputes regarding the licensing of our IP rights, including matters related to our license fees and other terms of our licensing arrangements. These types of disputes can be asserted by our customers, prospective customers, or by other third parties as part of negotiations with us or in private actions seeking monetary damages or injunctive relief, or in regulatory actions. Any such disputes, regardless of their merit, could be difficult and costly to defend or settle and could adversely impact our revenue. Damages and requests for injunctive relief asserted in disputes like these could be significant and could be disruptive to our business.</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nature of our business, we could continue to be involved in a number of costly litigation, arbitration and administrative proceedings to enforce or defend our IP rights and to defend our licensing practices.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While some companies seek licenses before they commence manufacturing and/or selling products, services or solutions that use our patented inventions, most do not. Consequently, we proactively approach companies and seek to establish license agreements for using our inventions. We expend significant time and effort identifying users and potential users of our inventions and negotiating license agreements with companies, including those that may be reluctant to pay for licenses to our IP. However, if we believe that a third party is required to take a license to our patents in order to manufacture, sell, offer for sale, import or use products and services, we have in the past commenced, and may in the future, commence legal or administrative action against the third party if they refuse to enter into a license agreement with us. For example, in November 2024, our affiliates filed complaints against The Walt Disney Company and certain of its affiliates in the United States District Court for the District of Delaware as well as in courts in Germany, The Netherlands and Brazil alleging infringement of our patents. This and other legal or administrative actions may prove costly. In addition, in connection with such legal or administrative actions to defend our IP rights and our licensing practices, we have faced, and could continue to face, counterclaims and other legal proceedings that claim that our patents are invalid, unenforceable or not infringed. Litigation adversaries have also filed against us, and other third parties may in the future file, validity challenges such as Inter Partes Review proceedings in the USPTO, which can lead to delays of our patent infringement actions as well as potential findings of invalidity. Further, in certain jurisdictions where we may pursue protections of our IP rights, if we are unsuccessful in litigation, we may be liable for the costs of defendants that receive favorable rulings. Given the nature of our business, such proceedings could have a material adverse effect on our business,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IP license agreements contain “most favored nations” clauses, which may restrict our ability to offer more competitive terms to other customers in the future.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our license agreements contain “most favored nation” clauses, which typically provide that if we enter into an agreement with another customer on more favorable terms, we must offer some of those terms to our existing customers. We have entered into a number of license agreements with terms that differ in some respects from those contained in other agreements. These agreements may obligate us to provide different, more favorable, terms to customers, which could, if applied, result in lower revenue or otherwise adversely affect our business, financial condition, and results of operations. While we believe that we have appropriately complied with the most favored nation terms included in our license agreements, these contracts are complex and other parties could reach a different conclusion that, if enforced, could have an adverse effect on our financial condition or results of operations. Disputes over such terms may be costly, difficult and time-consuming to resolve, and could divert our management’s attention and resources.</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regularly make strategic decisions about our patent portfolios. Although we seek to focus our operations in areas where we see the potential for growth and to divest assets where we see more limited opportunities, dispositions we decide to undertake may involve risks, and the anticipated benefits of such actions may not be realized.</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From time to time, we intend to make strategic decisions about our patent portfolio, whether through a formal portfolio review or opportunistic dispositions. Cost savings expectations of any portfolio review are inherently uncertain and, therefore, we cannot provide assurance that we will achieve any expected or actual cost savings from any such action. Our portfolio review activities may place substantial demands on our management, which could lead to the diversion of management’s attention from other business priorities. Any assets that we divest could turn out to be more valuable than we had anticipated, and we may not realize the anticipated benefits of any strategic decision about our patent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structure and timing of our IP license agreements may cause fluctuations in our quarterly or annual financial results.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we enter into IP license agreements that include pricing or payment terms that may result in quarter-to-quarter or year-over-year fluctuations in our revenue and cash flows. Further, we recognize both recurring and non-recurring revenue in various periods depending on the timing and content of the contractual arrangements. See “Management’s Discussion and Analysis of Financial Condition and Results of Operations – Critical Accounting Policies and Estimates - Revenue Recognition.” As a result, the effects of these terms may cause our aggregate annual revenue to fluctuate significantly or to grow less rapidly than annual growth in the applicable end market. Additionally, our customers may fail to pay, delay payment of, or underpay what they owe to us under our IP license agreements, which may in turn require us to enforce our contractual rights through legal proceedings, resulting in payment amounts and timing different than expected based on the terms of our license agreements. This also may cause our revenue and cash flows to fluctuate on a quarter-to-quarter or year-over-year basis.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IP license agreements may convert to fully paid-up licenses at the expiration of their terms, or upon the occurrence of certain events, and in such event we will not receive fees thereafter.</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entered and may continue to enter into semiconductor IP license agreements that automatically convert to fully paid-up licenses upon expiration of a specified term or upon the occurrence of certain events. We may not receive further fees from customers for any licensed technology under those agreements if they convert to fully paid-up licenses because such customers will be entitled to continue using some, if not all, of the relevant IP or technology under the terms of the license agreements without further payment, even if relevant patents or technologies are still in effect. If we cannot find another source of fees to replace the fees from these license agreements converting to fully paid-up licenses, our results of operations following such conversion would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long-term success of our business is partially dependent on a royalty-based business model, which is inherently risky.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long-term success of our business is partially dependent on royalties paid to us by customers. Fees under our licenses may be based upon, among other things, the number of subscribers for Pay-TV, a per-unit sold basis, or a fixed quarterly or annual amount. We are dependent upon our ability to structure, negotiate, and enforce agreements for the determination and payment of such fees, as well as upon our customers’ compliance with their agreements. We face risks inherent in a license-based business model, many of which are outside of our control, such as the following:</w:t>
      </w:r>
    </w:p>
    <w:p>
      <w:pPr>
        <w:spacing w:after="0" w:line="7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subscribers our Pay-TV customers have;</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 incorporation of our technology by semiconductor manufacturers, assemblers, foundries, and manufacturers of consumer and communication electronics;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products that incorporate our licensed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supply and demand for products using our licensed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downturns;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poor financial performance of our customers.</w:t>
      </w:r>
    </w:p>
    <w:p>
      <w:pPr>
        <w:spacing w:after="0" w:line="22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and cash flow is dependent upon our customers’ sales and other factors that are beyond our control or are difficult to forecast.</w:t>
      </w:r>
    </w:p>
    <w:p>
      <w:pPr>
        <w:spacing w:after="0" w:line="15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portion of our revenue is dependent on sales by our customers that are outside our control and that could be negatively affected by a variety of factors, including global, regional and/or country-specific economic conditions and/or public health concerns, outbreaks or pandemics, country-specific natural disasters, hostilities, or armed conflicts impacting licensee manufacturing and sales, demand and buying patterns of end users, which are often driven by replacement and innovation cycles, the service life of products incorporating our technologies, competition for our customers’ products, supply chain disruptions, and any decline in the sale prices our customers receive for their covered products and services. The foregoing factors are difficult to forecast and could adversely affect both our quarterly and annual operating results and financial condition.</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customers to continue paying their obligations under their license agreements to provide us cash flow, and our customers may delay, refuse to or be unable to make payments to us due to financial difficulties or otherwise.</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Most of our customers sign multi-year agreements with us providing for periodic payments through the term of the agreement. As such, we are dependent upon our customers to make timely payments to provide us with our cash flows. A number of our customers may face severe financial difficulties from time to time, which may result in their inability to make payments to us in a timely manner, or at all. In addition, we have had a history of, and we may in the future experience, customers that delay or refuse to make payments owed to us under IP license or settlement agreements, which may result in us filing lawsuits to enforce our rights. For example, in October of 2023, our affiliates filed a complaint against Shaw Cablesystems G.P. and Shaw Satellite G.P. (together “Shaw”) in the United States District Court for the Southern District of New York, alleging breach of contract for failure to pay royalties under a license agreement. Such lawsuits can require us to devote significant time and resources to enforce our rights. Our customers may also merge with or may shift the manufacture of licensed products to companies that are not currently customers of our technology. This could make the collection process complex, difficult and costly, which could adversely impact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for us to verify royalty amounts owed to us under our IP license agreements, and this may cause us to lose revenue.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terms of our IP license agreements often require our customers to report on the number of subscribers or unit sales on a periodic basis. However, we may have difficulty independently determining whether our customers are reporting such data accurately. In addition, although our license terms generally give us the right to audit books and records of our customers to verify this information, audits can be expensive, time consuming, potentially detrimental to our ongoing business relationships with our customers and, in some cases, may not be cost justified based on our understanding of our customers’ businesses.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competitive risks in the provision of IP licenses to the industries that we serve, including the entertainment industry and electronic industries.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Due to the exclusionary nature of patent rights, we do not compete, in a traditional sense, with other patent holders for patent licensing relationships. Other patent holders do not have the same rights to the inventions and technologies encompassed by our patent portfolio. However, our future success depends on our ability to establish and maintain licensing relationships with companies in the industries that we currently serve and may enter in the future, including Pay-TV service providers, consumer electronics manufacturers, semiconductor and equipment manufacturers, and the entertainment and electronics businesses.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acquisitions and divestures may adversely affect our business operations or stock price if we cannot successfully execute our strategies.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made several acquisitions and it is our current plan to continue to acquire assets, patents or companies that we believe are strategic to our future business. Acquisitions involve challenges in terms of successful integration of IP, technologies, and employees.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Our future success will depend, in part, upon the ability of our management team to manage any growth effectively, requiring our management to:</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and train additional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improve our operational and financial systems, procedures, and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cost structure at an appropriate level based on the revenue and cash we forecast and generate;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multiple concurrent IP development projects;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operations in multiple time zones with different cultures and languages.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not realize the anticipated benefits of the other acquisitions we may complete in the future, and we may not be able to incorporate any acquired IP or technologies with our existing operations, or integrate personnel, systems, processes and operations from the acquired businesses, in which case our business could be harmed.</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Financing for future acquisitions may not be available on favorable terms, or at all. If we use our equity securities to fund the acquisition, it may result in significant dilution to our existing stockholders. If we identify an appropriate acquisition candidate for any of our businesses, we may not be able to negotiate the terms of the acquisition successfully, finance the acquisition or integrate the acquired technologies or employees into our existing business and operations. Future acquisitions and divestitures may not be well-received by the investment community, which may cause the value of our stock to fall. We cannot ensure that we will be able to successfully complete any acquisition or divestiture in the future. Further, the terms of our indebtedness constrain our ability to make and finance additional acquisitions or divestitures.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related to international sales and operations.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derive a portion of our total revenue from operations outside of the United States. Therefore, we face exposure to risks of operating in many foreign countries, including: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complying with a wide variety of complex laws, treaties, regulations and compliance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political or regulatory environments;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and cash flows that may be subject to tax withholding requirements or the imposition of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or other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trade conflict;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other trade barriers;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overseas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approval for significant transactions;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Any one or more of the above factors could adversely affect our international operations and could significantly affect our results of operations, financial condition and cash flows. The results of our operations will be dependent to a large extent upon the global economy. Geopolitical factors such as terrorist activities, armed conflict, global health conditions, outbreaks or pandemics that adversely affect the global economy may adversely affect our operating results and financial condition.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subject to risks associated with compliance with applicable anti-corruption laws, including the Foreign Corrupt Practices Act (FCPA), which generally prohibits companies and their employees and intermediaries from making payments to foreign officials for the purpose of obtaining an advantage or benefits, and requires public companies to maintain accurate books and records and a system of internal accounting controls. Under these laws, companies may be held liable for actions taken by directors, officers, employees, agents, or other partners or representatives. If we or our intermediaries fail to comply with the requirements of the FCPA or similar laws, governmental authorities could commence an investigation or seek to impose civil and criminal fines and penalties which could have a material adverse effect on our business, results of operations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networks and business activities and those of third parties that we utilize in our operations are subject to cybersecurity and stability risks, including information technology system failures, and security breaches.</w:t>
      </w:r>
    </w:p>
    <w:p>
      <w:pPr>
        <w:spacing w:after="0" w:line="15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Despite our provisions for system redundancy and the implementation and integration of security and risk management measures within our internal and external information technology and networking systems, our information technology systems and those of third parties that we utilize in our operations may be subject to security breaches, unauthorized access (malicious or accidental), misuse of information by authorized users, data leaks or unintentional exposure of information, failed processes or other bugs, loss of data, damages from computer viruses or malware, natural disasters, terrorism, telecommunication failures or disruption of service. In addition, our business activities depend on the ability to store and transmit confidential or proprietary information and data securely on our systems and third-party systems and over private, and public networks.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compromise of our ability to store or transmit such information and data securely or reliably, and any costs associated with preventing, assessing or eliminating such problems, could harm our business. Our activities are subject to a number of cybersecurity and stability risks:</w:t>
      </w:r>
    </w:p>
    <w:p>
      <w:pPr>
        <w:spacing w:after="0" w:line="54" w:lineRule="exact"/>
        <w:rPr>
          <w:sz w:val="20"/>
          <w:szCs w:val="20"/>
          <w:color w:val="auto"/>
        </w:rPr>
      </w:pPr>
    </w:p>
    <w:p>
      <w:pPr>
        <w:ind w:left="1020" w:right="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 or licensed encryption and authentication technology, or access or security procedures, may be compromised, breached or otherwise be insufficient to ensure the security of confidential or proprietary information or data, including customer information;</w:t>
      </w:r>
    </w:p>
    <w:p>
      <w:pPr>
        <w:spacing w:after="0" w:line="53"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damage from unauthorized access, computer viruses, ransomware, system interference or destruction, “denial of service” attacks and other disruptive problems, whether intentional or accidental, that may inhibit or prevent access to our websites and infrastructure, or cause confidential or proprietary information to be disclosed to a perpetrator, others or the general public;</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hackers could circumvent our integrated risk management processes and security measures and misappropriate our information, or our customers’ proprietary information or content, interrupt operations, or jeopardize our licensing arrangements, many of which are contingent on our sustaining appropriate security protections;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inadvertently disclose confidential or proprietary information.</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foregoing risks also applies to the computer systems of third parties that we rely upon in our operations, including providers of cloud storage and services. The occurrence of any of these or similar events could damage our business, hurt our ability to license IP and collect revenue, threaten the proprietary or confidential nature of our technology, harm our reputation, increase the costs of our ongoing cybersecurity monitoring, protections and enhancements, require us to incur significant expenses to evaluate, address, remediate or resolve such issues and expose us to litigation and other liabilities. Because some of our technologies are intended to inhibit use of or restrict access to our customers’ IP, we may become the target of hackers or other persons whose use of, or access to, our customers’ IP is affected by our technologies. Also, hackers may, for financial gain or other motives, seek to infiltrate or damage our systems, or obtain sensitive business information or customer information from our systems. Further, the use of artificial intelligence by cybercriminals may increase the frequency and severity of cybersecurity attacks against us or our third-party vendors and clients. We also may be exposed to customer claims, or other liability, in connection with any security breach or inadvertent disclosure. We may be required to expend significant capital or other resources to protect against the threat of security breaches, hacker attacks or system malfunctions or to alleviate and remediate problems caused by such breaches, attacks or failures.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any of our key personnel or are unable to attract, train and retain qualified personnel, we may not be able to execute our business strategy effectively.</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the continued contributions of our key management, IP, sales, marketing, legal and finance personnel, many of whom are highly skilled and would be difficult to replace. None of our senior management or key sales personnel are bound by written employment contracts that require them to remain with us for a specified period. In addition, we do not currently maintain key-person life insurance covering our key personnel or have restrictions on their post-employment ability to solicit our employees, contractors or customers if key personnel voluntarily terminate their employment. The loss of any of our senior management or other key personnel could harm our ability to implement our business strategy and respond to the rapidly changing market conditions in which we operate. Our future success will depend to a significant extent on the ability of these executives to effectively drive execution of our business strategy, and on the ability of our management team to work together effectively.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 w:name="page16"/>
    <w:bookmarkEnd w:id="15"/>
    <w:p>
      <w:pPr>
        <w:spacing w:after="0" w:line="255" w:lineRule="auto"/>
        <w:rPr>
          <w:sz w:val="20"/>
          <w:szCs w:val="20"/>
          <w:color w:val="auto"/>
        </w:rPr>
      </w:pPr>
      <w:r>
        <w:rPr>
          <w:rFonts w:ascii="Times New Roman" w:cs="Times New Roman" w:eastAsia="Times New Roman" w:hAnsi="Times New Roman"/>
          <w:sz w:val="18"/>
          <w:szCs w:val="18"/>
          <w:color w:val="auto"/>
        </w:rPr>
        <w:t>Our success also depends on our ability to attract, train and retain highly skilled managerial, sales, marketing, legal and finance personnel and on the abilities of new personnel to function effectively, both individually and as a group. Competition for qualified personnel is intense, particularly in the technology industry in which we operate, and we may not be successful in attracting and retaining such personnel. If we fail to attract and retain qualified employees, including internationally, our ability to grow our business could be harmed. In order to attract and retain personnel in a competitive marketplace, we believe that we must provide a competitive compensation package, including cash and equity-based compensation. Some of the companies with which we compete for experienced personnel may be able to offer more attractive terms of employment to potential candidates. Volatility in our stock price may from time to time adversely affect our ability to recruit or retain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which could adversely affect our financial position.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we had $487.1 million of total debt outstanding under our 2024 Term Loan B. Our 2024 Term Loan B is guaranteed by us and our wholly-owned material domestic subsidiaries and are secured by substantially all of our and the subsidiary guarantors’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may:</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our cash flow or obtain additional financing for future working capital, capital expenditures, acquisitions or other general business purposes;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and industry conditions.</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ability to meet our debt service obligations will depend on our future performance, which will be subject to financial, business and other factors affecting our operations, many of which are beyond our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may expose us to interest rate risk, which could cause our debt costs to increase significantly.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December 31, 2024, we had $487.1 million of outstanding indebtedness that is subject to floating interest rates. Changes in economic conditions outside of our control could result in higher interest rates, thereby increasing our interest expense and reducing the funds available for capital investment, operations or other purposes. At December 31, 2024, a 1% increase in the effective interest rate on our outstanding debt throughout a one-year period would result in an annual increase in our interest expense of approximately $4.8 million. Any significant increase in our interest expense could negatively impact our results of operations and cash flows and also our ability to pay dividends in the future. If the U.S. Federal Reserve raises its benchmark interest rate through one or more rate hikes, the increases would likely impact the borrowing rate on our outstanding indebtedness and increase our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our debt obligations.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and interest on our indebtedness when due.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timely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the absence of cash flows and capital resources, we could face substantial liquidity problems and might be required to dispose of material assets or operations to meet our debt service and other obligations. Our credit agreement restricts our ability to dispose of assets, use the proceeds from any disposition of assets and refinance our indebtedness. We may not be able to consummate those dispositions or to maximize the proceeds that we could realize from them and these proceeds may not be adequate to meet any debt service obligations then due.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of debt is dependent on cash flow generated by our subsidiaries.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subsidiaries own a significant portion of our assets and conduct substantially all of our operations. Each subsidiary is a distinct legal entity, and, under certain circumstances, legal and contractual restrictions may limit our ability to obtain cash from our subsidiaries. Our subsidiaries may not be able to, or may not be permitted to, make distributions to enable us to make payments in respect of our indebtedness. Additionally, distributions from our non-U.S. subsidiaries may be subject to foreign withholding taxes and would be subject to U.S. federal and state income tax which could reduce the net cash available for principal and interest payments.</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could be impaired, which could increase our operating costs and affect our ability to operate our business.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Ensuring that we have adequate internal controls and procedures in place to facilitate the production of accurate financial statements on a timely basis is a costly and time-consuming effort that needs to be re-evaluated frequently. We are continually in the process of documenting, reviewing and, if appropriate, improving our internal controls and procedures in connection with Section 404 of the Sarbanes-Oxley Act of 2002, which requires annual management assessments of the effectiveness of our internal control over financial reporting and a report by our independent registered public accountants on the effectiveness of our internal control over financial reporting. If we identify areas for further attention or improvement, implementing any appropriate changes to our internal controls may require specific compliance training of our directors, officers and employees, entail substantial costs in order to modify our existing accounting systems, and take a significant amount of time to complete. We have in the past identified, and may in the future identify, significant deficiencies in the design and operation of our internal controls, which have been or will in the future need to be remediated.</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Finally, in the event we make a significant acquisition, we may face significant challenges in implementing the required processes and procedures in the acquired operations. This could result in an adverse reaction in the financial markets due to investors’ perceptions that our internal controls are inadequate or that we are unable to produce accurate financial statements.</w:t>
      </w:r>
    </w:p>
    <w:p>
      <w:pPr>
        <w:spacing w:after="0" w:line="17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could adversely affect our effective tax rates and negatively affect our business and financial condition.</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subject to U.S. federal and state income taxes, as well as taxes in various international jurisdictions. As a result, our effective tax rate is derived from a combination of applicable tax rates in the various jurisdictions where we operate. In preparing our financial statements, we estimate the amount of tax to accrue in each tax jurisdiction. Nevertheless, our effective tax rate may be different than experienced in the past due to numerous factors, including from the passage of new tax laws, changes in the mix of our profitability from state to state and from country to country, the amount of payments from the Company’s U.S. entities to related foreign entities, the results of examinations and audits of our tax filings, our inability to secure or sustain acceptable agreements with tax authorities and changes in accounting for income taxes. Our future effective tax rates could be unfavorably affected by changes in tax rates, tax laws or the interpretation of tax laws, by changes in the amount of pre-tax income derived from countries with high statutory income tax rates, or by changes in our deferred tax assets and liabilities, including changes in our ability to realize our deferred tax assets. Our effective income tax rate could be unfavorably affected by changes in the amount of sales to customers in countries with high withholding tax rates. Any of these factors could cause us to experience an effective tax rate significantly different from previous periods or our current expectations and may result in tax obligations in excess of amounts accrued in our financial statements.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U.S. federal, U.S. state, and foreign tax jurisdictions may examine our income tax returns, including income tax returns of acquired companies and acquired tax attributes included therein. We regularly assess the likelihood of outcomes resulting from these examinations to determine the adequacy of our provision for income taxes. In making such assessments, we exercise judgment in estimating our provision for income taxes. While we believe our estimates are reasonable, we cannot assure you that the final determination from these examinations will not be materially different from that reflected in our historical income tax provisions and accruals. Any adverse outcome from these examinations may have a material adverse effect on our business and operating results.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tax years beginning on or after January 1, 2022, the Tax Cuts and Jobs Act of 2017 (“TCJA”) eliminated the option to currently deduct research and development expenses and instead requires taxpayers to capitalize and amortize them over five years for research activities performed in the United States and 15 years for research activities performed outside the United States pursuant to IRC Section 174. Although Congress is considering legislation that would repeal or defer this capitalization and amortization requirement, it is not certain that this provision will be repealed or otherwise modified. The new requirement adversely impacts our cash tax liability for 2024, although the negative cash impact is expected to decline annually over the amortization period.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2024, we had U.S. federal and state net operating losses of approximately $2.3 million and $861.2 million, respectively, on a tax return basis. A portion of the state net operating loss carryforwards will begin to expire, if not utilized, in 2025. Net operating losses that expire unused will be unavailable to offset future income tax liabilities. Under the Tax Cuts and Jobs Act, federal net operating losses incurred in 2018 and in future years may be carried forward indefinitely, but the deductibility of such federal net operating losses is limited. In addition, under Sections 382 and 383 of the Internal Revenue Code (the “Code”) and corresponding provisions of state law, if a corporation undergoes an “ownership change,” which is generally defined as a greater than fifty-percent (50%) change, by value, in its equity ownership over a three-year period, the corporation’s ability to use its pre-change net operating loss carryforwards and other pre-change tax attributes to offset its post-change income or taxes may be limited.</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experience ownership changes in the future as a result of subsequent shifts in our stock ownership, some of which may be outside of our control. If an ownership change occurs and our ability to utilize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by us.</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laws and regulations relating to payment of income taxes in the various states and foreign jurisdictions in which we do business, we could be exposed to unexpected costs, expenses, penalties and fees as a result of our noncompliance in which case our business could be harmed.</w:t>
      </w:r>
    </w:p>
    <w:p>
      <w:pPr>
        <w:spacing w:after="0" w:line="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our business grows and expands, we will continue to do business in an increasing number of states nationally and in new foreign jurisdictions. By engaging in business activities in these states and foreign jurisdictions, we become subject to their various laws and regulations, including the payment of income taxes on revenue generated from activities in those states and foreign jurisdictions.</w:t>
      </w:r>
    </w:p>
    <w:p>
      <w:pPr>
        <w:spacing w:after="0" w:line="6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the payment of income taxes are numerous, complex, and vary among states and foreign jurisdictions. If we fail to comply with these laws and regulations requiring the payment of income taxes in one or more states and foreign jurisdictions where we do business, we could be subject to significant costs, expenses, penalties and fees in which case our business would be harmed.</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subsidiaries have in the past recorded, and may in the future record, significant valuation allowances on our deferred tax assets, and the recording and release of such allowances may have a material impact on our results of operations.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need for a valuation allowance requires an assessment of both positive and negative evidence on a jurisdiction-by-jurisdiction basis when determining whether it is more-likely-than-not that deferred tax assets are realizable. In making such assessment, significant weight is given to evidence that can be objectively verified. New facts and circumstances, historic profits or losses, and future financial results may require us to reevaluate our valuation allowance positions which could potentially affect our effective tax rate.</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continue to monitor the likelihood that we will be able to realize our deferred tax assets, including those for which a valuation allowance is recorded. There can be no assurance that we will generate profits in future periods enabling us to fully realize our deferred tax assets. We have applied a valuation allowance on certain state, and foreign deferred tax assets to the extent they are not realizable by utilizing deferred tax liabilities as sources of income. The timing of recording a valuation allowance or the reversal of such valuation allowance is subject to objective factors that cannot be readily predicted in advance. Both the establishment of a valuation allowance and the reversal of a previously recorded valuation allowance may have a material impact on our financial results.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of our cash, cash equivalents and investments in marketable debt and equity securities is subject to risks which may cause losses and affect the liquidity of these investments.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December 31, 2024, we held approximately $78.8 million in cash and cash equivalents and $31.6 million in short-term investments. Short-term investments typically include various financial securities such as corporate bonds and notes, municipal bonds and notes, commercial paper, treasury and agency notes and bills, and money market funds. Although we invest in high quality securities, ongoing financial events have at times adversely impacted the general credit, liquidity, market and interest rates for these and other types of debt securities. Changes in monetary policy by the Federal Reserve, government fiscal policies, and global economic and market conditions may adversely affect the value of our investment portfolio. We may in the future have a need to sell investments before their maturity dates, which could result in losses on the sale of those investments. The financial market and monetary risks associated with our investment portfolio have had and may in the future have a material adverse effect on our financial condition, results of operations or cash flows.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governmental regulations, new interpretations of existing laws, including legislative initiatives, or judicial or regulatory decisions regarding IP rights or the internet could cause uncertainties and result in harm to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 relies in part on the uniform and historically consistent application of U.S. patent laws, rules, and regulations. The standards that courts use to interpret patents are not always applied predictably or uniformly and may evolve, particularly as new technologies develop. For example, the Supreme Court of the United States has modified some legal standards applied by the U.S. Patent and Trademark Office in the examination of U.S. patent applications, which may decrease the likelihood that we will be able to obtain patents and may increase the likelihood of challenges to patents we obtain or license. For example, our patents continue to face challenges in the U.S. from Inter Partes Review proceeding before the Patent Trial and Appeal Board. Historically these types of proceedings have a high rate of invalidation of patents, and patents we have asserted in litigation have been and may continue to be invalidated in such proceedings. Additionally, there have been and may be bills introduced in the U.S. Congress relating to patent law that could adversely impact our business depending on the scope of any bills that may ultimately be enacted into law. Some of these changes or potential changes may not be advantageous for us and may make it more difficult to obtain adequate patent protection, or to enforce our patents against parties using them without a license or payment of royalties. These changes or potential changes could increase the costs and uncertainties surrounding the prosecution of our patent applications and the enforcement of our patent rights. In addition, potential changes in the law, such as with respect to patent exhaustion and permissible licensing practices, could have a negative effect on our ability to license our patents and, therefore, on the royalties we can collect. We may be required to reevaluate and modify our licensing practices and strategies in response to such changes and, given the nature of our business, any resulting modifications could have a material adverse effect on our business and financial condition.</w:t>
      </w:r>
    </w:p>
    <w:p>
      <w:pPr>
        <w:spacing w:after="0" w:line="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Many laws and regulations are pending and may be adopted by the U.S. federal government, individual states and local jurisdictions and other countries with respect to the internet. These laws may relate to many areas that impact our business, including IP rights, privacy and taxation. These types of regulations are likely to differ between countries and other political and geographic divisions. Changes to these laws, or the interpretation thereof, could increase our costs, expose us to increased litigation risk, substantial defense costs and other liabilities or require us or our customers to change business practices. It is difficult to anticipate the impact of current or future laws and regulations on our business. We may have significant expenses associated with staying apprised of and in compliance with local, state, federal, and international legislation and regulation of our business and in presenting the Company’s positions on proposed laws and regulations.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deterioration of trade relations between the United States and China, other trade conflicts and barriers, economic sanctions, and national security protection policies could limit or prevent existing or potential customers from doing business with us.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increased trade conflicts between the United States and its major trading partners in recent years, evidenced by trade restrictions such as tariffs, taxes, export controls, economic sanctions, foreign investment controls and enhanced policies designed to protect national security, have had and may continue to have adverse impact on our revenue if such policies continue. In particular, our business has been impacted due to increased and ongoing trade conflicts between the United States and China. Further United States government actions to protect domestic economic and security interests could lead to further restrictions or additional or increased conflicts. Moreover, growing trade conflicts and uncertainties and foreign investment controls may lead to decreased use of foreign-owned technologies in China and other countries, due to efforts by foreign governments and enterprises to find alternative sources of supply, the development of proprietary domestic technologies, and the reduction of reliance on foreign technology sources. Any such conflicts or trends could have a material adverse impact on our revenue. In addition, any failure by us to comply with these complex restrictions, or other restrictions that may be imposed in the future, in the United States or internationally, could subject us to fines and penalties, require changes to our business practices and result in reputational harm.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achieve the expected benefits of the Separation, and we may not enjoy the same benefits of diversity, leverage and market reputation that we previously enjoyed as a combined company.</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1, 2022, we completed the separation of our product business from our intellectual property (“IP”) licensing business, resulting in two independently traded companies: Xperi Inc., the new holding company for the spun-out product business, and Adeia Inc., our company. We undertook the Separation to achieve certain intended benefits including:</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competing priorities for capital allocation between the product and IP licensing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respective management teams to better focus on strengthening their core businesses and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operational flexibility for both businesses, particularly in dealing with suppliers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streamlining the investment profiles of both businesses and enhancing their marketability;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access to talent by allowing each company to capitalize on their distinct cultures and recruitment strategies.</w:t>
      </w:r>
    </w:p>
    <w:p>
      <w:pPr>
        <w:spacing w:after="0" w:line="2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business (or portions thereof) has historically benefited from our (and, prior to the Mergers, TiVo Corporation and Xperi Corporation’s) operating diversity and purchasing power, as well as opportunities to pursue integrated strategies with our other businesses, including those businesses that were allocated to Xperi Inc. in connection with the Separation. Accordingly, as a result of the Separation and distribution, we will not have similar diversity or integration opportunities and may not have similar purchasing power or access to capital markets. Additionally, as a result of the Separation and distribution, we may become more susceptible to market fluctuations and other adverse events than if Xperi Inc. had remained part of our organizational structure.</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Separation does not continue to provide the benefits we intend, there could be a disruption of our operations, loss of, or inability to recruit, key personnel needed to operate and grow our business and impairment of our key customer relationships. Furthermore, we may be more susceptible to market fluctuations and other adverse events.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together with certain related transactions, were to fail to qualify for non-recognition treatment for U.S. federal income tax purposes, then we could be subject to significant tax liability.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distribution was conditioned on a tax opinion from outside counsel, in form and substance reasonably acceptable to us, substantially to the effect that, among other things, the distribution and certain related transactions will qualify as a tax-free transaction for U.S. federal income tax purposes under Section 355 and Section 368(a)(1)(D) of the Code (the “Tax Opinion”). Additionally, we received a private letter ruling from the IRS, substantially to the effect that, among other things, the distribution, together with certain related transactions, will qualify as a tax-free transaction for U.S. federal income tax purposes under Section 355 and Section 368(a)(1)(D) of the Code (the “IRS Ruling”). The IRS Ruling and the Tax Opinion relied on certain facts, assumptions, and undertakings, and certain representations from us and Xperi Inc., regarding the past and future conduct of both respective businesses and other matters.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Tax Opinion also relied on the continued validity of the IRS Ruling. Notwithstanding the Tax Opinion and the IRS Ruling, the IRS could determine on audit that the distribution or certain related transactions should be treated as a taxable transaction if it determines that any of these facts, assumptions, representations or undertakings are not correct or have been violated, or that the distribution should be taxable for other reasons, including if the IRS were to disagree with the conclusions of the Tax Opinion that are not covered by the IRS Ruling.</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distribution ultimately is determined to be taxable, then our stockholders that received shares of Xperi Inc. common stock in the distribution would be treated as having received a distribution of property in an amount equal to the fair market value of such shares (including any fractional shares sold on behalf of such stockholder) on the distribution date and could incur significant income tax liabilities, and we would recognize corporate level taxable gain on the distribution in an amount equal to the excess, if any, of the fair market value of Xperi Inc. common stock distributed to our stockholders on the distribution date over our tax basis in such stock. In addition, if certain related transactions, including certain transactions undertaken pursuant to our internal reorganization and business realignment, through which we entered into a series of internal reorganization transactions with Xperi Inc. to align our respective product and IP licensing businesses (the “Internal Reorganization and Business Realignment”), that are intended to qualify for tax-free treatment, fail to qualify for tax-free treatment under U.S. federal, state, local tax and/or foreign tax law, we and Xperi Inc. could incur significant tax liabilities and/or lose significant tax attributes under U.S. federal, state, local and/or foreign tax law.</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Even if the distribution otherwise constitutes a tax-free transaction to stockholders under Section 355 of the Code, we may be required to recognize corporate level tax on the distribution and certain related transactions under Section 355(e) of the Code if, as a result of the all-stock merger of equals transaction consummated on June 1, 2020 between TiVo Corporation and Xperi Corporation and their respective consolidated subsidiaries (the “Mergers”) or other transactions considered part of a plan with the distribution, there is a 50 percent or greater change of ownership in us or Xperi Inc.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40"/>
        <w:spacing w:after="0" w:line="253" w:lineRule="auto"/>
        <w:rPr>
          <w:sz w:val="20"/>
          <w:szCs w:val="20"/>
          <w:color w:val="auto"/>
        </w:rPr>
      </w:pPr>
      <w:r>
        <w:rPr>
          <w:rFonts w:ascii="Times New Roman" w:cs="Times New Roman" w:eastAsia="Times New Roman" w:hAnsi="Times New Roman"/>
          <w:sz w:val="18"/>
          <w:szCs w:val="18"/>
          <w:color w:val="auto"/>
        </w:rPr>
        <w:t>Following the Mergers, and in anticipation of the distribution, we sought and received the IRS Ruling, which included a ruling from the IRS regarding the proper manner and methodology for measuring the common ownership of our stock and the stock of TiVo Corporation and Xperi Corporation for purposes of determining whether there has been a 50 percent or greater change of ownership under Section 355(e) of the Code. The Tax Opinion relied on the continued validity of the IRS Ruling, as well as certain factual representations from us as to the extent of common ownership in the stock of TiVo Corporation and Xperi Corporation immediately prior to the Mergers. Based on the representations made by us as to the common ownership in the stock of TiVo Corporation and Xperi Corporation immediately prior to the Mergers and assuming the continued validity of the IRS Ruling, the Tax Opinion concluded that there was not a 50 percent or greater change of ownership for purposes of Section 355(e) as a result of the Mergers. Notwithstanding the Tax Opinion and the IRS Ruling, the IRS could determine that the distribution or a related transaction should nevertheless be treated as a taxable transaction to us if it determines that any of the facts, assumptions, representations or undertakings provided by us are not correct or that the distribution should be taxable for other reasons, including if the IRS were to disagree with the conclusions in the Tax Opinion that are not covered by the IRS Ruling.</w:t>
      </w:r>
    </w:p>
    <w:p>
      <w:pPr>
        <w:spacing w:after="0" w:line="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tax matters agreement that we entered into with Xperi Inc. on October 1, 2022 (the “Tax Matters Agreement”), Xperi Inc. is generally obligated to indemnify us against taxes imposed on us that result from the failure of the distribution to qualify for non-recognition treatment for U.S. federal income tax purposes (including any taxes imposed on us due to the application of Section 355(e) to the distribution), to the extent such failure is attributable to actions, events or transactions relating to Xperi Inc. or its affiliates’ stock, assets or business, or any breach of Xperi Inc.’s representations, covenants or obligations under the Tax Matters Agreement (or certain other agreements it entered into in connection with the separation and distribution) or any breach by Xperi Inc. or its affiliates of representations made in any representation letter provided in connection with the Tax Opinion.</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the distribution fails to qualify for non-recognition treatment for U.S. federal income tax purposes for certain reasons relating to the overall structure of the Mergers and the distribution, then under the Tax Matters Agreement, we and Xperi Inc. would share the tax liability resulting from such failure in accordance with our relative market capitalizations as of the distribution date (determined based on the average trading prices of each company’s stock during the ten trading days beginning on the distribution date).</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distribution or certain related transactions are determined to be taxable for U.S. federal income tax purposes, we could incur significant U.S. federal income tax liabilities. As described above, we may be entitled to indemnification from Xperi Inc. under the Tax Matters Agreement for all or a portion of such tax liabilities. However, if Xperi Inc. fails to indemnify us, as required by the Tax Matters Agreement, or if we are required to recognize tax on the distribution or certain related transactions under circumstances where we are not entitled to indemnification, or if such indemnities are not sufficient to satisfy the full amount of such tax, we could be subject to significant tax liability. Even if we ultimately succeed in recovering from Xperi Inc. any amounts that are subject to indemnification, we may be temporarily required to bear these losses ourselves. Each of these risks could have a material adverse impact on our business, financial condition, results of operations, and cash flows.</w:t>
      </w:r>
    </w:p>
    <w:p>
      <w:pPr>
        <w:spacing w:after="0" w:line="18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we assumed, and indemnified Xperi Inc. for, certain liabilities. If we are required to make payments pursuant to these indemnities, we may need to divert cash to meet those obligations and our financial results could be negatively impacted. In addition, Xperi Inc. assumed, and must indemnify us for certain liabilities. These indemnities may not be sufficient to insure us against the full amount of liabilities for which we will be allocated responsibility, and Xperi Inc. may not be able to satisfy its indemnification obligations in the future.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separation and distribution agreement, the employee matters agreement, and the tax matters agreement with Xperi Inc., we agreed to assume, and indemnify Xperi Inc. for certain liabilities for uncapped amounts, which could include, among other items, associated defense costs, settlement amounts and judgments. Payments pursuant to these indemnities could be significant and could negatively impact our business.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Third parties could also seek to hold us responsible for any of the liabilities allocated to Xperi Inc., including those related to Xperi Inc.’s business. Xperi Inc. agreed to indemnify us for such liabilities, but such indemnities may not be sufficient to protect us against the full amount of such liabilities. Even if we ultimately succeed in recovering from Xperi Inc. any amounts for which we are held liable, we may be temporarily required to bear these losses ourselves. Each of these risks could negatively affect our business, financial condition, results of operations and cash flows.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vary, which may cause the price of our common stock to decline.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do so in the future. Because our operating results are difficult to predict, one should not rely on quarterly or annual comparisons of our results of operations as an indication of our future performance. Factors that could cause our operating results to fluctuate during any period or that could adversely affect our ability to achieve our strategic objectives include those listed in this “Risk Factors” section of this report and the following:</w:t>
      </w:r>
    </w:p>
    <w:p>
      <w:pPr>
        <w:spacing w:after="0" w:line="7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the separation transaction;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compliance with the terms and conditions for, payment by third parties to us of fees (including royalties) under IP license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royalties caused by the pricing terms of certain of our IP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our operating expenses;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research and development expenses that we have incurred and will continue to incur in connection with the development of new IP, as well as the uncertainty that such new technologies will generate material revenue for the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enforce our IP rights or the terms of our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affecting our patents, patent applications or IP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of new technologies that replace technologies covered by our 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establishing new IP license agreements and expiration of existing IP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including new accounting standards which may materially affect our revenue recognition and the comparability between revenue recognition and cash flow from customer royalties;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semiconductor and consumer electronics markets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attendant effects, including but not limited to increased costs or shipping delays that may impact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labor market conditions, and any impacts on 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and/or changes in central bank interest rate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and the financial impact of possible acquisitions of other businesses and the integration of such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and the financial impact of the disposition of assets, including post-closing indemnification obligations;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level of economic activity in the U.S. or other major economies in which we do business as a result of the threat of terrorism, military actions taken by the U.S. or its allies, civil unrest, hostilities, global health concerns, outbreaks, pandemics, natural disasters or generally weak and uncertain economic and industry conditions.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Due to fluctuations in our operating results, reports from market and security analysts, litigation-related developments, and other factors including general market conditions, the price at which our common stock will trade may be volatile. In future periods, if our revenue, royalties, cash flows or operating results are below the estimates or expectations of public market analysts and investors, our stock price could decline.</w:t>
      </w:r>
    </w:p>
    <w:p>
      <w:pPr>
        <w:spacing w:after="0" w:line="6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pay dividends or pay dividends at a consistent rate, and any decrease in or suspension of the dividend could cause our stock price to decline.</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anticipate that all dividends and stock repurchases will be paid out of our cash, cash equivalents and short-term investments. The payment of future cash dividends is subject to the final determination by our Board of Directors based on a number of factors, including our earnings, financial condition, actual and forecasted cash flows, capital resources and capital requirements, alternative uses of capital including business combinations, economic condition and other factors considered relevant by management and the Board of Directors. Since July 2020, the Board has declared quarterly cash dividends of $0.05 per share. Any decrease in the amount of the dividend, or suspension or discontinuance of payment of a dividend, could cause our stock price to decline.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2" w:name="page23"/>
    <w:bookmarkEnd w:id="2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repurchase program could increase the volatility of the price of our common stock, and the program may be suspended or terminated at any time, which may cause the trading price of our common stock to decline.</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2020, our Board of Directors authorized a stock repurchase program to repurchase up to $150.0 million of our outstanding shares of common stock dependent on market conditions, share price, and other factors. In April 2021 our Board of Directors authorized an additional $100.0 million of stock repurchases under this program, under which $172.2 million was utilized for stock repurchases, leaving the total authorized amount available for repurchase under the program at $77.8 million. In October 2024, our Board of Directors approved an increase of the existing share repurchase authorization up to a total of $200.0 million. As of December 31, 2024, the total amount available for repurchase under the plan was $180.0 million. The amount of repurchases under our stock repurchase program will vary depending on various factors. The timing of repurchases is at our discretion and the program may be suspended or discontinued at any time. Any suspension or discontinuation could cause the market price of our stock to decline. The timing of repurchases pursuant to our stock repurchase program could affect our stock price and increase its volatility. There can be no assurance that any stock repurchases will enhance stockholder value because the market price of our common stock may decline below the levels at which we effected repurchases. Furthermore, we may engage in mergers, acquisitions, or other activity that could result in us reducing or discontinuing share repurchases for a period of time.</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certificate of incorporation and bylaws or Delaware law might delay or prevent a change of control transaction and depress the market price of our stock.</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Various provisions of our certificate of incorporation and bylaws might have the effect of making it more difficult for a third party to acquire, or discouraging a third party from attempting to acquire, control of our company. These provisions could limit the price that certain investors might be willing to pay in the future for shares of our common stock. Certain of these provisions eliminate cumulative voting in the election of directors, authorize the board to issue “blank check” preferred stock, prohibit stockholder action by written consent, eliminate the right of stockholders to call special meetings, and establish advance notice procedures for director nominations by stockholders and the submission of other proposals for consideration at stockholder meetings. We are also subject to provisions of Delaware law that could delay or make more difficult a merger, tender offer or proxy contest involving our company. In particular, Section 203 of the Delaware General Corporation Law prohibits a Delaware corporation from engaging in any business combination with any interested stockholder for a period of three years unless specific conditions are met. Any of these provisions could have the effect of delaying, deferring or preventing a change in control, including without limitation, discouraging a proxy contest or making more difficult the acquisition of a substantial block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Decreased effectiveness of stock-based compensation could adversely affect our ability to attract and retain employees.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historically used stock options, restricted stock grants and other forms of stock-based compensation as key components of employee compensation in order to align employees’ interests with the interests of our stockholders, encourage employee retention and provide competitive compensation and benefit packages. We incur significant compensation costs associated with our stock-based compensation programs. Failure to obtain stockholder approval of equity compensation plans or changes to the plans could make it harder or more expensive for us to grant stock-based compensation to employees in the future. As a result, we may find it difficult to attract, retain and motivate employees, and any such difficulty could have a materially adverse impact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our common stock for future acquisitions may be limited.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use common stock for future acquisitions without triggering an ownership change for the purposes of Sections 382 and 383 of the Code will likely be limited for three-years following the Mergers. To the extent that we are unable to use our common stock to make future acquisitions, our ability to grow through acquisitions may be limited by the extent to which we are able to raise capital through debt, equity financings or operational growth.</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Reliance on internally generated cash or debt to complete acquisitions could substantially limit our operational and financial flexibility. If we are unable to obtain additional capital on acceptable terms, we may be required to reduce the scope of any expansion or redirect resources committed to internal purposes. Inability to use our common stock in acquisitions may hinder our ability to actively make future acquisitions and recruit talent through acquisitions and restricts the flexibility in which we can make acquisition bids.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Stock transfer restrictions in our certificate of incorporation may act as an anti-takeover device.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includes certain transfer restrictions intended to preserve certain of our tax attributes. Such transfer restrictions will apply to future transfers made by 4.91% stockholders, transferees related to a 4.91% stockholder, transferees acting in coordination with a 4.91% stockholder, or transfers that would result in a stockholder becoming a 4.91% stockholder in order to avoid potential limitation of such tax attributes pursuant to Section 382 of the Code. Such transfer restrictions will expire on the earlier of (i) the repeal of Section 382 or any successor statute if our board of directors determines that such restrictions are no longer necessary or desirable for the preservation of certain tax benefits, (ii) the beginning of a taxable year to which our board of directors determines that no tax benefits may be carried forward, (iii) the third anniversary of the Mergers, or (iv) such other date as our board of directors shall fix in accordance with the certificate of incorporation.</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transfer restrictions described above could make it more difficult for a third party to acquire, or could discourage a third party from acquiring, a large block of our common stock. This may adversely affect the marketability of our common stock by discouraging existing or potential investors from acquiring our stock or additional shares of our stock. It is also possible that the transfer restrictions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179"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forum limitations for certain disputes between us and our stockholders that could limit the ability of stockholders to bring claims against us and our directors, officers and employees in jurisdictions preferred by stockholders.</w:t>
      </w:r>
    </w:p>
    <w:p>
      <w:pPr>
        <w:spacing w:after="0" w:line="15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Our certificate of incorporation provides that, unless we consent in writing to the selection of an alternative forum, the Court of Chancery of the State of Delaware is the sole and exclusive forum for (i) any derivative lawsuit brought on our stockholders, (ii) any lawsuit against our current or former directors, officers, employees, stockholders or agents asserting a breach of a duty (including any fiduciary duty) owed by any such current or former director, officer, stockholder, employee or agent to us or our stockholders, (iii) any lawsuit asserting a claim against us or any of our current or former director, officer, employee, stockholder or agent arising out of or relating to any provision of the DGCL, our charter or our bylaws (each, as in effect from time to time), or</w:t>
      </w:r>
    </w:p>
    <w:p>
      <w:pPr>
        <w:spacing w:after="0" w:line="3" w:lineRule="exact"/>
        <w:rPr>
          <w:sz w:val="20"/>
          <w:szCs w:val="20"/>
          <w:color w:val="auto"/>
        </w:rPr>
      </w:pPr>
    </w:p>
    <w:p>
      <w:pPr>
        <w:ind w:firstLine="8"/>
        <w:spacing w:after="0" w:line="252"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 asserting a claim against us or any of our current or former director, officer, employee, stockholder or agent governed by the internal affairs doctrine of the State of Delaware. Our certificate of incorporation also provides that, unless we consent in writing to the selection of an alternative forum, the federal district courts of the United States of America are the sole and exclusive forum for the resolution of any complaint asserting a cause of action arising under the Securities Act. The foregoing forum provisions may prevent or limit a stockholder’s ability to file a lawsuit in a judicial forum that it prefers for disputes with us or our directors, officers, employees, stockholders or agents, which may discourage such lawsuits, make them more difficult or expensive to pursue, and result in outcomes that are less favorable to such stockholders than outcomes that may have been attainable in other jurisdictions.</w:t>
      </w:r>
    </w:p>
    <w:p>
      <w:pPr>
        <w:spacing w:after="0" w:line="1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notwithstanding the inclusion of the foregoing forum provisions in the certificate of incorporation, courts may find the foregoing forum provisions to be inapplicable or unenforceable in certain cases that the foregoing forum provisions purport to address, including claims brought under the Securities Act. If this were to occur in any particular lawsuit, we may incur additional costs associated with resolving such lawsuit in other jurisdictions or resolving lawsuits involving similar claims in multiple jurisdictions, all of which could harm our business, results of operations, and financial condition.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is integrated in our overall risk management program and is based on recognized cybersecurity industry frameworks and standards, including those from the National Institute of Standards and Technology, and the International Organization for Standardization. We use these frameworks, together with information collected from internal assessments, to develop policies and defined procedures for use of our information assets, access to specific intellectual property or technologies, and protection of personal information. We protect these information assets through industry-standard techniques, such as multifactor authentication, malware defenses and zero trust principles. We work with internal stakeholders across the Company to integrate foundational cybersecurity principles throughout our organization’s operations, including employment of multiple layers of cybersecurity defenses, restricted access based on business need, and integrity of our business information. Throughout the year, we regularly train our employees on cybersecurity awareness and, confidential information protection. We routinely test our employees using simulated phishing attacks. Risks from cybersecurity threats have not materially affected our company, business strategy, results of operations or financial condition; however, we remain subject to cybersecurity risks in the future. See Item 1A. Risk Factors – “Our systems, networks and business activities and those of third parties that we utilize in our operations are subject to cybersecurity and stability risks, including information technology system failures, and security breaches.”</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engage third-party assessors to conduct penetration testing and measure our program to industry standard frameworks. We also have standing engagements with incident response experts and external counsel. Our information technology team led by our Vice President of Information Technology (VP of IT) frequently collaborates with industry experts and cybersecurity practitioners at other companies to exchange information about potential cybersecurity threats, best practices, and industry trends.</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extends to risks associated with our use of third-party service providers. We routinely conduct risk and compliance assessments of third-party service providers that request access to our information assets. We re-assess our third-party vendors in an ongoing basis.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is integrated into our comprehensive business continuity program and enterprise risk management. Our information technology team periodically engages with a cross-functional group of subject matter experts and leaders to assess and refine our cybersecurity risk posture and preparedness.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of Cybersecurity Risk Management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of directors, as a whole, has oversight responsibility for our strategic and operational risks. The board of directors has delegated to the audit committee the responsibility of reviewing and discussing our risk assessment and risk management practices, including cybersecurity risks, with members of management. The audit committee, in turn, regularly reports on its review with the board of directors.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Management is responsible for day-to-day implementation of risk management strategies and recommends process improvements. Our VP of IT has primary oversight of material risks from cybersecurity threats. Our VP of IT has more than 25 years of experience across various engineering, business and management roles focused on information technology, including roles at global, public companies, as well as across multiple industries including fintech, research, and high tech. Our VP of IT regularly presents updates to the audit committee regarding Company cybersecurity matters and developing industry trends.</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retained an outside cybersecurity firm for our managed security services, which reports to our VP of IT. The cybersecurity firm has professionals with more than 20 years of experience working in information technology-related roles and degrees in Information Technology, including cybersecurity, Certified in Risk and Information Systems Control (CRISC), and Global Information Assurance Certifications in Security Essentials (GSEC) as an Intrusion Analyst (GCIA). The cybersecurity firm has extensive experience is supporting firms in applied knowledge of information technology governance and security frameworks that include: ISO 27000, NIST, HITRUST, ISC2, ITIL, and COBIT.</w:t>
      </w:r>
    </w:p>
    <w:p>
      <w:pPr>
        <w:spacing w:after="0" w:line="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Management assesses our cybersecurity readiness through internal assessment tools as well as third-party control tests, vulnerability assessments, audits and regular evaluation against industry standards. We have governance and compliance structures that are designed to elevate issues relating to cybersecurity to management and the audit committee, such as potential threats or vulnerabilities. We also employ various defensive and continuous monitoring techniques using recognized industry frameworks and cybersecurity standards.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ind w:right="80"/>
        <w:spacing w:after="0" w:line="266" w:lineRule="auto"/>
        <w:rPr>
          <w:sz w:val="20"/>
          <w:szCs w:val="20"/>
          <w:color w:val="auto"/>
        </w:rPr>
      </w:pPr>
      <w:r>
        <w:rPr>
          <w:rFonts w:ascii="Times New Roman" w:cs="Times New Roman" w:eastAsia="Times New Roman" w:hAnsi="Times New Roman"/>
          <w:sz w:val="18"/>
          <w:szCs w:val="18"/>
          <w:color w:val="auto"/>
        </w:rPr>
        <w:t>Our VP of IT meets with the audit committee quarterly to review our information technology systems and discuss key cybersecurity risks, and these matters are also presented to the board of directors annually. In addition, our chief financial officer reviews with the audit committee, at least annually, our global enterprise risk management program, which includes cybersecurity risks, and is also reported to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lease our 62,000 square foot corporate headquarters, which houses our administrative, sales, marketing and research and development facilities, in San Jose, California. We also lease another office building with approximately 5,336 square feet in Burbank, California to house additional administrative, sales, and marketing personnel. Further, we also lease another facility in the Morrisville, North Carolina with approximately 2,737 square feet. We believe that our existing space is adequate for our current operations and that suitable replacement and additional space, to the extent needed, will be available in the future on commercially reasonable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are involved in legal proceedings. In the past, we have litigated to enforce our patents and other intellectual property rights (“IP”), to enforce the terms of license agreements, to protect trade secrets and to defend ourselves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Infringement Litigation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our IP licensing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Videotron Patent Infringement Litigation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we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On August 6, 2024, the Federal Court of Appeal of Canada issued a judgment in the appeal in which it dismissed the appeal.</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21, 2021, Adeia Media filed a separate patent infringement complaint against Videotron in Toronto, Canada, alleging infringement of four patents (“Videotron 2”). On July 21, 2021, the Federal Court of Canada held a case management conference in Videotron 2,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Media’s favor and dismissed Videotron’s appeal. The trial commenced on February 3,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Bell and Telus Patent Infringement Litigation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 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we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On August 6, 2024, the Federal Court of Appeal of Canada issued a judgment in the appeal in which it dismissed the appeal.</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July 27, 2021,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(“Bell 2”). The Defendants filed a motion to strike various portions of the statement of claim in Bell 2.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The trial is scheduled to start on April 28,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 Breach of Contract Litigation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October 8, 2024, Shaw filed a motion to dismiss the complaint. The Court has yet to rule on Shaw’s motion to dismiss. The trial date has not been 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Disney Patent Infringement Litigation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7, 2024, Adeia Technologies, Inc., Adeia Guides Inc., and Adeia Media Holdings LLC filed a complaint against The Walt Disney Company, Disney Media and Entertainment Distribution LLC, Disney DTC LLC, Disney Streaming Services LLC, Disney Entertainment &amp; Sports LLC, Disney Platform Distribution, Inc., BAMTech, LLC, Hulu, LLC, and ESPN, Inc. (collectively, “Disney U.S. Defendants”) in the United States District Court for the District of Delaware, alleging infringement of six patents. On January 16, 2025, Disney U.S. Defendants filed a motion to dismiss two of the six asserted patents as invalid under 35 U.S.C. §101. Adeia’s opposition to the motion to dismiss was filed on February 13, 2025.</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November 7, 2024, Adeia Solutions LLC filed a complaint against The Walt Disney Company Benelux (BV), Disney Interactive Studios, Inc., and The Walt Disney Company Limited (collectively, “Disney Europe Defendants”) in the Regional Court of Munich, Germany, alleging infringement of one patent. Disney Europe Defendants’ answer to the complaint is due June 30, 2025.</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November 7, 2024, Adeia Guides Inc. (“Adeia Guides”) filed a complaint against the Disney Europe Defendants in the Unified Patent Court (“UPC”) Munich Local Division, Germany, alleging infringement of one patent. Disney Europe Defendants’ answer to the complaint is due March 11, 2025.</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November 7, 2024, Adeia Guides filed a complaint against the Disney Europe Defendants in the UPC The Hague Local Division, The Netherlands, alleging infringement of one patent. Disney Europe Defendants’ answer to the complaint is due March 5,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On November 11, 2024, Adeia Guides filed a complaint against The Walt Disney Company (Brasil) LTDA in Rio de Janeiro State Court, Brazil, alleging infringement of four patents (“Brazilian Asserted Patents”). Disney’s answer to the complaint was filed on January 27, 2025.</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27, 2025, The Walt Disney Company (Brasil) LTDA filed a patent invalidity lawsuit against Adeia Inc., Adeia Guides Inc. and the Brazilian Patent and Trademark Office in Rio de Janeiro Federal Court, Brazil, alleging the Brazilian Asserted Patents are invalid.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01"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On June 2, 2020, Xperi Holding Corporation’s common stock, par value $0.001 per share, commenced trading on the Nasdaq Global Select Market (“Nasdaq”) under the ticker symbol “XPER”. Following the separation of Xperi Holding Corporation’s product business, and effective at the open of business on October 3, 2022, Adeia Inc.’s shares of common stock began trading on Nasdaq under the new ticker symbol “ADEA”.</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7, 2025, there were 107,508,991 outstanding shares of common stock held by 333 stockholders of record. In addition, a substantially greater number of stockholders may be “street name” or beneficial holders, whose shares are held of record by banks, brokers and other financial institutions.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historically returned capital to shareholders through cash dividends and stock repurchases. We anticipate that all quarterly dividends and stock repurchases will be paid out of cash, cash equivalents and short-term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repurchases of our common stock during the three months ended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5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dollar value of</w:t>
            </w:r>
          </w:p>
        </w:tc>
      </w:tr>
      <w:tr>
        <w:trPr>
          <w:trHeight w:val="202"/>
        </w:trPr>
        <w:tc>
          <w:tcPr>
            <w:tcW w:w="5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8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that may</w:t>
            </w:r>
          </w:p>
        </w:tc>
      </w:tr>
      <w:tr>
        <w:trPr>
          <w:trHeight w:val="203"/>
        </w:trPr>
        <w:tc>
          <w:tcPr>
            <w:tcW w:w="5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yet be</w:t>
            </w:r>
          </w:p>
        </w:tc>
      </w:tr>
      <w:tr>
        <w:trPr>
          <w:trHeight w:val="203"/>
        </w:trPr>
        <w:tc>
          <w:tcPr>
            <w:tcW w:w="5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203"/>
        </w:trPr>
        <w:tc>
          <w:tcPr>
            <w:tcW w:w="5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our</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under our</w:t>
            </w:r>
          </w:p>
        </w:tc>
      </w:tr>
      <w:tr>
        <w:trPr>
          <w:trHeight w:val="203"/>
        </w:trPr>
        <w:tc>
          <w:tcPr>
            <w:tcW w:w="53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share</w:t>
            </w:r>
          </w:p>
        </w:tc>
      </w:tr>
      <w:tr>
        <w:trPr>
          <w:trHeight w:val="175"/>
        </w:trPr>
        <w:tc>
          <w:tcPr>
            <w:tcW w:w="5380" w:type="dxa"/>
            <w:vAlign w:val="bottom"/>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380" w:type="dxa"/>
            <w:vAlign w:val="bottom"/>
          </w:tcPr>
          <w:p>
            <w:pPr>
              <w:spacing w:after="0"/>
              <w:rPr>
                <w:sz w:val="15"/>
                <w:szCs w:val="15"/>
                <w:color w:val="auto"/>
              </w:rPr>
            </w:pPr>
          </w:p>
        </w:tc>
        <w:tc>
          <w:tcPr>
            <w:tcW w:w="11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380" w:type="dxa"/>
            <w:vAlign w:val="bottom"/>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repurchase</w:t>
            </w:r>
          </w:p>
        </w:tc>
      </w:tr>
      <w:tr>
        <w:trPr>
          <w:trHeight w:val="246"/>
        </w:trPr>
        <w:tc>
          <w:tcPr>
            <w:tcW w:w="53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3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program </w:t>
            </w:r>
            <w:r>
              <w:rPr>
                <w:rFonts w:ascii="Times New Roman" w:cs="Times New Roman" w:eastAsia="Times New Roman" w:hAnsi="Times New Roman"/>
                <w:sz w:val="21"/>
                <w:szCs w:val="21"/>
                <w:b w:val="1"/>
                <w:bCs w:val="1"/>
                <w:color w:val="auto"/>
                <w:w w:val="96"/>
                <w:vertAlign w:val="superscript"/>
              </w:rPr>
              <w:t>(1)</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 xml:space="preserve">program </w:t>
            </w:r>
            <w:r>
              <w:rPr>
                <w:rFonts w:ascii="Times New Roman" w:cs="Times New Roman" w:eastAsia="Times New Roman" w:hAnsi="Times New Roman"/>
                <w:sz w:val="21"/>
                <w:szCs w:val="21"/>
                <w:b w:val="1"/>
                <w:bCs w:val="1"/>
                <w:color w:val="auto"/>
                <w:w w:val="96"/>
                <w:vertAlign w:val="superscript"/>
              </w:rPr>
              <w:t>(1)</w:t>
            </w:r>
          </w:p>
        </w:tc>
      </w:tr>
      <w:tr>
        <w:trPr>
          <w:trHeight w:val="19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price)</w:t>
            </w:r>
          </w:p>
        </w:tc>
        <w:tc>
          <w:tcPr>
            <w:tcW w:w="11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October 1, 2024 – October 31,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November 1, 2024 – November 30,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December 1, 2024 – December 31, 2024</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3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3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3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7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179,979</w:t>
            </w:r>
          </w:p>
        </w:tc>
        <w:tc>
          <w:tcPr>
            <w:tcW w:w="10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-161925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-161925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-161925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80" w:firstLine="8"/>
        <w:spacing w:after="0" w:line="302" w:lineRule="auto"/>
        <w:tabs>
          <w:tab w:leader="none" w:pos="185"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June 12, 2020, our Board of Directors approved a new stock repurchase plan (the “Plan”) providing for the repurchase of up to $150.0 million of our common stock dependent on market conditions, share price and other factors. No expiration has been specified for this Plan. On April 22, 2021, our Board of Directors authorized an additional $100.0 million of purchases under the Plan, under which $172.2 million was utilized for stock repurchases, leaving the total authorized amount available for repurchase under the Plan at $77.8 million. In October 2024, our Board of Directors approved an increase of the existing share repurchase authorization up to a total of $200.0 million. The stock repurchases may be made from time to time, through solicited or unsolicited transactions in the open market, in privately negotiated transactions, or pursuant to a Rule 10b5-1 plan. There is no guarantee that such repurchases under the program will enhance the value of our stock. As of December 31, 2024, the total remaining amount available for repurchase under the Plan was $180.0 million.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graph shows a comparison of total stockholder return for holders of our common stock, the Nasdaq Composite Index, the Russell 2000 Index and the S&amp;P 500 from June 2, 2020 through December 31, 2024. The graph and table assume that $100 was invested on June 2, 2020 in each of our common stock, the Nasdaq Composite Index, the Russell 2000 Index and the S&amp;P 500, and that all dividends were reinvested. The Company’s performance through September 30, 2022 has been adjusted to reflect the impact of the separation of the Company’s product business, which occurred on October 1, 2022 and is reflected in the table below as a special dividend. This graphic comparison is presented pursuant to Item 201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128270</wp:posOffset>
            </wp:positionV>
            <wp:extent cx="5854700" cy="2743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547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14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6/2/2020</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12/31/2020</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12/31/2021</w:t>
            </w:r>
          </w:p>
        </w:tc>
        <w:tc>
          <w:tcPr>
            <w:tcW w:w="160" w:type="dxa"/>
            <w:vAlign w:val="bottom"/>
          </w:tcPr>
          <w:p>
            <w:pPr>
              <w:spacing w:after="0"/>
              <w:rPr>
                <w:sz w:val="18"/>
                <w:szCs w:val="18"/>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12/30/2022</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140" w:type="dxa"/>
            <w:vAlign w:val="bottom"/>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12/31/2024</w:t>
            </w:r>
          </w:p>
        </w:tc>
      </w:tr>
      <w:tr>
        <w:trPr>
          <w:trHeight w:val="199"/>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Adeia Inc.</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$139.97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$179.50</w:t>
            </w:r>
          </w:p>
        </w:tc>
      </w:tr>
      <w:tr>
        <w:trPr>
          <w:trHeight w:val="20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$134.14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$162.83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$200.98</w:t>
            </w:r>
          </w:p>
        </w:tc>
      </w:tr>
      <w:tr>
        <w:trPr>
          <w:trHeight w:val="203"/>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Russell 2000 Index</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$157.25</w:t>
            </w: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$154.70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$124.63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$154.82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$190.91</w:t>
            </w:r>
          </w:p>
        </w:tc>
      </w:tr>
    </w:tbl>
    <w:p>
      <w:pPr>
        <w:spacing w:after="0" w:line="21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This section is not “soliciting material,” is not deemed “filed” with the SEC and is not incorporated by reference in any filing of the Company under the Securities Act of 1933 or the Securities Exchange Act of 1934 (“Exchange Act”), whether made before or after the date hereof and irrespective of any general incorporation language in any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promote understanding of the results of operations and financial condition and should be read in conjunction with our consolidated financial statements and notes thereto.</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of this Form 10-K generally discusses 2024 and 2023 items and year-to-year comparisons of 2024 against 2023. A discussion regarding 2022 items and year-to-year comparisons of 2023 against 2022 can be found in “Management’s Discussion and Analysis of Financial Condition and Results of Operations” in Part II, Item 7 of our Annual Report on Form 10-K for the fiscal year ended December 31, 2023. Except as otherwise indicated, the year-to-year comparisons and results of operations discussed herein present the results of Adeia Inc. after giving effect to the Separation described herein. The following discussion of our financial condition and results of operations should be read together with the audited consolidated financial statements and notes to the consolidated financial statements included elsewhere in this Form 10-K. This discussion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“Risk Factors” in Part I, Item 1A above.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Adeia Inc. (formerly known as Xperi Holding Corporation) (“Adeia”, “we”) is a leading IP licensing platform in the consumer and entertainment space, with a diverse portfolio of media and semiconductor intellectual property and approximately 12,250 patents and patent applications worldwide. In order to serve an increasingly connected world, we invent, develop, and license fundamental innovations that enhance billions of devices and shape the way millions of people explore and experience entertainment. Our inventions are key enabling technologies that drive how consumers interact with entertainment and devices at home and on the go around the world. Our foundational technologies help elevate content and improve how audiences connect with it in a way that is more intelligent, immersive and personal. Our innovative solutions help power smart devices, entertainment experiences and more, and have created a unified ecosystem that reaches highly-engaged consumers and uncovered new business opportunities.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October 1, 2022, we completed the previously announced separation (“the Separation”) of its product business into an independent, publicly-traded company, Xperi Inc. (“Xperi Inc.”). The Separation was structured as a spin-off, which was achieved through Adeia’s distribution of 100 percent of the outstanding shares of Xperi Inc.’s common stock to holders of Adeia’s common stock as of the close of business on the record date of September 21, 2022 (the “Record Date”). Each Adeia stockholder of record received four shares of Xperi Inc. common stock for every ten shares of Adeia common stock that it held on the Record Date. Following the Separation, Adeia retains no ownership interest in Xperi Inc., which is now listed under the ticker symbol “XPER” on the New York Stock Exchange. Effective at the open of business on October 3, 2022, Adeia’s shares of common stock, par value $0.001 per share, began trading on the Nasdaq Global Select Market under the new ticker symbol “ADEA”.</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Headquartered in Silicon Valley with more than 35 years of operating experience, we have approximately 150 employees, with substantially all of our employees located in the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Macroeconomic conditions due to inflation, geopolitical instability and global health events had in the past, and may in the future have, an adverse impact on our business. For example, such conditions may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a significant portion of our revenue is derived from fixed-fee and minimum-guarantee arrangements from large, well-capitalized customers, our per-unit and variable-fee based revenue will continue to be susceptible to global health concerns, outbreaks, pandemics, armed conflict, geopolitical factors, tariffs, market volatility, labor shortages, supply chain disruptions, microchip shortages, changes in demand for semiconductors and market downturns.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evaluating our financial condition and operating performance, we primarily focus on revenue and cash flows from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as compared to the same period in 2023:</w:t>
      </w:r>
    </w:p>
    <w:p>
      <w:pPr>
        <w:spacing w:after="0" w:line="20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$12.6 million, or 3%, from $388.8 million in 2023 to $376.2 million in 2024.</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increased by $2.8 million, or 0.8% from $338.7 million in 2023 to $341.5 million in 2024.</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decreased by $15.5 million, or 31% from $50.1 million in 2023 to $34.6 million in 2024.</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increased by $59.7 million, or 39.1%, from $152.8 million in 2023 to $212.5 million in 2024.</w:t>
      </w:r>
    </w:p>
    <w:p>
      <w:pPr>
        <w:spacing w:after="0" w:line="225"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repriced our term loan which lowered our interest rate by 61 basis points and made $114.2 million in principal payments, bringing the outstanding balance to $487.1 million as of December 31, 2024. We subsequently completed another repricing in January 2025, further reducing our interest rate by 50 basis points.</w:t>
      </w:r>
    </w:p>
    <w:p>
      <w:pPr>
        <w:spacing w:after="0" w:line="175"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$20.0 million of our common stock in December 2024 following the decision of our Board of Directors to increase the total share repurchase authorization to $200.0 million in October of 2024.</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We derive the majority of our revenue from the licensing of our intellectual property (“IP”) rights to customers. For our revenue recognition policy, including descriptions of revenue-generating activities, refer to “Note 4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of the Notes to Consolidated Financial Statements. The following table presents our historical operating results for the periods indicated as a percentage of revenue:</w:t>
      </w:r>
    </w:p>
    <w:p>
      <w:pPr>
        <w:spacing w:after="0" w:line="17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09"/>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216"/>
        </w:trPr>
        <w:tc>
          <w:tcPr>
            <w:tcW w:w="8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r>
      <w:tr>
        <w:trPr>
          <w:trHeight w:val="21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(14 )</w:t>
            </w: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7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-1010920</wp:posOffset>
            </wp:positionV>
            <wp:extent cx="120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-1010920</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-453390</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-453390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year (in thousands, except for percentages):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2"/>
        </w:trPr>
        <w:tc>
          <w:tcPr>
            <w:tcW w:w="50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r>
      <w:tr>
        <w:trPr>
          <w:trHeight w:val="19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376,024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388,788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(12,764 )</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r>
      <w:tr>
        <w:trPr>
          <w:trHeight w:val="20"/>
        </w:trPr>
        <w:tc>
          <w:tcPr>
            <w:tcW w:w="50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decrease in revenue during the year ended December 31, 2024, as compared to the prior year, was primarily attributable to the execution of two long-term license agreements with Kioxia and Western Digital in the first quarter of 2023, which did not recur in 2024, and declines in royalty revenue from certain Pay-TV customers, partially offset by a multi-year license agreement with Amazon for access to our media portfolio that occurred in the fourth quarter of 2024.</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Recurring revenues for the years ended December 31, 2024 and 2023 were $341.5 million and $338.7 million, respectively. The increase of $2.8 million was driven primarily by the execution of new customer agreements in 2024, and the ramp-up of recurring royalty payments under existing semiconductor agreements, partially offset by declines in royalty revenue from certain Pay-TV customers.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Non-recurring revenues for the years ended December 31, 2024 and 2023 were $34.6 million and $50.1 million, respectively. The decrease of $15.5 million was primarily attributable to the execution of long-term license agreements with Kioxia and Western Digital in the first quarter of 2023 and the execution of the long-term renewal of a license agreement with Samsung in the third quarter of 2023, partially offset by a settlement agreement and multi-year renewal with X Corp. for access to our media portfolio that occurred in the second quarter of 2024 and the execution of the multi-year license agreement with Amazon in the fourth quarter of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 We intend to make a continued investment in our R&amp;D efforts because we believe they are essential to grow our patent portfolios to maintain and improve our competitiveness.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4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2"/>
        </w:trPr>
        <w:tc>
          <w:tcPr>
            <w:tcW w:w="5020" w:type="dxa"/>
            <w:vAlign w:val="bottom"/>
          </w:tcPr>
          <w:p>
            <w:pPr>
              <w:spacing w:after="0"/>
              <w:rPr>
                <w:sz w:val="17"/>
                <w:szCs w:val="17"/>
                <w:color w:val="auto"/>
              </w:rPr>
            </w:pPr>
          </w:p>
        </w:tc>
        <w:tc>
          <w:tcPr>
            <w:tcW w:w="8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tcPr>
          <w:p>
            <w:pPr>
              <w:spacing w:after="0"/>
              <w:rPr>
                <w:sz w:val="17"/>
                <w:szCs w:val="17"/>
                <w:color w:val="auto"/>
              </w:rPr>
            </w:pPr>
          </w:p>
        </w:tc>
      </w:tr>
      <w:tr>
        <w:trPr>
          <w:trHeight w:val="19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59,598</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54,264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r>
      <w:tr>
        <w:trPr>
          <w:trHeight w:val="20"/>
        </w:trPr>
        <w:tc>
          <w:tcPr>
            <w:tcW w:w="50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R&amp;D expense during the year ended December 31, 2024, as compared to the prior year, was primarily due to an increase in personnel costs as a result of increased headcount and an increase in patent portfolio expenses, patent technical sales support expenses, partially offset by a decrease in professional services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2"/>
        </w:trPr>
        <w:tc>
          <w:tcPr>
            <w:tcW w:w="50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tcPr>
          <w:p>
            <w:pPr>
              <w:spacing w:after="0"/>
              <w:rPr>
                <w:sz w:val="17"/>
                <w:szCs w:val="17"/>
                <w:color w:val="auto"/>
              </w:rPr>
            </w:pPr>
          </w:p>
        </w:tc>
      </w:tr>
      <w:tr>
        <w:trPr>
          <w:trHeight w:val="19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103,443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95,226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5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-8255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increase in SG&amp;A expense during the year ended December 31, 2024, as compared to the prior year, was primarily due to an increase in personnel related costs as a result of increased headcount as we scaled our business in 2024, an increase in professional services costs, an increase in certain administrative costs associated with the repricing of our credit facility in the second quarter of 2024, partially offset by decreases in separation costs that were incurred in 2023 but did not recur in 2024 since they were one-time costs, lower insurance costs and recovery of certain bad debt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40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2"/>
        </w:trPr>
        <w:tc>
          <w:tcPr>
            <w:tcW w:w="5000" w:type="dxa"/>
            <w:vAlign w:val="bottom"/>
          </w:tcPr>
          <w:p>
            <w:pPr>
              <w:spacing w:after="0"/>
              <w:rPr>
                <w:sz w:val="17"/>
                <w:szCs w:val="17"/>
                <w:color w:val="auto"/>
              </w:rPr>
            </w:pPr>
          </w:p>
        </w:tc>
        <w:tc>
          <w:tcPr>
            <w:tcW w:w="8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r>
      <w:tr>
        <w:trPr>
          <w:trHeight w:val="19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70,721</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93,735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(23,014 )</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(25 )%</w:t>
            </w:r>
          </w:p>
        </w:tc>
      </w:tr>
      <w:tr>
        <w:trPr>
          <w:trHeight w:val="20"/>
        </w:trPr>
        <w:tc>
          <w:tcPr>
            <w:tcW w:w="5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decrease in amortization expense during the year ended December 31, 2024, as compared to the prior year, was primarily due to certain intangible assets becoming fully amortized during 2024. The decrease was partially offset by an increase in amortization expense as a result of patents acquired in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4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2"/>
        </w:trPr>
        <w:tc>
          <w:tcPr>
            <w:tcW w:w="5020" w:type="dxa"/>
            <w:vAlign w:val="bottom"/>
          </w:tcPr>
          <w:p>
            <w:pPr>
              <w:spacing w:after="0"/>
              <w:rPr>
                <w:sz w:val="17"/>
                <w:szCs w:val="17"/>
                <w:color w:val="auto"/>
              </w:rPr>
            </w:pPr>
          </w:p>
        </w:tc>
        <w:tc>
          <w:tcPr>
            <w:tcW w:w="8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tcPr>
          <w:p>
            <w:pPr>
              <w:spacing w:after="0"/>
              <w:rPr>
                <w:sz w:val="17"/>
                <w:szCs w:val="17"/>
                <w:color w:val="auto"/>
              </w:rPr>
            </w:pPr>
          </w:p>
        </w:tc>
      </w:tr>
      <w:tr>
        <w:trPr>
          <w:trHeight w:val="19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Litigation expense</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13,653</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46 %</w:t>
            </w:r>
          </w:p>
        </w:tc>
      </w:tr>
      <w:tr>
        <w:trPr>
          <w:trHeight w:val="20"/>
        </w:trPr>
        <w:tc>
          <w:tcPr>
            <w:tcW w:w="50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increase in litigation expense during the year ended December 31, 2024, as compared to the prior year, was primarily due to increased activity in current litigation matters. See Part I, Item 3. – Legal Proceedings for additional information regarding these matters.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expect that litigation expense will continue to be a significant portion of our operating expenses, as it is used to enforce and protect our IP and contract rights. Litigation expense may fluctuate between periods because of planned or ongoing litigation, as described in Part I, Item 3 – Legal Proceedings.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40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2"/>
        </w:trPr>
        <w:tc>
          <w:tcPr>
            <w:tcW w:w="5000" w:type="dxa"/>
            <w:vAlign w:val="bottom"/>
          </w:tcPr>
          <w:p>
            <w:pPr>
              <w:spacing w:after="0"/>
              <w:rPr>
                <w:sz w:val="17"/>
                <w:szCs w:val="17"/>
                <w:color w:val="auto"/>
              </w:rPr>
            </w:pPr>
          </w:p>
        </w:tc>
        <w:tc>
          <w:tcPr>
            <w:tcW w:w="8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r>
      <w:tr>
        <w:trPr>
          <w:trHeight w:val="19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52,539</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62,574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(10,035 )</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r>
      <w:tr>
        <w:trPr>
          <w:trHeight w:val="20"/>
        </w:trPr>
        <w:tc>
          <w:tcPr>
            <w:tcW w:w="5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during the year ended December 31, 2024, as compared to the prior year, was primarily due to lower debt balance, the reduction of the interest rate margin resulting from the repricing of our Term Loan B during the second quarter of 2024, and the Federal Reserve interest rate cut during the third quarter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44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2"/>
        </w:trPr>
        <w:tc>
          <w:tcPr>
            <w:tcW w:w="5000" w:type="dxa"/>
            <w:vAlign w:val="bottom"/>
          </w:tcPr>
          <w:p>
            <w:pPr>
              <w:spacing w:after="0"/>
              <w:rPr>
                <w:sz w:val="17"/>
                <w:szCs w:val="17"/>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r>
      <w:tr>
        <w:trPr>
          <w:trHeight w:val="19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and expense, net</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(750 )</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r>
      <w:tr>
        <w:trPr>
          <w:trHeight w:val="20"/>
        </w:trPr>
        <w:tc>
          <w:tcPr>
            <w:tcW w:w="50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decrease in other income and expense, net during the year ended December 31, 2024, as compared to the prior year, was primarily due to a decrease in interest income from significant financing components from certain revenue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recognized $0.5 million associated with the repricing of our Term Loan B and there were no such costs in 2023. Refer to discussion below for further detail on the repricing of our Term Loan 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4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2"/>
        </w:trPr>
        <w:tc>
          <w:tcPr>
            <w:tcW w:w="5020" w:type="dxa"/>
            <w:vAlign w:val="bottom"/>
          </w:tcPr>
          <w:p>
            <w:pPr>
              <w:spacing w:after="0"/>
              <w:rPr>
                <w:sz w:val="17"/>
                <w:szCs w:val="17"/>
                <w:color w:val="auto"/>
              </w:rPr>
            </w:pPr>
          </w:p>
        </w:tc>
        <w:tc>
          <w:tcPr>
            <w:tcW w:w="8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tcPr>
          <w:p>
            <w:pPr>
              <w:spacing w:after="0"/>
              <w:rPr>
                <w:sz w:val="17"/>
                <w:szCs w:val="17"/>
                <w:color w:val="auto"/>
              </w:rPr>
            </w:pPr>
          </w:p>
        </w:tc>
      </w:tr>
      <w:tr>
        <w:trPr>
          <w:trHeight w:val="19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16,564</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12,604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31 %</w:t>
            </w:r>
          </w:p>
        </w:tc>
      </w:tr>
      <w:tr>
        <w:trPr>
          <w:trHeight w:val="20"/>
        </w:trPr>
        <w:tc>
          <w:tcPr>
            <w:tcW w:w="50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we recorded an income tax expense of $16.6 million on a pretax income from continuing operations of $81.2 million, which resulted in an effective tax rate of 20.4%. The income tax expense of $16.6 million was primarily related to tax on current year income, foreign withholding tax and unrealized foreign exchange loss from prior year South Korea refund claims offset by releases of uncertain tax positions, the foreign derived intangible income deduction and foreign tax credits. The increase in income tax expense for the year ended December 31, 2024, as compared to the prior year, was attributable to tax on current year income and unrealized foreign exchange loss from prior year South Korea refund claims offset by releases of uncertain tax positions.</w:t>
      </w:r>
    </w:p>
    <w:p>
      <w:pPr>
        <w:spacing w:after="0" w:line="7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recorded an income tax expense of $12.6 million on a pretax income from continuing operations of $80.0 million, which resulted in an effective tax rate of 15.8%. The income tax expense of $12.6 million was primarily related to tax on current year income, foreign withholding tax and unrealized foreign exchange loss from prior year South Korea refund claims offset by releases of uncertain tax positions.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2024, we filed a refund claim for foreign taxes previously withheld from licensees in South Korea based on court rulings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Korea and other business factors. These previously withheld foreign taxes were claimed as a foreign tax credit in the U.S. As a result of the filed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refund claims, we recorded a total of $112.4 million and $120.3 million as a noncurrent income tax receivable at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$64.6 million and $64.6 million as a noncurrent income tax payable at December 31, 2024 and 2023, respectively, and $56.7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$49.1 million as a reduction in deferred tax assets at December 31, 2024 and 2023, respectively. Although the refund claim is subject to judicial review,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 we will receive refunds in the amount recorded in the receivable.</w:t>
      </w:r>
    </w:p>
    <w:p>
      <w:pPr>
        <w:spacing w:after="0" w:line="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need for a valuation allowance requires an assessment of both positive and negative evidence when determining whether it is more-likely-than-not that deferred tax assets are recoverable. Such assessment is required on a jurisdiction-by-jurisdiction basis. In making such an assessment, significant weight is given to evidence that can be objectively verified. After considering both positive and negative evidence to assess the realizability of our net deferred tax assets, we determined that the positive evidence outweighed the negative evidence primarily due to cumulative income from our IP Licensing business on a continuing operations basis and the expectation of sustained profitability in future periods, and concluded that it was more-likely-than-not that we would realize our U.S. federal and certain state deferred tax assets. As a result, during the fourth quarter of 2022, we released the valuation allowance on all the federal deferred tax assets and state deferred tax assets, except for California and certain other states where tax attributes can only be utilized against the income of specific legal entities. The release of the valuation allowance resulted in $86.1 million of tax benefit in the fourth quarter of 2022. We will maintain a full valuation allowance on our foreign deferred tax asset as the expectation of future taxable income is uncertain.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related to our liquidity and significant sources and uses of cash and cash equivalents as of and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8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110,392</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212,461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152,755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(24,022 )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(34,488 )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(164,174 )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(178,262 )</w:t>
            </w:r>
          </w:p>
        </w:tc>
      </w:tr>
    </w:tbl>
    <w:p>
      <w:pPr>
        <w:spacing w:after="0" w:line="19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our operating cash flows and our short-term investments in marketable securities. Cash, cash equivalents and marketable securities were $110.4 million at December 31, 2024, an increase of $26.8 million from $83.6 million at December 31, 2023. This increase resulted primarily from $212.5 million of cash generated from operations and $3.2 million in proceeds from our employee stock purchase program and exercise of stock options, partially offset by $114.2 million in repayment of long-term debt, $22.3 million in purchases of long-lived assets, $21.8 million in dividends paid, $20.0 million in repurchases of common stock ($1.3 million in repurchases of common stock were pending settlement as of December 31, 2024), and $12.8 million in repurchases of common stock for tax withholdings on equity awards.</w:t>
      </w:r>
    </w:p>
    <w:p>
      <w:pPr>
        <w:spacing w:after="0" w:line="18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continue to make additional payments on our existing debt from cash generated from operations. Our material cash requirements include the following contractual and other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December 31, 2024, we had outstanding long-term debt in an aggregate principal amount of $487.1 million, with a minimum of $28.1 million payable within 12 months. For the year ended December 31, 2023, we were required to make $29.1 million in payments based on the consolidated excess cash flow clause within the debt agreement. The excess cash flow payment was classified as current portion of long-term debt in the Consolidated Balance Sheet as of December 31, 2023. Based on certain leverage ratios and the voluntary prepayments we made during the year ended December 31, 2024, no excess cash flow payment is required in 2025.</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Future interest payments associated with the debt, based on current interest rates, total $117.2 million, with $36.7 million payable within 12 months. The interest payments may vary with changes in interest rates, as well as due to reductions of the principal amount. Refer to “Note 11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for additional information on debt obligations and maturities.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We have lease arrangements for office and research facilities, data centers and office equipment. As of December 31, 2024, fixed lease payment obligations amounted to $10.0 million, with $0.3 million payable within 12 months. Refer to “Note 8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Notes to Consolidated Financial Statements for additional information on lease obligations and maturities.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Prior to the Separation, we and a subsidiary of Xperi Inc. (“Xperi Sub”) entered into an agreement (the “Specified Agreement”) with a third party pursuant to which we guarantee the performance of Xperi Sub under the Specified Agreement, including its payment obligations to such third party. In connection with the Separation, we and Xperi Sub entered into a separate cross business agreement (the “Cross Business Agreement”) effective as of October 1, 2022 under which we agreed to make guarantee payments to Xperi Sub in amounts based on certain of its operating expenses and other minimum performance obligations under the Specified Agreement through 2031. Consequently, on October 1, 2022, we recognized a guarantee liability of $19.7 million which represents the fair value of our projected payments of such operating expenses during the term of the Cross Business Agreement. Subsequent changes to the carrying value of the guarantee are recognized as part of our results of operations. As of December 31, 2024, the balance of the guarantee liability is $17.1 million, including a current portion of $2.5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Purchase Obligations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Our other purchase obligations primarily consist of non-cancelable obligations related to advertising, engineering services and internet and telecommunications services. As of December 31, 2024, we had purchase obligations of $5.1 million, including $2.9 million due in 2025, $1.1 million due in 2026, and $1.1 million due thereafter. These purchase obligations represent commitments under enforceable and legally binding agreements and do not represent the entire anticipated purchases in the future. Refer to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for additional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Payable</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2024, we had accrued $84.6 million of unrecognized tax benefits in long-term income taxes payable related to uncertain tax positions, which includes an immaterial amount of accrued interest and penalties. At this time, we are unable to reasonably estimate the timing of the long-term payments or the amount by which the liability will increase or decrease over time. If we are successful in receiving our South Korean withholding tax refunds of $112.4 million, including interest and foreign exchange, then $64.6 million of unrecognized tax benefit would be payable to the U.S. tax authorities.</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to the cash requirements outlined above, we have returned cash to stockholders through both quarterly dividend payments and repurchases of our common stock under our stock repurchase plan, as further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Dividends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2024 and 2023, we paid quarterly dividends of $0.05 per share in each of the March, June, September and December quarterly periods. Our capacity to pay dividends in the future depends on many factors, including our financial condition, results of operations, capital requirements, capital structure, industry practice and other business conditions that the Board of Directors considers relevant. We anticipate that all quarterly dividends will be paid out of cash, cash equivalents and short-term investments in marketable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12, 2020, our Board of Directors terminated a prior stock repurchase program and approved a new stock repurchase plan (the “Plan”), which provides for the repurchase of up to $150.0 million of our common stock dependent on market conditions, share price and other factors. No expiration has been specified for this Plan. On April 22, 2021, our Board of Directors authorized an additional $100.0 million of purchases under the Plan, under which $172.2 million was utilized for stock repurchases, leaving the total authorized amount available for repurchase under the Plan at $77.8 million. In October 2024, our Board of Directors approved an increase of the existing share repurchase authorization up to a total of $200.0 million. The stock repurchases may be made from time to time, through solicited or unsolicited transactions in the open market, in privately negotiated transactions, or pursuant to a Rule 10b5-1 plan. Since the inception of the Plan, and through December 31, 2024, we have repurchased an aggregate of approximately 11.4 million shares of common stock at a total cost of $192.2 million at an average price of $16.83. As of December 31, 2024, the total remaining amount available for repurchase under the Plan was $180.0 million.</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7" w:name="page38"/>
    <w:bookmarkEnd w:id="37"/>
    <w:p>
      <w:pPr>
        <w:spacing w:after="0" w:line="274" w:lineRule="auto"/>
        <w:rPr>
          <w:sz w:val="20"/>
          <w:szCs w:val="20"/>
          <w:color w:val="auto"/>
        </w:rPr>
      </w:pPr>
      <w:r>
        <w:rPr>
          <w:rFonts w:ascii="Times New Roman" w:cs="Times New Roman" w:eastAsia="Times New Roman" w:hAnsi="Times New Roman"/>
          <w:sz w:val="17"/>
          <w:szCs w:val="17"/>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flows provided by operations were $212.5 million for the year ended December 31, 2024, primarily due to our net income of $64.6 million being adjusted for non-cash items of amortization of intangible assets of $70.7 million, stock-based compensation expense of $26.6 million, amortization of debt issuance costs of $3.5 million, depreciation of $2.1 million, partially offset by the change in deferred income tax of $(7.1) million, and $53.2 million net change in operating assets and liabilities.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Cash flows provided by operations were $152.8 million for the year ended December 31, 2023, primarily due to our net income of $67.4 million being adjusted for non-cash items of depreciation of $1.5 million, amortization of intangible assets of $93.7 million, stock-based compensation expense of $18.1 million, deferred income tax of $11.4 million, amortization of debt issuance costs of $4.3 million and $(43.4) million net change in operating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$24.0 million for the year ended December 31, 2024, primarily related to purchases of short-term investments in marketable securities of $33.2 million, and purchases of long-lived assets of $22.3 million, partially offset by maturities of marketable securities of $31.5 million.</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$34.5 million for the year ended December 31, 2023, primarily related to purchases of short-term investments in marketable securities of $42.8 million, and purchases of long-lived assets of $6.3 million, partially offset by maturities of marketable securities of $14.7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capital expenditures for property and equipment consist primarily of leasehold improvements, purchases of computer hardware and software, information systems, and production and test equipment. During the years ended December 31, 2024 and 2023, we spent $1.8 million and $3.8 million on capital expenditures, respectively. We expect capital expenditures in 2025 to be approximately $2.0 million. Our capital expenditures for intangible assets consists primarily of acquired patents. During the years ended December 31, 2024 and 2023, we spent $20.5 million and $2.5 million on purchases of intangible assets, respectively. These expenditures are expected to be financed with cash from operations, existing cash and cash equivalents and short-term investments. There can be no assurance that current expectations will be realized, and plans are subject to change upon further review of our capital expenditure needs.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$164.2 million for the year ended December 31, 2024 principally due to $114.2 million in repayment of indebtedness, $21.8 million in dividends paid, $20.0 million in repurchases of common stock ($1.3 million in repurchases of common stock were pending settlement as of December 31, 2024), and $12.8 million in repurchases of common stock for tax withholdings on equity awards, partially offset by $3.2 million in proceeds from our employee stock purchase program and exercise of stock options.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$178.3 million for the year ended December 31, 2023 principally due to $148.0 million in repayment of indebtedness, $21.3 million in dividends paid, and $11.3 million in repurchases of common stock for tax withholdings on equity awards, partially offset by $2.4 million in proceeds from the issuance of common stock under our employee stock grant programs and employee stock purchase plans.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60"/>
        <w:spacing w:after="0" w:line="254" w:lineRule="auto"/>
        <w:rPr>
          <w:sz w:val="20"/>
          <w:szCs w:val="20"/>
          <w:color w:val="auto"/>
        </w:rPr>
      </w:pPr>
      <w:r>
        <w:rPr>
          <w:rFonts w:ascii="Times New Roman" w:cs="Times New Roman" w:eastAsia="Times New Roman" w:hAnsi="Times New Roman"/>
          <w:sz w:val="18"/>
          <w:szCs w:val="18"/>
          <w:color w:val="auto"/>
        </w:rPr>
        <w:t>On June 8, 2021, we entered into Amendment No. 1 (“Amendment No. 1”) to that certain Credit Agreement dated June 1, 2020 by and among us,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us with additional flexibility under the covenant governing restricted payments.</w:t>
      </w:r>
    </w:p>
    <w:p>
      <w:pPr>
        <w:spacing w:after="0" w:line="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30, 2023, we entered into Amendment No. 2 (“Amendment No. 2”) to the 2020 Credit Agreement to replace the reference to LIBOR as the base rate with the reference to the Secured Overnight Financing Rate “SOFR” as administered by the Federal Reserve Bank of New York.</w:t>
      </w:r>
    </w:p>
    <w:p>
      <w:pPr>
        <w:spacing w:after="0" w:line="5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On May 20, 2024, we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w:t>
      </w:r>
    </w:p>
    <w:p>
      <w:pPr>
        <w:spacing w:after="0" w:line="1" w:lineRule="exact"/>
        <w:rPr>
          <w:sz w:val="20"/>
          <w:szCs w:val="20"/>
          <w:color w:val="auto"/>
        </w:rPr>
      </w:pPr>
    </w:p>
    <w:p>
      <w:pPr>
        <w:ind w:right="140" w:firstLine="8"/>
        <w:spacing w:after="0" w:line="253"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SOFR loans, 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30, 2025, the Company entered into Amendment No. 4 (“Amendment No. 4”) to the 2020 Credit Agreement, which provided for, among other things, (i) a repricing of the 2020 Term Loan B Facility through a refinancing of the entire amount of the 2024 Term Loan B (the “2025 Term Loan B”) in an aggregate principal amount of $487.1 million, (ii) a reduction of the interest rate margin applicable to such loans to (x) in the case of SOFR loans, 2.50% per annum and (y) in the case of base rate loans, 1.50% per annum and (iii) a prepayment premium of 1.00% in connection with any repricing transaction with respect to the 2025 Term Loan B within six months of the closing date of Amendment No. 4. The 2025 Term Loan B will mature on June 8, 2028, the same date upon which the 2024 Term Loan B matured prior to giving effect to Amendment No. 4.</w:t>
      </w:r>
    </w:p>
    <w:p>
      <w:pPr>
        <w:spacing w:after="0" w:line="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December 31, 2024, $487.1 million was outstanding under the term loan B facility with an interest rate, including unamortized debt discount and issuance costs of $11.6 million. Interest is payable monthly. Under the existing loan agreement, we have future minimum principal payments for $28.1 million each year from 2025 through 2027, with the remaining principal balance of $402.9 million due in 2028. After the Separation, we own the debt under the term loan B facility. Additionally, we paid $29.1 million during the year ended December 31, 2024, based on certain leverage ratios and our excess cash flow generated for the year ended December 31, 2023.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we made during the year ended December 31, 2024, no excess cash flow payment is required in 2025. The term loan B facility contains customary covenants, and as of December 31, 2024, we were in full compliance with such covenants.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upon our consolidated financial statements. These financial statements have been prepared in conformity with generally accepted accounting principles (“GAAP”) in the United States which requires us to make estimates and judgments that affect the reported amounts of assets, liabilities, revenue and expenses and related disclosure of contingent assets and liabilities. By their nature, these estimates and judgments are subject to an inherent degree of uncertainty. We evaluate our estimates based on our historical experience and various other assumptions that are believed to be reasonable under the circumstances. These estimates relate to revenue recognition, the assessment of recoverability of goodwill and intangible assets, business combinations, recognition and measurement of deferred income tax assets and liabilities, the assessment of unrecognized tax benefits and others. Actual results could differ from those estimates, and material effects on our operating results and financial position may result.</w:t>
      </w:r>
    </w:p>
    <w:p>
      <w:pPr>
        <w:spacing w:after="0" w:line="19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 xml:space="preserve">We believe the following accounting policies and estimates are most critical to understanding our consolidated financial statements. 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and “Note 4 –</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of the Notes to Consolidated Financial Statements for a full description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 from the licensing of our intellectual property (“IP”) rights to customers. Generally, revenue is recognized upon transfer of control of the IP rights to customers in an amount that reflects the consideration that we expect to be entitled to in exchange for those IP rights. The primary judgments include identifying the performance obligations in the contract, estimating variable consideration relating to potential future price adjustments as a result of legal contract disputes, estimating quarterly royalties prior to receiving the royalty reports from the licensee, determining standalone selling price and allocating consideration in a contract with multiple performance obligations.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the uncertainty associated with variable consideration relates to potential future price adjustments as a result of a legal contract dispute, we estimate variable consideration using the expected value method or the most likely amount method, whichever is more appropriate in the circumstances, and consider all available information, including historical data and experience. Estimating variable consideration related to potential future price adjustments requires significant management judgment in evaluating the possible outcomes.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generally recognize royalty revenue from per-unit or per-subscriber licenses based on units shipped or manufactured or number of subscribers. Revenue is recognized in the period in which the customer’s sales or usage are estimated to have occurred. This may result in an adjustment to revenue when actual sales or usage are subsequently reported by the customer, generally in the month or quarter following sales or usage. Estimating a customer’s quarterly royalties prior to receiving the royalty reports requires us to make significant assumptions and judgments related to forecasted trends and growth rates used to estimate sales or usage, which could have a material impact on the amount of revenue we report on a quarterly basis.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we enter into long-term license contracts, which may include releases from past patent infringement claims or one or more prospective licenses. In these contracts, we allocate the transaction price between releases for past patent infringement claims and prospective licenses based on their relative standalone selling prices, which requires significant management judgment. In determining the standalone selling price of each performance obligation, we consider such factors as the customer’s revenues, the number of past and projected future subscribers, units shipped, and units manufactured, as well as the per-subscriber or per-unit licensing rates we generally receive from licensees of comparable sizes in comparable markets and geographies. 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must make certain estimates and judgments in determining income tax expense for financial statement purposes. These estimates and judgments are used in the calculation of tax credits, tax benefits and deductions and in the calculation of tax assets and liabilities. Significant changes to these estimates may result in an increase or decrease to our tax provision in a subsequent period.</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must assess the likelihood that we will be able to realize our deferred tax assets. If realizability is not likely on a more-likely-than-not basis, we must increase our provision for income taxes by recording a valuation allowance against our deferred tax assets. We considered the scheduled reversal of deferred tax liabilities, projected future taxable income and tax planning strategies in making this assessment. Should there be a change in our ability to recover our deferred tax assets, our provision for income taxes would fluctuate in the period of the change.</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authoritative guidance related to income taxes. The calculation of our unrecognized tax benefits involves dealing with uncertainties in the application of complex tax regulations. As such, we are required to make many subjective assumptions and judgments regarding our income tax exposures. We record unrecognized tax benefits for anticipated tax audit issues in the U.S. and other tax jurisdictions based on our estimate of whether, and the extent to which, additional tax liabilities are more-likely-than-not, assuming the tax authorities have full knowledge of all relevant information. If we ultimately determine that the tax liabilities are unnecessary, we reverse the liabilities and recognize a tax benefit during the period in which it occurs. This may occur for a variety of reasons, such as the expiration of the statute of limitations on a particular tax return or the completion of an examination by the relevant tax authority. We record an additional charge in our provision for taxes in the period in which we determine that the recorded unrecognized tax benefits are less than the expected ultimate settlement.</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Our policy is to classify accrued interest and penalties related to the accrued liability for unrecognized tax benefits in the provision for income taxes. For the years ended December 31, 2024 and 2023, respectively, we did not recognize any significant interest or penalties. See “Note 15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for additional detail.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and maintain liquidity, while at the same time capturing a market rate of return. To achieve these objectives, we maintain our portfolio of cash, cash equivalents and investments in a variety of securities, which are subject to risks including: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December 31, 2024, we had $487.1 million of outstanding indebtedness that was subject to floating interest rates. Changes in economic conditions outside of our control could result in higher interest rates, thereby increasing our interest expense and reducing the funds available for capital investment, operations or other purposes. At December 31, 2024, a 1% increase in the effective interest rate on our outstanding debt throughout a one-year period would result in an annual increase in our interest expense of approximately $4.8 million. Any significant increase in our interest expense could negatively impact our results of operations and cash flows and also our ability to pay dividends in the future. If the U.S. Federal Reserve raises its benchmark interest rate, any increases would likely impact the borrowing rate on our outstanding indebtedness, and increase our interest expense, comparably.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Risk</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exposed to market risk as it relates to changes in the market value of our investments in addition to the liquidity and credit-worthiness of the underlying issuers of our investments. Our investments are subject to fluctuations in fair value due to the volatility of the credit markets and prevailing interest rates for such securities. Our marketable debt securities, consisting primarily of municipal bonds and notes, corporate bonds and notes, commercial paper, treasury and agency notes and bills and certificates of deposit, are classified as available-for-sale securities. As of December 31, 2024, the fair value of our investments classified as marketable securities was $31.6 million. Unrealized losses, net of tax, on these investments were not material as of December 31, 2024. We did not hold any derivatives, derivative commodity instruments or other similar financial instruments in our portfolio as of December 31,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Liquidity Risk</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2024, we have approximately $74.0 million of cash in operating accounts that are held with both domestic and international financial institutions, the majority of which is held with high quality domestic financial institutions. These cash balances could be lost or become inaccessible if the underlying financial institutions fail or if they are unable to meet the liquidity requirements of their depositors and they are not supported by the government of the jurisdiction where such cash is held. We have not incurred any losses and have had full access to our operating accounts to date. We believe any failures of domestic and international financial institutions could impact our ability to fund our operations in the short term.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international business is subject to risks, including, but not limited to, differing economic conditions, changes in political climate, differing tax structures, other regulations and restrictions and foreign exchange rate volatility when compared to the U.S. dollar. Accordingly, our future results could be materially impacted by changes in these or other factors.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affected by exchange rate fluctuations as the financial statements of our foreign subsidiaries are translated into U.S. dollars in consolidation. As exchange rates vary, these results, when translated, may vary from expectations and could adversely or positively impact overall profitability. During 2024, the impact of foreign exchange rate fluctuations related to translation of our foreign subsidiaries’ financial statements was immaterial to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Consolidated Balance Sheets as of December 31, 2024 and 2023, and the related Consolidated Statements of Operations, Equity, Comprehensive Income (Loss) and Cash Flows for each of the years in the three-year period ended December 31, 2024 are set forth in this Annual Report at Item 15(a)(1).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Attached as exhibits to this Form 10-K are certifications of Adeia Inc.’s Chief Executive Officer and Chief Financial Officer, which are required in accordance with Rules 13a-15(e) and 15d-15(e) of the Exchange Act. This “Controls and Procedures” section includes information concerning the controls and controls evaluation referred to in the certifications and should be read in conjunction with the certifications for a more complete understanding of the topics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Adeia Inc. maintains disclosure controls and procedures that are designed to ensure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Based on this evaluation, our Chief Executive Officer and Chief Financial Officer concluded as of December 31, 2024 that our disclosure controls and procedures were effective to provide reasonable assurance that the information relating to Adeia Inc., including our consolidated subsidiaries, required to be disclosed in our reports that are filed or submitted under the Exchange Act (i) is recorded, processed, summarized and reported within the time periods specified in Commission’s rules and forms, and (ii) is accumulated and communicated to Adeia Inc.’s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Adeia Inc. Our internal control over financial reporting is a process designed to provide reasonable assurance regarding the reliability of financial reporting and the preparation of financial statements for external purposes in accordance with generally accepted accounting principles. Adeia Inc.’s internal control over financial reporting includes those policies and procedures that (i) pertain to the maintenance of records that, in reasonable detail, accurately and fairly reflect the transactions and dispositions of the assets of Adeia Inc.; (ii) provide reasonable assurance that transactions are recorded as necessary to permit preparation of financial statements in accordance with generally accepted accounting principles, and that receipts and expenditures of Adeia Inc. are being made only in accordance with authorizations of management and directors of Adeia Inc.; and (iii) provide reasonable assurance regarding prevention or timely detection of unauthorized acquisition, use, or disposition of Adeia Inc.’s assets that could have a material effect on the financial statements.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Adeia Inc.’s management assessed the effectiveness of our internal control over financial reporting as of December 31, 2024, utilizing the criteria described in Internal Control-Integrated Framework (2013) issued by the Committee of Sponsoring Organizations of the Treadway Commission (COSO). Based on the assessment by Adeia Inc.’s management, we determined that Adeia Inc.’s internal control over financial reporting was effective as of December 31, 2024. The effectiveness of Adeia Inc.’s internal control over financial reporting as of December 31, 2024 has been audited by PricewaterhouseCoopers LLP, an independent registered public accounting firm, as stated in their report which appears on page 46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December 31, 2024, there were no changes to our internal control over financial reporting, as defined in Exchange Act Rules 13a-15(f) and 15d-15(f) that have materially affected, or that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internal control will be met. Further, the design of a control system must reflect the fact that there are resource constraints, and the benefits of the controls must be considered relative to their costs. While our disclosure controls and procedures and internal control over financial reporting are designed to provide reasonable assurance of their effectiveness, because of the inherent limitations in all control systems, no evaluation of controls can provide absolute assurance that all control issues and instances of fraud, if any, will be detected. These inherent limitations include the realities that judgments in decision 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information that was required to be disclosed in a report on Form 8-K during the fourth quarter of 2024 but was not reported.</w:t>
      </w:r>
    </w:p>
    <w:p>
      <w:pPr>
        <w:spacing w:after="0" w:line="225"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quarter ended December 31, 2024,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is hereby incorporated by reference from the information under the captions “Executive Officers,” “Election of Directors,” "Board and Committees of the Board; Director Independence" and “Delinquent Section 16(a) Reports” that will be contained in the Proxy Statement for our 2025 Annual Meeting of Stockholders (the “Proxy Statement”).</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principal executive officer, principal financial officer, principal accounting officer or controller, or persons serving similar functions. The text of our code of business conduct and ethics has been posted on our website at http://www.adeia.com.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Policies and Procedures</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and procedures governing the purchase, sale and/or other disposition of our securities by directors, officers and employees, or Adeia itself, that we believe are reasonably designed to promote compliance with insider trading laws, rules and regulations and any listing standards applicable to the Company. A copy of our Insider Trading policy is filed with this Annual Report on Form 10-K as Exhibit 19.1.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from the information under the captions “Election of Directors,” “Compensation Discussion and Analysis,” “Compensation of Named Executive Officers” and “Report of the Compensation Committee” that will be contained in the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incorporated by reference from the information under the captions “Equity Compensation Plan Information” and “Security Ownership of Certain Beneficial Owners and Management” that will be contained in the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from the information under the captions “Certain Relationships and Related Transactions” and “Election of Directors” that will be contained in the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from the information under the caption “Ratification of Appointment of Independent Registered Public Accounting Firm” that will be contained in the Proxy Statement.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Documents filed as part of this report:</w:t>
      </w:r>
    </w:p>
    <w:p>
      <w:pPr>
        <w:spacing w:after="0" w:line="221" w:lineRule="exact"/>
        <w:rPr>
          <w:sz w:val="20"/>
          <w:szCs w:val="20"/>
          <w:color w:val="auto"/>
        </w:rPr>
      </w:pPr>
    </w:p>
    <w:p>
      <w:pPr>
        <w:jc w:val="center"/>
        <w:ind w:left="1026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jc w:val="center"/>
        <w:ind w:left="102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5715</wp:posOffset>
            </wp:positionV>
            <wp:extent cx="5226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96" w:lineRule="exact"/>
        <w:rPr>
          <w:sz w:val="20"/>
          <w:szCs w:val="20"/>
          <w:color w:val="auto"/>
        </w:rPr>
      </w:pPr>
    </w:p>
    <w:p>
      <w:pPr>
        <w:ind w:left="420" w:hanging="338"/>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Statements</w:t>
      </w:r>
    </w:p>
    <w:p>
      <w:pPr>
        <w:spacing w:after="0" w:line="243" w:lineRule="exact"/>
        <w:rPr>
          <w:sz w:val="20"/>
          <w:szCs w:val="20"/>
          <w:color w:val="auto"/>
        </w:rPr>
      </w:pPr>
    </w:p>
    <w:tbl>
      <w:tblPr>
        <w:tblLayout w:type="fixed"/>
        <w:tblInd w:w="90" w:type="dxa"/>
        <w:tblCellMar>
          <w:top w:w="0" w:type="dxa"/>
          <w:left w:w="0" w:type="dxa"/>
          <w:bottom w:w="0" w:type="dxa"/>
          <w:right w:w="0" w:type="dxa"/>
        </w:tblCellMar>
      </w:tblPr>
      <w:tr>
        <w:trPr>
          <w:trHeight w:val="207"/>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1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1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1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12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25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5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92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Schedule</w:t>
            </w:r>
          </w:p>
        </w:tc>
        <w:tc>
          <w:tcPr>
            <w:tcW w:w="1580" w:type="dxa"/>
            <w:vAlign w:val="bottom"/>
          </w:tcPr>
          <w:p>
            <w:pPr>
              <w:spacing w:after="0"/>
              <w:rPr>
                <w:sz w:val="24"/>
                <w:szCs w:val="24"/>
                <w:color w:val="auto"/>
              </w:rPr>
            </w:pPr>
          </w:p>
        </w:tc>
      </w:tr>
      <w:tr>
        <w:trPr>
          <w:trHeight w:val="418"/>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Valuation and Qualifying Accounts for Fiscal Years Ended December 31, 2024, 2023 and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7520" w:type="dxa"/>
            <w:vAlign w:val="bottom"/>
            <w:gridSpan w:val="8"/>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92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1580" w:type="dxa"/>
            <w:vAlign w:val="bottom"/>
          </w:tcPr>
          <w:p>
            <w:pPr>
              <w:spacing w:after="0"/>
              <w:rPr>
                <w:sz w:val="24"/>
                <w:szCs w:val="24"/>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exhibits listed on the Exhibit Index preceding the signature page to this Annual Report are filed as part of this Annual Report.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 Firm Id: 238 Auditor Name: PricewaterhouseCoopers LLP Auditor Location: San Jose, California, USA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sectPr>
      </w:pPr>
    </w:p>
    <w:bookmarkStart w:id="45" w:name="page46"/>
    <w:bookmarkEnd w:id="4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Adeia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Adeia Inc. and its subsidiaries (the “Company”) as of December 31, 2024 and 2023, and the related consolidated statements of operations, of comprehensive income (loss), of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Allocation of Transaction Price to Performance Obligations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at times, the Company enters into long-term license contracts with more than one performance obligation, which may include releases from past patent infringement claims or one or more prospective licenses. In these arrangements, management allocates the transaction price between releases for past patent infringement claims and prospective licenses based on their relative standalone selling prices, which requires significant management judgment. The Company recorded total revenue of $376 million for the year ended December 31, 2024, of which a significant portion relates to arrangements with multiple performance obligations. In determining the standalone selling price of each performance obligation, management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 allocation of transaction price to performance obligations is a critical audit matter are (i) the significant judgment by management when determining the standalone selling price for performance obligations and allocating the transaction price on a relative standalone selling price basis to those performance obligations and (ii) a high degree of auditor judgment, subjectivity and effort in performing procedures and evaluating management’s determination of the standalone selling price and the allocation of transaction price to performance obligations.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licensing revenue recognition process, including controls over the determination of the standalone selling price and the allocation of transaction price to performance obligations. These procedures also included, among others, for a sample of contracts, (i) reading the executed contract to understand the terms and conditions, (ii) evaluating management’s identification of the performance obligations, (iii) evaluating and testing the reasonableness of the factors used in management’s determination of standalone selling price, and (iv) testing management’s determination of the transaction price and the allocation of the transaction price to the performance obligations based on the relative standalone selling price. Testing the determination of the standalone selling price involved testing the completeness and accuracy of the data utilized by management.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(in thousands, </w:t>
      </w:r>
      <w:r>
        <w:rPr>
          <w:rFonts w:ascii="Times New Roman" w:cs="Times New Roman" w:eastAsia="Times New Roman" w:hAnsi="Times New Roman"/>
          <w:sz w:val="17"/>
          <w:szCs w:val="17"/>
          <w:b w:val="1"/>
          <w:bCs w:val="1"/>
          <w:color w:val="auto"/>
        </w:rPr>
        <w:t>except</w:t>
      </w:r>
      <w:r>
        <w:rPr>
          <w:rFonts w:ascii="Times New Roman" w:cs="Times New Roman" w:eastAsia="Times New Roman" w:hAnsi="Times New Roman"/>
          <w:sz w:val="16"/>
          <w:szCs w:val="16"/>
          <w:b w:val="1"/>
          <w:bCs w:val="1"/>
          <w:color w:val="auto"/>
        </w:rPr>
        <w:t xml:space="preserve">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388,788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247,415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252,558</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(52,539 )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(62,574 )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(45,335 )</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(453 )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81,187</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79,976</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109,772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(28,620 )</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(298,586 )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Less: Net loss attributable to non-controlling interest in</w:t>
            </w:r>
          </w:p>
        </w:tc>
        <w:tc>
          <w:tcPr>
            <w:tcW w:w="30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(2,706 )</w:t>
            </w: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26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(295,880 )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(loss) per share: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197"/>
        </w:trPr>
        <w:tc>
          <w:tcPr>
            <w:tcW w:w="660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197"/>
        </w:trPr>
        <w:tc>
          <w:tcPr>
            <w:tcW w:w="660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used in per share calculations-basic</w:t>
            </w: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108,647</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106,554</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104,336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calculations-diluted</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113,061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112,849</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-3316605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-3316605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-2759710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-2759710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-2185035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-2185035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-1765300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-1765300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-899795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-882015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-899795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-882015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-316865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-299720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-316865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-299720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(298,586 )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(4,425 )</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gains on marketable securities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(4,380 )</w:t>
            </w: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(302,966 )</w:t>
            </w: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(2,706 )</w:t>
            </w: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the Company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(300,260 )</w:t>
            </w: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-479425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-479425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for par value)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$713 and $1,463, respectively</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258,376</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205,842</w:t>
            </w:r>
          </w:p>
        </w:tc>
        <w:tc>
          <w:tcPr>
            <w:tcW w:w="100" w:type="dxa"/>
            <w:vAlign w:val="bottom"/>
          </w:tcPr>
          <w:p>
            <w:pPr>
              <w:spacing w:after="0"/>
              <w:rPr>
                <w:sz w:val="18"/>
                <w:szCs w:val="18"/>
                <w:color w:val="auto"/>
              </w:rPr>
            </w:pP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301,177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receivable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120,338</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1,097,961</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legal fees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73,106</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102,038</w:t>
            </w:r>
          </w:p>
        </w:tc>
        <w:tc>
          <w:tcPr>
            <w:tcW w:w="100" w:type="dxa"/>
            <w:vAlign w:val="bottom"/>
          </w:tcPr>
          <w:p>
            <w:pPr>
              <w:spacing w:after="0"/>
              <w:rPr>
                <w:sz w:val="18"/>
                <w:szCs w:val="18"/>
                <w:color w:val="auto"/>
              </w:rPr>
            </w:pP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454,435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81,834</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701,390</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748,934</w:t>
            </w:r>
          </w:p>
        </w:tc>
        <w:tc>
          <w:tcPr>
            <w:tcW w:w="100" w:type="dxa"/>
            <w:vAlign w:val="bottom"/>
          </w:tcPr>
          <w:p>
            <w:pPr>
              <w:spacing w:after="0"/>
              <w:rPr>
                <w:sz w:val="18"/>
                <w:szCs w:val="18"/>
                <w:color w:val="auto"/>
              </w:rPr>
            </w:pPr>
          </w:p>
        </w:tc>
      </w:tr>
      <w:tr>
        <w:trPr>
          <w:trHeight w:val="21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1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(2024: 15,000 shares; 2023: 15,000 shares) and no shares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(2024: authorized 350,000 shares, issued 123,952 shares, outstanding</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108,072 shares; 2023: authorized 350,000 shares, issued 120,730 shares, outstanding 107,384 shares)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648,914</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635,331</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(2024: 15,880 shares; 2023: 13,346 shares)</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(255,301 )</w:t>
            </w:r>
          </w:p>
        </w:tc>
        <w:tc>
          <w:tcPr>
            <w:tcW w:w="4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(222,497 )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(56,325 )</w:t>
            </w:r>
          </w:p>
        </w:tc>
      </w:tr>
      <w:tr>
        <w:trPr>
          <w:trHeight w:val="21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396,571</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1,097,961</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-4928235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-3813810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-2682240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-1842770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r>
      <w:tr>
        <w:trPr>
          <w:trHeight w:val="19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64,623</w:t>
            </w:r>
          </w:p>
        </w:tc>
        <w:tc>
          <w:tcPr>
            <w:tcW w:w="2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67,372</w:t>
            </w:r>
          </w:p>
        </w:tc>
        <w:tc>
          <w:tcPr>
            <w:tcW w:w="2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(298,586 )</w:t>
            </w:r>
          </w:p>
        </w:tc>
      </w:tr>
      <w:tr>
        <w:trPr>
          <w:trHeight w:val="20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(loss) to net cash from operating activities: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17,144</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70,721</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93,735</w:t>
            </w: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143,243</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Goodwill impairment</w:t>
            </w:r>
          </w:p>
        </w:tc>
        <w:tc>
          <w:tcPr>
            <w:tcW w:w="3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354,000</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26,641</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18,057</w:t>
            </w: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52,626</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(7,141 )</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(40,301 )</w:t>
            </w:r>
          </w:p>
        </w:tc>
      </w:tr>
      <w:tr>
        <w:trPr>
          <w:trHeight w:val="203"/>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(1,573 )</w:t>
            </w: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(252 )</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24,892</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Unbilled contracts receivable</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(18,052 )</w:t>
            </w:r>
          </w:p>
        </w:tc>
        <w:tc>
          <w:tcPr>
            <w:tcW w:w="2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(34,303 )</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(86,673 )</w:t>
            </w:r>
          </w:p>
        </w:tc>
      </w:tr>
      <w:tr>
        <w:trPr>
          <w:trHeight w:val="203"/>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(4,502 )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(3,243 )</w:t>
            </w:r>
          </w:p>
        </w:tc>
      </w:tr>
      <w:tr>
        <w:trPr>
          <w:trHeight w:val="203"/>
        </w:trPr>
        <w:tc>
          <w:tcPr>
            <w:tcW w:w="6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(372 )</w:t>
            </w:r>
          </w:p>
        </w:tc>
        <w:tc>
          <w:tcPr>
            <w:tcW w:w="2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(894 )</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18,601</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(14,604 )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(3,614 )</w:t>
            </w:r>
          </w:p>
        </w:tc>
      </w:tr>
      <w:tr>
        <w:trPr>
          <w:trHeight w:val="203"/>
        </w:trPr>
        <w:tc>
          <w:tcPr>
            <w:tcW w:w="6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(7,355 )</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(215 )</w:t>
            </w:r>
          </w:p>
        </w:tc>
      </w:tr>
      <w:tr>
        <w:trPr>
          <w:trHeight w:val="196"/>
        </w:trPr>
        <w:tc>
          <w:tcPr>
            <w:tcW w:w="6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212,461</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152,755</w:t>
            </w: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(1,821 )</w:t>
            </w: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(3,812 )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(12,576 )</w:t>
            </w:r>
          </w:p>
        </w:tc>
      </w:tr>
      <w:tr>
        <w:trPr>
          <w:trHeight w:val="20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(20,476 )</w:t>
            </w: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(2,531 )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(290 )</w:t>
            </w:r>
          </w:p>
        </w:tc>
      </w:tr>
      <w:tr>
        <w:trPr>
          <w:trHeight w:val="20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paid for mergers and acquisitions</w:t>
            </w:r>
          </w:p>
        </w:tc>
        <w:tc>
          <w:tcPr>
            <w:tcW w:w="3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(50,473 )</w:t>
            </w:r>
          </w:p>
        </w:tc>
      </w:tr>
      <w:tr>
        <w:trPr>
          <w:trHeight w:val="20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(33,175 )</w:t>
            </w: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(42,845 )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(4,490 )</w:t>
            </w:r>
          </w:p>
        </w:tc>
      </w:tr>
      <w:tr>
        <w:trPr>
          <w:trHeight w:val="20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3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100" w:type="dxa"/>
            <w:vAlign w:val="bottom"/>
          </w:tcPr>
          <w:p>
            <w:pPr>
              <w:spacing w:after="0"/>
              <w:rPr>
                <w:sz w:val="17"/>
                <w:szCs w:val="17"/>
                <w:color w:val="auto"/>
              </w:rPr>
            </w:pPr>
          </w:p>
        </w:tc>
      </w:tr>
      <w:tr>
        <w:trPr>
          <w:trHeight w:val="20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31,450</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14,700</w:t>
            </w: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Net cash from investing activities</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(24,022 )</w:t>
            </w:r>
          </w:p>
        </w:tc>
        <w:tc>
          <w:tcPr>
            <w:tcW w:w="2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(34,488 )</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(2,913 )</w:t>
            </w:r>
          </w:p>
        </w:tc>
      </w:tr>
      <w:tr>
        <w:trPr>
          <w:trHeight w:val="19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payments on debt agreements</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(114,167 )</w:t>
            </w:r>
          </w:p>
        </w:tc>
        <w:tc>
          <w:tcPr>
            <w:tcW w:w="2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(148,000 )</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(40,500 )</w:t>
            </w:r>
          </w:p>
        </w:tc>
      </w:tr>
      <w:tr>
        <w:trPr>
          <w:trHeight w:val="20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of dividends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(21,767 )</w:t>
            </w: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(21,339 )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(20,888 )</w:t>
            </w:r>
          </w:p>
        </w:tc>
      </w:tr>
      <w:tr>
        <w:trPr>
          <w:trHeight w:val="20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 of Xperi Inc.</w:t>
            </w:r>
          </w:p>
        </w:tc>
        <w:tc>
          <w:tcPr>
            <w:tcW w:w="3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(182,928 )</w:t>
            </w:r>
          </w:p>
        </w:tc>
      </w:tr>
      <w:tr>
        <w:trPr>
          <w:trHeight w:val="20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program and exercise of stock options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Repurchases of common stock for tax withholdings on equity awards</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(12,781 )</w:t>
            </w:r>
          </w:p>
        </w:tc>
        <w:tc>
          <w:tcPr>
            <w:tcW w:w="2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(11,274 )</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(15,941 )</w:t>
            </w:r>
          </w:p>
        </w:tc>
      </w:tr>
      <w:tr>
        <w:trPr>
          <w:trHeight w:val="202"/>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(18,706 )</w:t>
            </w:r>
          </w:p>
        </w:tc>
        <w:tc>
          <w:tcPr>
            <w:tcW w:w="28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(17,260 )</w:t>
            </w:r>
          </w:p>
        </w:tc>
      </w:tr>
      <w:tr>
        <w:trPr>
          <w:trHeight w:val="20"/>
        </w:trPr>
        <w:tc>
          <w:tcPr>
            <w:tcW w:w="6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(164,174 )</w:t>
            </w:r>
          </w:p>
        </w:tc>
        <w:tc>
          <w:tcPr>
            <w:tcW w:w="2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(178,262 )</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(263,257 )</w:t>
            </w:r>
          </w:p>
        </w:tc>
      </w:tr>
      <w:tr>
        <w:trPr>
          <w:trHeight w:val="20"/>
        </w:trPr>
        <w:tc>
          <w:tcPr>
            <w:tcW w:w="6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(3,419 )</w:t>
            </w:r>
          </w:p>
        </w:tc>
      </w:tr>
      <w:tr>
        <w:trPr>
          <w:trHeight w:val="20"/>
        </w:trPr>
        <w:tc>
          <w:tcPr>
            <w:tcW w:w="6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(59,995 )</w:t>
            </w:r>
          </w:p>
        </w:tc>
        <w:tc>
          <w:tcPr>
            <w:tcW w:w="2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(86,566 )</w:t>
            </w:r>
          </w:p>
        </w:tc>
      </w:tr>
      <w:tr>
        <w:trPr>
          <w:trHeight w:val="203"/>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54,560</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114,555</w:t>
            </w: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201,121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78,825</w:t>
            </w:r>
          </w:p>
        </w:tc>
        <w:tc>
          <w:tcPr>
            <w:tcW w:w="2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54,560</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114,555</w:t>
            </w:r>
          </w:p>
        </w:tc>
        <w:tc>
          <w:tcPr>
            <w:tcW w:w="10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46,771</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57,760</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12,494</w:t>
            </w:r>
          </w:p>
        </w:tc>
        <w:tc>
          <w:tcPr>
            <w:tcW w:w="28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10,318</w:t>
            </w:r>
          </w:p>
        </w:tc>
        <w:tc>
          <w:tcPr>
            <w:tcW w:w="280" w:type="dxa"/>
            <w:vAlign w:val="bottom"/>
          </w:tcPr>
          <w:p>
            <w:pPr>
              <w:spacing w:after="0"/>
              <w:rPr>
                <w:sz w:val="15"/>
                <w:szCs w:val="15"/>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24,782</w:t>
            </w:r>
          </w:p>
        </w:tc>
        <w:tc>
          <w:tcPr>
            <w:tcW w:w="100" w:type="dxa"/>
            <w:vAlign w:val="bottom"/>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Unpaid purchases of property and equipment at the end of the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Unpaid purchases of intangible assets at the end of the period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Pr>
          <w:p>
            <w:pPr>
              <w:spacing w:after="0"/>
              <w:rPr>
                <w:sz w:val="15"/>
                <w:szCs w:val="15"/>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80" w:type="dxa"/>
            <w:vAlign w:val="bottom"/>
          </w:tcPr>
          <w:p>
            <w:pPr>
              <w:spacing w:after="0"/>
              <w:rPr>
                <w:sz w:val="15"/>
                <w:szCs w:val="15"/>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acquisition of intangible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-3813810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-3813810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-2776855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-2776855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-1731010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-1731010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-1456690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-1456690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-1190625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-1190625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-642620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-624840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-642620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-624840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-334010</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-316865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-334010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-316865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Total Company Stockholders' Equity</w:t>
            </w: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3"/>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660" w:type="dxa"/>
            <w:vAlign w:val="bottom"/>
            <w:gridSpan w:val="4"/>
            <w:vMerge w:val="restart"/>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w:t>
            </w:r>
          </w:p>
        </w:tc>
        <w:tc>
          <w:tcPr>
            <w:tcW w:w="100" w:type="dxa"/>
            <w:vAlign w:val="bottom"/>
          </w:tcPr>
          <w:p>
            <w:pPr>
              <w:spacing w:after="0"/>
              <w:rPr>
                <w:sz w:val="10"/>
                <w:szCs w:val="10"/>
                <w:color w:val="auto"/>
              </w:rPr>
            </w:pP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7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Noncontrollin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60" w:type="dxa"/>
            <w:vAlign w:val="bottom"/>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20" w:type="dxa"/>
            <w:vAlign w:val="bottom"/>
          </w:tcPr>
          <w:p>
            <w:pPr>
              <w:spacing w:after="0"/>
              <w:rPr>
                <w:sz w:val="10"/>
                <w:szCs w:val="10"/>
                <w:color w:val="auto"/>
              </w:rPr>
            </w:pPr>
          </w:p>
        </w:tc>
        <w:tc>
          <w:tcPr>
            <w:tcW w:w="1260" w:type="dxa"/>
            <w:vAlign w:val="bottom"/>
            <w:tcBorders>
              <w:bottom w:val="single" w:sz="8" w:color="auto"/>
            </w:tcBorders>
            <w:gridSpan w:val="3"/>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1"/>
                <w:szCs w:val="11"/>
                <w:b w:val="1"/>
                <w:bCs w:val="1"/>
                <w:color w:val="auto"/>
              </w:rPr>
              <w:t>e</w:t>
            </w: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20" w:type="dxa"/>
            <w:vAlign w:val="bottom"/>
          </w:tcPr>
          <w:p>
            <w:pPr>
              <w:spacing w:after="0"/>
              <w:rPr>
                <w:sz w:val="10"/>
                <w:szCs w:val="10"/>
                <w:color w:val="auto"/>
              </w:rPr>
            </w:pPr>
          </w:p>
        </w:tc>
        <w:tc>
          <w:tcPr>
            <w:tcW w:w="600" w:type="dxa"/>
            <w:vAlign w:val="bottom"/>
          </w:tcPr>
          <w:p>
            <w:pPr>
              <w:jc w:val="center"/>
              <w:ind w:right="86"/>
              <w:spacing w:after="0" w:line="124" w:lineRule="exact"/>
              <w:rPr>
                <w:sz w:val="20"/>
                <w:szCs w:val="20"/>
                <w:color w:val="auto"/>
              </w:rPr>
            </w:pPr>
            <w:r>
              <w:rPr>
                <w:rFonts w:ascii="Times New Roman" w:cs="Times New Roman" w:eastAsia="Times New Roman" w:hAnsi="Times New Roman"/>
                <w:sz w:val="11"/>
                <w:szCs w:val="11"/>
                <w:b w:val="1"/>
                <w:bCs w:val="1"/>
                <w:color w:val="auto"/>
              </w:rPr>
              <w:t>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center"/>
              <w:ind w:right="46"/>
              <w:spacing w:after="0" w:line="100"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1"/>
                <w:szCs w:val="11"/>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720" w:type="dxa"/>
            <w:vAlign w:val="bottom"/>
            <w:tcBorders>
              <w:bottom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7"/>
              </w:rPr>
              <w:t>Total 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6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103,260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1,340,480</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10,200</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w w:val="95"/>
              </w:rPr>
              <w:t>(178,022 )</w:t>
            </w:r>
          </w:p>
        </w:tc>
        <w:tc>
          <w:tcPr>
            <w:tcW w:w="1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(752 )</w:t>
            </w:r>
          </w:p>
        </w:tc>
        <w:tc>
          <w:tcPr>
            <w:tcW w:w="1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187,814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(9,205</w:t>
            </w:r>
          </w:p>
        </w:tc>
        <w:tc>
          <w:tcPr>
            <w:tcW w:w="2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1,340,428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860" w:type="dxa"/>
            <w:vAlign w:val="bottom"/>
            <w:tcBorders>
              <w:top w:val="single" w:sz="8" w:color="CFF0FC"/>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Issuance of subsidiary shares to noncontrolling interest</w:t>
            </w: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1,421</w:t>
            </w:r>
          </w:p>
        </w:tc>
        <w:tc>
          <w:tcPr>
            <w:tcW w:w="220" w:type="dxa"/>
            <w:vAlign w:val="bottom"/>
            <w:tcBorders>
              <w:top w:val="single" w:sz="8" w:color="CFF0FC"/>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(1,421</w:t>
            </w:r>
          </w:p>
        </w:tc>
        <w:tc>
          <w:tcPr>
            <w:tcW w:w="220" w:type="dxa"/>
            <w:vAlign w:val="bottom"/>
            <w:tcBorders>
              <w:top w:val="single" w:sz="8" w:color="CFF0FC"/>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9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(295,880 )</w:t>
            </w:r>
          </w:p>
        </w:tc>
        <w:tc>
          <w:tcPr>
            <w:tcW w:w="12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42"/>
              <w:spacing w:after="0" w:line="122" w:lineRule="exact"/>
              <w:rPr>
                <w:sz w:val="20"/>
                <w:szCs w:val="20"/>
                <w:color w:val="auto"/>
              </w:rPr>
            </w:pPr>
            <w:r>
              <w:rPr>
                <w:rFonts w:ascii="Times New Roman" w:cs="Times New Roman" w:eastAsia="Times New Roman" w:hAnsi="Times New Roman"/>
                <w:sz w:val="11"/>
                <w:szCs w:val="11"/>
                <w:color w:val="auto"/>
              </w:rPr>
              <w:t>(2,706 )</w:t>
            </w:r>
          </w:p>
        </w:tc>
        <w:tc>
          <w:tcPr>
            <w:tcW w:w="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(298,586 )</w:t>
            </w: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comprehensive loss, net of tax</w:t>
            </w: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(4,380 )</w:t>
            </w:r>
          </w:p>
        </w:tc>
        <w:tc>
          <w:tcPr>
            <w:tcW w:w="10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(4,380 )</w:t>
            </w: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dividends paid on common stock ($0.20 per share)</w:t>
            </w:r>
          </w:p>
        </w:tc>
        <w:tc>
          <w:tcPr>
            <w:tcW w:w="9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42"/>
              <w:spacing w:after="0" w:line="122" w:lineRule="exact"/>
              <w:rPr>
                <w:sz w:val="20"/>
                <w:szCs w:val="20"/>
                <w:color w:val="auto"/>
              </w:rPr>
            </w:pPr>
            <w:r>
              <w:rPr>
                <w:rFonts w:ascii="Times New Roman" w:cs="Times New Roman" w:eastAsia="Times New Roman" w:hAnsi="Times New Roman"/>
                <w:sz w:val="11"/>
                <w:szCs w:val="11"/>
                <w:color w:val="auto"/>
              </w:rPr>
              <w:t>(5,257 )</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(15,631 )</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(20,888 )</w:t>
            </w: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Distribution of Xperi Inc.</w:t>
            </w: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(767,263</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5,081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13,332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(748,850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w:t>
            </w: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employee stock</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14,131</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shares canceled</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2,620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Withholding taxes related to net share settlement of restricted</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awards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(996 )</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(15,941 )</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(15,941 )</w:t>
            </w:r>
          </w:p>
        </w:tc>
        <w:tc>
          <w:tcPr>
            <w:tcW w:w="0" w:type="dxa"/>
            <w:vAlign w:val="bottom"/>
          </w:tcPr>
          <w:p>
            <w:pPr>
              <w:spacing w:after="0"/>
              <w:rPr>
                <w:sz w:val="1"/>
                <w:szCs w:val="1"/>
                <w:color w:val="auto"/>
              </w:rPr>
            </w:pPr>
          </w:p>
        </w:tc>
      </w:tr>
      <w:tr>
        <w:trPr>
          <w:trHeight w:val="121"/>
        </w:trPr>
        <w:tc>
          <w:tcPr>
            <w:tcW w:w="28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Repurchases of common stock</w:t>
            </w:r>
          </w:p>
        </w:tc>
        <w:tc>
          <w:tcPr>
            <w:tcW w:w="9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(1,029 )</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1,029</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(17,260 )</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(17,260 )</w:t>
            </w: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7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52,626</w:t>
            </w:r>
          </w:p>
        </w:tc>
        <w:tc>
          <w:tcPr>
            <w:tcW w:w="220" w:type="dxa"/>
            <w:vAlign w:val="bottom"/>
          </w:tcPr>
          <w:p>
            <w:pPr>
              <w:spacing w:after="0"/>
              <w:rPr>
                <w:sz w:val="10"/>
                <w:szCs w:val="10"/>
                <w:color w:val="auto"/>
              </w:rPr>
            </w:pPr>
          </w:p>
        </w:tc>
        <w:tc>
          <w:tcPr>
            <w:tcW w:w="7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52,626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86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105,167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117</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636,266</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12,225</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w w:val="95"/>
              </w:rPr>
              <w:t>(211,223 )</w:t>
            </w:r>
          </w:p>
        </w:tc>
        <w:tc>
          <w:tcPr>
            <w:tcW w:w="1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(51 )</w:t>
            </w:r>
          </w:p>
        </w:tc>
        <w:tc>
          <w:tcPr>
            <w:tcW w:w="1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(123,697 )</w:t>
            </w: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301,412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860" w:type="dxa"/>
            <w:vAlign w:val="bottom"/>
            <w:tcBorders>
              <w:top w:val="single" w:sz="8" w:color="CFF0FC"/>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67,372</w:t>
            </w: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67,372</w:t>
            </w: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8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comprehensive income, net of tax</w:t>
            </w:r>
          </w:p>
        </w:tc>
        <w:tc>
          <w:tcPr>
            <w:tcW w:w="9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dividends paid on common stock ($0.20 per share)</w:t>
            </w: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42"/>
              <w:spacing w:after="0" w:line="122" w:lineRule="exact"/>
              <w:rPr>
                <w:sz w:val="20"/>
                <w:szCs w:val="20"/>
                <w:color w:val="auto"/>
              </w:rPr>
            </w:pPr>
            <w:r>
              <w:rPr>
                <w:rFonts w:ascii="Times New Roman" w:cs="Times New Roman" w:eastAsia="Times New Roman" w:hAnsi="Times New Roman"/>
                <w:sz w:val="11"/>
                <w:szCs w:val="11"/>
                <w:color w:val="auto"/>
              </w:rPr>
              <w:t>(21,339 )</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(21,339 )</w:t>
            </w: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w:t>
            </w: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employee stock</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shares canceled</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3,075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Withholding taxes related to net share settlement of restricted</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awards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(1,121 )</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(11,274 )</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(11,274 )</w:t>
            </w:r>
          </w:p>
        </w:tc>
        <w:tc>
          <w:tcPr>
            <w:tcW w:w="0" w:type="dxa"/>
            <w:vAlign w:val="bottom"/>
          </w:tcPr>
          <w:p>
            <w:pPr>
              <w:spacing w:after="0"/>
              <w:rPr>
                <w:sz w:val="1"/>
                <w:szCs w:val="1"/>
                <w:color w:val="auto"/>
              </w:rPr>
            </w:pPr>
          </w:p>
        </w:tc>
      </w:tr>
      <w:tr>
        <w:trPr>
          <w:trHeight w:val="121"/>
        </w:trPr>
        <w:tc>
          <w:tcPr>
            <w:tcW w:w="2860" w:type="dxa"/>
            <w:vAlign w:val="bottom"/>
            <w:tcBorders>
              <w:bottom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7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18,057</w:t>
            </w:r>
          </w:p>
        </w:tc>
        <w:tc>
          <w:tcPr>
            <w:tcW w:w="22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18,057</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107,384</w:t>
            </w:r>
          </w:p>
        </w:tc>
        <w:tc>
          <w:tcPr>
            <w:tcW w:w="2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121</w:t>
            </w:r>
          </w:p>
        </w:tc>
        <w:tc>
          <w:tcPr>
            <w:tcW w:w="2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635,331</w:t>
            </w: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13,346</w:t>
            </w:r>
          </w:p>
        </w:tc>
        <w:tc>
          <w:tcPr>
            <w:tcW w:w="520" w:type="dxa"/>
            <w:vAlign w:val="bottom"/>
            <w:gridSpan w:val="2"/>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w w:val="95"/>
              </w:rPr>
              <w:t>(222,497 )</w:t>
            </w:r>
          </w:p>
        </w:tc>
        <w:tc>
          <w:tcPr>
            <w:tcW w:w="1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(8 )</w:t>
            </w:r>
          </w:p>
        </w:tc>
        <w:tc>
          <w:tcPr>
            <w:tcW w:w="1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(56,325 )</w:t>
            </w: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356,622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6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96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7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800" w:type="dxa"/>
            <w:vAlign w:val="bottom"/>
            <w:gridSpan w:val="2"/>
            <w:shd w:val="clear" w:color="auto" w:fill="CFF0FC"/>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64,623</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64,623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Other comprehensive income, net of tax</w:t>
            </w:r>
          </w:p>
        </w:tc>
        <w:tc>
          <w:tcPr>
            <w:tcW w:w="9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dividends paid on common stock ($0.20 per share)</w:t>
            </w:r>
          </w:p>
        </w:tc>
        <w:tc>
          <w:tcPr>
            <w:tcW w:w="9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42"/>
              <w:spacing w:after="0" w:line="122" w:lineRule="exact"/>
              <w:rPr>
                <w:sz w:val="20"/>
                <w:szCs w:val="20"/>
                <w:color w:val="auto"/>
              </w:rPr>
            </w:pPr>
            <w:r>
              <w:rPr>
                <w:rFonts w:ascii="Times New Roman" w:cs="Times New Roman" w:eastAsia="Times New Roman" w:hAnsi="Times New Roman"/>
                <w:sz w:val="11"/>
                <w:szCs w:val="11"/>
                <w:color w:val="auto"/>
              </w:rPr>
              <w:t>(16,303 )</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(5,464 )</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(21,767 )</w:t>
            </w: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w:t>
            </w: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employee stock</w:t>
            </w: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purchase plan</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1,924</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shares canceled</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Withholding taxes related to net share settlement of restricted</w:t>
            </w: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awards</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(1,099 )</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1,099</w:t>
            </w: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(12,783 )</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(12,783 )</w:t>
            </w: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Repurchases of common stock</w:t>
            </w:r>
          </w:p>
        </w:tc>
        <w:tc>
          <w:tcPr>
            <w:tcW w:w="9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(1,435 )</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1,435</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(20,021 )</w:t>
            </w:r>
          </w:p>
        </w:tc>
        <w:tc>
          <w:tcPr>
            <w:tcW w:w="14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(20,021 )</w:t>
            </w:r>
          </w:p>
        </w:tc>
        <w:tc>
          <w:tcPr>
            <w:tcW w:w="0" w:type="dxa"/>
            <w:vAlign w:val="bottom"/>
          </w:tcPr>
          <w:p>
            <w:pPr>
              <w:spacing w:after="0"/>
              <w:rPr>
                <w:sz w:val="1"/>
                <w:szCs w:val="1"/>
                <w:color w:val="auto"/>
              </w:rPr>
            </w:pPr>
          </w:p>
        </w:tc>
      </w:tr>
      <w:tr>
        <w:trPr>
          <w:trHeight w:val="122"/>
        </w:trPr>
        <w:tc>
          <w:tcPr>
            <w:tcW w:w="2860" w:type="dxa"/>
            <w:vAlign w:val="bottom"/>
            <w:tcBorders>
              <w:bottom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7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26,641</w:t>
            </w:r>
          </w:p>
        </w:tc>
        <w:tc>
          <w:tcPr>
            <w:tcW w:w="22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26,641</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108,072</w:t>
            </w:r>
          </w:p>
        </w:tc>
        <w:tc>
          <w:tcPr>
            <w:tcW w:w="2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125</w:t>
            </w:r>
          </w:p>
        </w:tc>
        <w:tc>
          <w:tcPr>
            <w:tcW w:w="2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648,914</w:t>
            </w: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15,880</w:t>
            </w:r>
          </w:p>
        </w:tc>
        <w:tc>
          <w:tcPr>
            <w:tcW w:w="520" w:type="dxa"/>
            <w:vAlign w:val="bottom"/>
            <w:gridSpan w:val="2"/>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w w:val="95"/>
              </w:rPr>
              <w:t>(255,301 )</w:t>
            </w:r>
          </w:p>
        </w:tc>
        <w:tc>
          <w:tcPr>
            <w:tcW w:w="1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2,834</w:t>
            </w:r>
          </w:p>
        </w:tc>
        <w:tc>
          <w:tcPr>
            <w:tcW w:w="220" w:type="dxa"/>
            <w:vAlign w:val="bottom"/>
          </w:tcPr>
          <w:p>
            <w:pPr>
              <w:spacing w:after="0"/>
              <w:rPr>
                <w:sz w:val="10"/>
                <w:szCs w:val="10"/>
                <w:color w:val="auto"/>
              </w:rPr>
            </w:pP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396,571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-3213735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-3196590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-3213735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-3196590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-3213735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-3196590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-3213735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-3196590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-3213735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-3196590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-3213735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-3196590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-3213735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-3196590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-3213735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-3196590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-2022475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-2005330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-2022475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-2005330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-2022475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-2005330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-2022475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-2005330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-2022475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-2005330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-2022475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-2005330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-2022475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-2005330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-2022475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-2005330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-1148080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-1148080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-1148080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-1148080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-1148080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-1148080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-1148080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-1148080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-110490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-110490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-110490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-110490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-110490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-110490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-110490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-110490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r>
        <w:rPr>
          <w:rFonts w:ascii="Times New Roman" w:cs="Times New Roman" w:eastAsia="Times New Roman" w:hAnsi="Times New Roman"/>
          <w:sz w:val="14"/>
          <w:szCs w:val="14"/>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Adeia Inc. (the “Company”), a Delaware corporation, is one of the industry’s largest intellectual property (“IP”) licensing platforms, with a diverse portfolio of media and semiconductor IP consisting of approximately 12,250 patents and patent applications worldwide.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1, 2022, the Company completed the previously announced separation (“the Separation”) of its product business into a separate, independent, publicly-traded company, Xperi Inc. (“Xperi Inc.”). The Separation was structured as a spin-off, which was achieved through the Company’s distribution of 100 percent of the outstanding shares of Xperi Inc.’s common stock to holders of the Company’s common stock as of the close of business on the record date of September 21, 2022 (the “Record Date”). Each Company stockholder of record received four shares of Xperi Inc. common stock for every ten shares of Company common stock that it held on the Record Date. Following the Separation, the Company retains no ownership in Xperi Inc., which is now listed under the ticker symbol “XPER” on the New York Stock Exchange. Effective at the open of business on October 3, 2022, the Company’s shares of common stock, par value $0.001 per share, began trading on the Nasdaq Global Select Market under the new ticker symbol “ADEA”.</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accounting requirements for reporting the Separation of Xperi Inc. as a discontinued operation were met when the Separation was completed. Accordingly, the financial results of Xperi Inc. for the years ended December 31, 2022 are presented as a net loss from discontinued operations, net of tax on the Consolidated Statements of Operations. For further information on discontinued operations, see “Note 9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Unless noted otherwise, discussion in the Notes to the Consolidated Financial Statements pertain to continuing operations.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as a result of the Separation, the Company changed its operational structure in the fourth quarter of 2022, resulting in one reportable segment, IP Licensing.</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(“GAAP”) in the United States (“U.S.”) and the applicable rules and regulations of the Securities and Exchange Commission (“SEC”). All intercompany balances and transactions are eliminated in consolidation. The Company’s fiscal year ends on December 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 determining standalone selling price, and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control of the promised goods or services is transferred to a customer in an amount that reflects the consideration the Company expects to be entitled to in exchange for those goods or services, which may include various combinations of goods and services which are generally capable of being distinct and accounted for as separate performance obligations. See “Note 4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for a detailed discussion on revenue and revenue recognition.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at the date of purchase to be cash equivalents. Cash and cash equivalents are maintained with various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invests in debt securities which include corporate bonds and notes, treasury and agency notes and bills, commercial paper, certificates of deposit, and in equity securities consisting of money market funds. The Company’s investments are classified as available-for-sale (“AFS”). These investments are recorded in the Consolidated Balance Sheets at fair value with net unrealized gains or losses reported as a separate component of accumulated other comprehensive income (loss), net of tax.</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Debt Securities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the Company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accumulated other comprehensive income or loss on the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Marketable equity securities are measured at fair value with unrealized gains and losses recognized in other income and expense, net, on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an orderly transaction between market participants at the measurement date. The carrying amount of cash equivalents, accounts receivable, accounts payable and accrued liabilities approximates fair value due to the short-term nature of these instruments. Long-term debt is carried at amortized cost and measured at fair value on a quarterly basis for disclosure purposes. See “Note 7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for further information</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and Other Risks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equivalents, short-term investments and accounts receivable.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a corporate investment policy which sets credit, maturity and concentration limits and regularly monitors the composition, market risk and maturities of these investments. The Company believes that any concentration of credit risk in its accounts receivable is substantially mitigated by the Company’s evaluation process, relatively short collection terms and the high level of credit worthiness of its customers. The Company performs ongoing credit evaluations of its customers’ financial condition and generally requires no collateral. See “Note 17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on concentration of credit and other risks.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The allowance for credit losses, which includes the allowance for accounts receivable, represents the Company’s best estimate of lifetime expected credit losses inherent in those financial assets. The Company’s lifetime expected credit losses are determined using relevant information about past events (including historical experience), current conditions, and reasonable and supportable forecasts that affect collectability. The Company monitors its credit exposure through ongoing credit evaluations of its customers’ financial condition. In addition, the Company performs routine credit management activities such as timely account reconciliations, dispute resolution, and payment confirmations. The Company may employ collection agencies and legal counsel to pursue recovery of defaulted receivables. See “Note 4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for a further discussion of the allowance for credit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these identifiable assets and liabilities is recorded as goodwill. Acquisition related costs are expensed as incurred. Upon acquisition, the accounts and results of operations are consolidated as of and subsequent to the acquisition date.</w:t>
      </w:r>
    </w:p>
    <w:p>
      <w:pPr>
        <w:spacing w:after="0" w:line="18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When determining the fair values of assets acquired and liabilities assumed, management makes significant estimates and assumptions, especially with respect to intangible assets. The Company utilizes commonly accepted valuation techniques, such as the income approach and the cost approach, as appropriate, in establishing the fair value of intangible assets. Typically, key assumptions include projections of cash flows that arise from identifiable intangible assets of acquired businesses as well as discount rates based on an analysis of the weighted average cost of capital, adjusted for specific risks associated with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Goodwill is recorded as the difference, if any, between the aggregate consideration paid for an acquisition and the fair value of the net tangible and identified intangible assets acquired under a business combination. Goodwill also includes acquired assembled workforce, which does not qualify as an identifiable intangible asset. The Company performs an annual review of the valuation of goodwill in the fourth quarter, or more often if indicators of impairment exist. Triggering events for impairment reviews may be indicators such as adverse industry or economic trends, restructuring actions, lower projections of profitability or a sustained decline in the Company's market capitalization. Evaluations of possible impairment and, if applicable, adjustments to carrying values require the Company to estimate, among other factors, future cash flows, useful lives and fair market values of the Company's assets. When the Company conducts the evaluation of goodwill, the fair value of goodwill is assessed using valuation techniques that require significant management estimates and judgment.</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performing the quantitative impairment test for goodwill, the fair value of the reporting unit is compared to its carrying amount. The Company utilizes the market capitalization approach to determine the fair value of a reporting unit. Under the market capitalization approach, the fair value of a reporting unit is estimated based on the trading price of the Company's stock as of the test date, or trading prices over a short period of time immediately prior or subsequent to the test date if such prices more reasonably represent the estimated fair value as of the test date, which is further adjusted by a control premium representing the synergies a market participant would achieve when obtaining control of the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Identified finite-lived intangible assets consist of acquired patents, existing technology, customer relationships and trademarks and trade names resulting from business combinations, as well as acquired patents under asset purchase agreements. The Company’s identified intangible assets are amortized on a straight-line basis over their estimated useful lives, ranging from 1 to 10 years.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makes judgments about the recoverability of intangible assets whenever events or changes in circumstances indicate that impairment may exist. If such facts and circumstances exist, the Company assesses the recoverability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If the useful life is shorter than originally estimated, the Company would accelerate the rate of amortization and amortize the remaining carrying value over the new shorter useful life.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of goodwill and identified intangible assets, see “Note 10 – </w:t>
      </w:r>
      <w:r>
        <w:rPr>
          <w:rFonts w:ascii="Times New Roman" w:cs="Times New Roman" w:eastAsia="Times New Roman" w:hAnsi="Times New Roman"/>
          <w:sz w:val="18"/>
          <w:szCs w:val="18"/>
          <w:i w:val="1"/>
          <w:iCs w:val="1"/>
          <w:color w:val="auto"/>
        </w:rPr>
        <w:t>Goodwill and Identified Intangible Assets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 and Issuance Costs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Debt discount and issuance costs are presented in the Consolidated Balance Sheet as a deduction from the carrying amount of both the short-term debt and long-term debt, and are amortized over the term of the associated debt to interest expense using the effective interest method. In addition, the Company elects to continue to defer the unamortized debt discount and issuance costs when it voluntarily pays down a portion of the debt as the prepayment is factored into the terms agreed to on the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For reissuance of treasury stock, to the extent that the reissuance price is more than the cost, the excess is recorded as an increase to additional paid-in capital. If the reissuance price is less than the cost, the difference is recorded in additional paid-in capital to the extent there is a cumulative treasury stock paid-in capital balance. Once the cumulative balance is reduced to zero, any remaining difference resulting from the sale of treasury stock below cost is recorded as a reduction of retained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Operating leases are included in operating lease right-of-use (“ROU”) assets, accrued liabilities, and noncurrent operating lease liabilities in the Company’s Consolidated Balance Sheets. The 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leases do not provide an implicit rate, the Company generally uses its incremental borrowing rate based on the estimated rate of interest for collateralized borrowing over a similar term of the lease payments at commencement date. The Company’s lease terms may include options to extend or terminate the lease, and these terms are factored into the valuation of ROU assets and liabilities when it is reasonably certain that the Company will exercise that option. Lease expense for lease payments is recognized on a straight-line basis over the lease term. As a practical expedient, the Company elected, for all office and facility leases, not to separate nonlease components from lease components and instead to account for each separate lease component and its associated non-lease components as a single lease component. For additional information regarding the Company's leases, refer to “Note 8 – </w:t>
      </w:r>
      <w:r>
        <w:rPr>
          <w:rFonts w:ascii="Times New Roman" w:cs="Times New Roman" w:eastAsia="Times New Roman" w:hAnsi="Times New Roman"/>
          <w:sz w:val="18"/>
          <w:szCs w:val="18"/>
          <w:i w:val="1"/>
          <w:iCs w:val="1"/>
          <w:color w:val="auto"/>
        </w:rPr>
        <w:t>Leases.”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estimated fair value of the award and is recognized as expense on a straight-line basis, net of estimated forfeitures, over the requisite service or performance period. Forfeiture rates are estimated at the time of grant and revised, if necessary, in subsequent periods if actual forfeitures differ from those estimates. If the actual forfeiture rate is materially different from the estimate, stock-based compensation expense could be significantly different from what was recorded in the current period.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the closing trading price of its common stock on the date of grant as the fair value of awards of restricted stock units (“RSUs”), and performance stock units (“PSUs”) that are based on company-designated performance targets. For performance stock awards that also contain market conditions, or market-based PSUs, fair value is estimated by using a Monte Carlo simulation on the date of grant. The Company estimates the grant-date fair value of stock options and stock to be issued under the employee stock purchase plan (“ESPP”) using the Black-Scholes pricing model. See “Note 14 – </w:t>
      </w: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for additional detail.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ind w:right="80"/>
        <w:spacing w:after="0" w:line="254" w:lineRule="auto"/>
        <w:rPr>
          <w:sz w:val="20"/>
          <w:szCs w:val="20"/>
          <w:color w:val="auto"/>
        </w:rPr>
      </w:pPr>
      <w:r>
        <w:rPr>
          <w:rFonts w:ascii="Times New Roman" w:cs="Times New Roman" w:eastAsia="Times New Roman" w:hAnsi="Times New Roman"/>
          <w:sz w:val="18"/>
          <w:szCs w:val="18"/>
          <w:color w:val="auto"/>
        </w:rPr>
        <w:t>Performance-based PSU awards will vest if certain employee-specific or company-designated performance targets are achieved. If minimum performance thresholds are achieved, each PSU award will convert into the Company’s common stock at a defined ratio depending on the degree of achievement of the performance target designated by each individual award. If minimum performance thresholds are not achieved, then no shares will be issued. The expected levels of achievement are reassessed over the requisite service periods and, to the extent that the expected levels of achievement change, stock-based compensation is adjusted in the period of change and recorded on the statements of operations and the remaining unrecognized stock-based compensation is recorded over the remaining requisite service period. For market-based PSUs, the fair value per award is fixed at the grant date and the amount of compensation expense is not adjusted during the performance period regardless of changes in the level of achievement of the market condition unless it is due to 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must make certain estimates and judgments in determining income tax expense for financial statement purposes. These estimates and judgments are used in the calculation of tax credits, tax benefits, tax deductions, and in the calculation of certain deferred taxes and tax liabilities. Significant changes to these estimates may result in an increase or decrease to the Company’s tax provision in a subsequent period.</w:t>
      </w:r>
    </w:p>
    <w:p>
      <w:pPr>
        <w:spacing w:after="0" w:line="1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The provision for income taxes is comprised of the Company’s current tax liability and changes in deferred income tax assets and liabilities. The calculation of the current tax liability involves dealing with uncertainties in the application of complex tax laws and regulations and in determining the liability for tax positions, if any, taken on the Company’s tax returns in accordance with authoritative guidance on accounting for uncertainty in income taxes. Deferred income taxes are determined based on the differences between the financial reporting and tax basis of assets and liabilities. The Company must assess the likelihood that it will be able to realize its deferred tax assets. If realizability is not likely on a more-likely-than-not basis, the Company must increase its provision for income taxes by recording a valuation allowance against the deferred tax assets that it estimates will not ultimately be realizable. However, should there be a change in the Company’s ability to realize its deferred tax assets, on a more-likely-than-not basis, the provision for income taxes would fluctuate in the period of such change. See “Note 15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detail.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presented within selling, general and administrative expense in the Consolidated Statements of Operations. Advertising expenses were $4.0 million, $10.5 million and $5.5 million for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certain financial and performance guarantees which have been issued in the normal course of business. The Company entered into the underlying arrangement with a third-party to facilitate commercial transactions.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information regarding the Company’s guarantees.</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provides indemnification of varying scope to certain customers against claims of intellectual property infringement made by third parties arising from the use of the Company’s technologies. In accordance with authoritative guidance for accounting for guarantees, the Company evaluates estimated losses for such indemnification. The Company considers such factors as the degree of probability of an unfavorable outcome and the ability to make a reasonable estimate of the amount of loss. To date, no such claims have been filed against the Company and no liability has been recorded in the Company’s financial statements.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maintains a directors’ and officers’ liability insurance policy that is intended to reduce its financial exposure and may enable the Company to recover any payments, should they occur.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nature of the loss contingency and the fact that an estimate cannot be made. If a loss is reasonably possible but not probable, the Company discloses the nature of the loss contingency and an estimate of the possible loss, range of loss or the fact that an estimate cannot be made. The Company does not recognize gain contingencies until they are realized. Legal costs incurred in connection with loss contingencies are expensed as incurred.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further information regarding the Company’s pending litigation.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expense is calculated using the straight-line method over the related assets’ estimated useful lives: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1 to 5 years</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Lesser of related lease term or 5 years</w:t>
            </w:r>
          </w:p>
        </w:tc>
      </w:tr>
      <w:tr>
        <w:trPr>
          <w:trHeight w:val="216"/>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Up to 30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that materially increase asset life are capitalized, while ordinary maintenance and repairs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uses the U.S. dollar as its functional currency. Non-U.S. subsidiaries may designate a local currency as their functional currency. The translation of assets and liabilities into U.S. dollars for subsidiaries with a functional currency other than the U.S. dollar is performed using exchange rates in effect at the balance sheet date. The translation of revenues and expenses into U.S. dollars for subsidiaries with a functional currency other than the U.S. dollar is performed using the average exchange rate for the respective period. Gains or losses from cumulative translation adjustments, net of tax, are included as a component of accumulated other comprehensive income (loss) in the Consolidated Balance Sheets. The Company records net foreign exchange transaction gains and losses resulting from the conversion of the transaction currency to the functional currency within other income and expense,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December 2022, the FASB issued ASU 2022-06, Reference Rate Reform (Topic 848): Deferral of the Sunset Date of Topic 848 (“ASU 2022-06”), which deferred the application dates of Topic 848 to December 31, 2024. In the second quarter of 2023, the Company adopted Topic 848 and modified its debt agreement to reference the other rate. The adoption did not have a material impact to the Company’s Consolidated Financial Statements.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In the fourth quarter of 2024, the Company adopted ASU 2023-07 on a retrospective basis, and the adoption did not have a material impact to the Company’s Consolidated Financial Statements. See “Note 17 – </w:t>
      </w: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for further detail.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will be effective for annual periods beginning after December 15, 2026, and interim periods within fiscal years beginning after December 15, 2027. The new standard permits early adoption and can be applied prospectively or retrospectively. The Company is currently evaluating the impact of adopting ASU 2024-03.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intellectual property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Operations during a given period.</w:t>
      </w:r>
    </w:p>
    <w:p>
      <w:pPr>
        <w:spacing w:after="0" w:line="18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spacing w:after="0" w:line="1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Description of Revenue-Generating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 License Arrangements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per-unit or per-subscriber Media IP or Semiconductor IP royalty licensing, (ii) fixed-fee Media IP licensing, and (iii) fixed-fee or minimum guarantee Semiconductor IP licensing.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Per-unit or per-subscriber Media IP or Semiconductor IP royalty licensing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Media IP licensing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or minimum guarantee Semiconductor IP licensing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 license contracts with multiple performance obligations</w:t>
      </w:r>
    </w:p>
    <w:p>
      <w:pPr>
        <w:spacing w:after="0" w:line="229"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standalone selling price of each performance obligation, the Company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when variable consideration is allocated entirely to a wholly unsatisfied performance obligation; or to a wholly unsatisfied promise to transfer a distinct good or service that forms part of a single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Details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information depicts how the nature, amount, timing and uncertainty of revenue and cash flows are affected by economic factors by disaggregating revenue by category, market vertical and geographic location (presented in “Note 17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This information includes revenue recognized from contracts with customers and revenue from other sources, including sales-based or usage-based royalty revenues and fees associated with releases for past infringement.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and non-recurring revenue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per-unit or per-subscriber Media IP or Semiconductor IP royalty license agreements, revenue associated with sales-based or usage-based royalties in exchange for a license of IP, which are recognized in the period such subsequent sales or usage occurs.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recurring and non-recurring nature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Recurring revenue</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341,470</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338,708</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363,603</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revenue</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75,330</w:t>
            </w:r>
          </w:p>
        </w:tc>
        <w:tc>
          <w:tcPr>
            <w:tcW w:w="100" w:type="dxa"/>
            <w:vAlign w:val="bottom"/>
          </w:tcPr>
          <w:p>
            <w:pPr>
              <w:spacing w:after="0"/>
              <w:rPr>
                <w:sz w:val="18"/>
                <w:szCs w:val="18"/>
                <w:color w:val="auto"/>
              </w:rPr>
            </w:pPr>
          </w:p>
        </w:tc>
      </w:tr>
      <w:tr>
        <w:trPr>
          <w:trHeight w:val="250"/>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376,024</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388,788</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market vertical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market vertical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136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357,463</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343,410</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366,166</w:t>
            </w:r>
          </w:p>
        </w:tc>
        <w:tc>
          <w:tcPr>
            <w:tcW w:w="12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72,767</w:t>
            </w:r>
          </w:p>
        </w:tc>
        <w:tc>
          <w:tcPr>
            <w:tcW w:w="120" w:type="dxa"/>
            <w:vAlign w:val="bottom"/>
          </w:tcPr>
          <w:p>
            <w:pPr>
              <w:spacing w:after="0"/>
              <w:rPr>
                <w:sz w:val="18"/>
                <w:szCs w:val="18"/>
                <w:color w:val="auto"/>
              </w:rPr>
            </w:pPr>
          </w:p>
        </w:tc>
      </w:tr>
      <w:tr>
        <w:trPr>
          <w:trHeight w:val="250"/>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36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376,024</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388,788</w:t>
            </w: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120" w:type="dxa"/>
            <w:vAlign w:val="bottom"/>
            <w:shd w:val="clear" w:color="auto" w:fill="CFF0FC"/>
          </w:tcPr>
          <w:p>
            <w:pPr>
              <w:spacing w:after="0"/>
              <w:rPr>
                <w:sz w:val="21"/>
                <w:szCs w:val="21"/>
                <w:color w:val="auto"/>
              </w:rPr>
            </w:pPr>
          </w:p>
        </w:tc>
      </w:tr>
      <w:tr>
        <w:trPr>
          <w:trHeight w:val="628"/>
        </w:trPr>
        <w:tc>
          <w:tcPr>
            <w:tcW w:w="440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-933450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-916305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-933450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-916305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Assets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were recorded in the Consolidated Balance Sheets as follows (in thousands):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104,047</w:t>
            </w:r>
          </w:p>
        </w:tc>
        <w:tc>
          <w:tcPr>
            <w:tcW w:w="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r>
      <w:tr>
        <w:trPr>
          <w:trHeight w:val="250"/>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contract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168,444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allowance for credit losses for the years ended December 31, 2024 and 2023 was $0.7 million and $1.5 million, respectively and it is presented as part of accounts receivable, net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revenue and contract disclosures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Performance obligations satisfied in previous periods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7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20" w:type="dxa"/>
            <w:vAlign w:val="bottom"/>
            <w:shd w:val="clear" w:color="auto" w:fill="CFF0FC"/>
          </w:tcPr>
          <w:p>
            <w:pPr>
              <w:spacing w:after="0"/>
              <w:rPr>
                <w:sz w:val="18"/>
                <w:szCs w:val="18"/>
                <w:color w:val="auto"/>
              </w:rPr>
            </w:pPr>
          </w:p>
        </w:tc>
      </w:tr>
    </w:tbl>
    <w:p>
      <w:pPr>
        <w:spacing w:after="0" w:line="211" w:lineRule="exact"/>
        <w:rPr>
          <w:sz w:val="20"/>
          <w:szCs w:val="20"/>
          <w:color w:val="auto"/>
        </w:rPr>
      </w:pPr>
    </w:p>
    <w:p>
      <w:pPr>
        <w:ind w:right="180" w:firstLine="8"/>
        <w:spacing w:after="0" w:line="255" w:lineRule="auto"/>
        <w:tabs>
          <w:tab w:leader="none" w:pos="185"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years ended December 31, 2024, 2023 and 2022 and expects to record revenue from the prospective license in future periods.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ind w:right="360"/>
        <w:spacing w:after="0" w:line="282" w:lineRule="auto"/>
        <w:rPr>
          <w:sz w:val="20"/>
          <w:szCs w:val="20"/>
          <w:color w:val="auto"/>
        </w:rPr>
      </w:pPr>
      <w:r>
        <w:rPr>
          <w:rFonts w:ascii="Times New Roman" w:cs="Times New Roman" w:eastAsia="Times New Roman" w:hAnsi="Times New Roman"/>
          <w:sz w:val="18"/>
          <w:szCs w:val="18"/>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performance obligations expected to be satisfied in: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COMPOSITION OF CERTAIN BALANCE SHEET CAPTIONS</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2,934</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1,124</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3,447</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9,792</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17,376</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6,293</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23,669</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(17,391 )</w:t>
            </w: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(15,333 )</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6,278</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31,027</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33,940</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77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-5425440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-3548380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-3531235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-2099310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-2082165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7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7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7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Current portion of guarantee </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ind w:right="3660" w:firstLine="8"/>
        <w:spacing w:after="0" w:line="461" w:lineRule="auto"/>
        <w:tabs>
          <w:tab w:leader="none" w:pos="185"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16 –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for further detail on the nature of the guarantee. Other long-term liabilities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7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Long-term portion of guarantee </w:t>
            </w:r>
            <w:r>
              <w:rPr>
                <w:rFonts w:ascii="Times New Roman" w:cs="Times New Roman" w:eastAsia="Times New Roman" w:hAnsi="Times New Roman"/>
                <w:sz w:val="24"/>
                <w:szCs w:val="24"/>
                <w:color w:val="auto"/>
                <w:vertAlign w:val="superscript"/>
              </w:rPr>
              <w:t>(1)</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7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16 –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for further detail on the nature of the guarantee.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FINANCIAL INSTRUMENTS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Consolidated Statements of Operations and all non-credit related unrealized gains and losses recognized in accumulated other comprehensive income or loss on the Consolidated Balance Sheets. Under ASU 2016-01 (Topic 321), equity securities are measured at fair value with unrealized gains and losses recognized in other income and expense, net, in the Consolidated Statements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marketable securities at December 31, 2024 and December 31, 2023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Values</w:t>
            </w: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Reported in:</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-1953895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-1953895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-1953895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-1953895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-1662430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-1662430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-1662430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-1662430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Values</w:t>
            </w:r>
          </w:p>
        </w:tc>
      </w:tr>
      <w:tr>
        <w:trPr>
          <w:trHeight w:val="20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shd w:val="clear" w:color="auto" w:fill="CFF0FC"/>
          </w:tcPr>
          <w:p>
            <w:pPr>
              <w:spacing w:after="0"/>
              <w:rPr>
                <w:sz w:val="18"/>
                <w:szCs w:val="18"/>
                <w:color w:val="auto"/>
              </w:rPr>
            </w:pPr>
          </w:p>
        </w:tc>
      </w:tr>
      <w:tr>
        <w:trPr>
          <w:trHeight w:val="209"/>
        </w:trPr>
        <w:tc>
          <w:tcPr>
            <w:tcW w:w="5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top w:val="single" w:sz="8" w:color="CFF0FC"/>
            </w:tcBorders>
          </w:tcPr>
          <w:p>
            <w:pPr>
              <w:spacing w:after="0"/>
              <w:rPr>
                <w:sz w:val="18"/>
                <w:szCs w:val="18"/>
                <w:color w:val="auto"/>
              </w:rPr>
            </w:pPr>
          </w:p>
        </w:tc>
      </w:tr>
      <w:tr>
        <w:trPr>
          <w:trHeight w:val="210"/>
        </w:trPr>
        <w:tc>
          <w:tcPr>
            <w:tcW w:w="5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Reported in:</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-1045210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-1045210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-1045210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-1045210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-753745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-753745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-753745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-753745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$110.4 million and $83.6 million, respectively, in cash, cash equivalents and marketable securities. A significant portion of these amounts were held in marketable securities, as shown above. The remaining balance of $74.0 million and $48.8 million at December 31, 2024 and December 31, 2023, respectively, was cash held in operating accounts not included in the tables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gross realized gains and losses on sales of marketable debt securities were immaterial during the years ended December 31, 2024, 2023 and 2022. Unrealized losses on AFS debt securities were immaterial as of December 31, 2024 and December 31, 2023.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 expense related to its AFS debt securities for the years ended December 31, 2024, 2023 and 2022, respectively.</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estimated fair value of marketable debt securities by contractual maturity at December 31, 2024 is shown below (in thousands). Actual maturities may differ from contractual maturities because issuers may have the right to call or prepay obligations without call or prepayment penalties.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4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two to three years</w:t>
            </w:r>
          </w:p>
        </w:tc>
        <w:tc>
          <w:tcPr>
            <w:tcW w:w="4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2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-1079500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ectPr>
          <w:pgSz w:w="11900" w:h="16838" w:orient="portrait"/>
          <w:cols w:equalWidth="0" w:num="1">
            <w:col w:w="11240"/>
          </w:cols>
          <w:pgMar w:left="320" w:top="1197" w:right="339" w:bottom="1440" w:gutter="0" w:footer="0" w:header="0"/>
        </w:sect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Level 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Quoted prices in active markets for identical assets.</w:t>
      </w:r>
    </w:p>
    <w:p>
      <w:pPr>
        <w:spacing w:after="0" w:line="200" w:lineRule="exact"/>
        <w:rPr>
          <w:sz w:val="20"/>
          <w:szCs w:val="20"/>
          <w:color w:val="auto"/>
        </w:rPr>
      </w:pPr>
    </w:p>
    <w:p>
      <w:pPr>
        <w:sectPr>
          <w:pgSz w:w="11900" w:h="16838" w:orient="portrait"/>
          <w:cols w:equalWidth="0" w:num="2">
            <w:col w:w="660" w:space="720"/>
            <w:col w:w="9860"/>
          </w:cols>
          <w:pgMar w:left="320" w:top="1197" w:right="33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Level 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Observable market-based inputs or unobservable inputs that are corroborated by market data.</w:t>
      </w:r>
    </w:p>
    <w:p>
      <w:pPr>
        <w:spacing w:after="0" w:line="200" w:lineRule="exact"/>
        <w:rPr>
          <w:sz w:val="20"/>
          <w:szCs w:val="20"/>
          <w:color w:val="auto"/>
        </w:rPr>
      </w:pPr>
    </w:p>
    <w:p>
      <w:pPr>
        <w:sectPr>
          <w:pgSz w:w="11900" w:h="16838" w:orient="portrait"/>
          <w:cols w:equalWidth="0" w:num="2">
            <w:col w:w="660" w:space="720"/>
            <w:col w:w="9860"/>
          </w:cols>
          <w:pgMar w:left="320" w:top="1197" w:right="339" w:bottom="1440" w:gutter="0" w:footer="0" w:header="0"/>
          <w:type w:val="continuous"/>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Level 3</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80" w:lineRule="exact"/>
        <w:rPr>
          <w:sz w:val="20"/>
          <w:szCs w:val="20"/>
          <w:color w:val="auto"/>
        </w:rPr>
      </w:pPr>
    </w:p>
    <w:p>
      <w:pPr>
        <w:sectPr>
          <w:pgSz w:w="11900" w:h="16838" w:orient="portrait"/>
          <w:cols w:equalWidth="0" w:num="2">
            <w:col w:w="660" w:space="720"/>
            <w:col w:w="9860"/>
          </w:cols>
          <w:pgMar w:left="320" w:top="1197" w:right="339" w:bottom="1440" w:gutter="0" w:footer="0" w:header="0"/>
          <w:type w:val="continuous"/>
        </w:sect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2024 and December 31, 2023.</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6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Consolidated Balance Sheet.</w:t>
      </w:r>
    </w:p>
    <w:p>
      <w:pPr>
        <w:spacing w:after="0" w:line="15" w:lineRule="exact"/>
        <w:rPr>
          <w:rFonts w:ascii="Times New Roman" w:cs="Times New Roman" w:eastAsia="Times New Roman" w:hAnsi="Times New Roman"/>
          <w:sz w:val="24"/>
          <w:szCs w:val="24"/>
          <w:color w:val="auto"/>
          <w:vertAlign w:val="superscript"/>
        </w:rPr>
      </w:pPr>
    </w:p>
    <w:p>
      <w:pPr>
        <w:ind w:left="200" w:hanging="192"/>
        <w:spacing w:after="0" w:line="186" w:lineRule="auto"/>
        <w:tabs>
          <w:tab w:leader="none" w:pos="20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marketable securities in the Consolidated Balance Sheet.</w:t>
      </w:r>
    </w:p>
    <w:p>
      <w:pPr>
        <w:spacing w:after="0" w:line="15" w:lineRule="exact"/>
        <w:rPr>
          <w:rFonts w:ascii="Times New Roman" w:cs="Times New Roman" w:eastAsia="Times New Roman" w:hAnsi="Times New Roman"/>
          <w:sz w:val="24"/>
          <w:szCs w:val="24"/>
          <w:color w:val="auto"/>
          <w:vertAlign w:val="superscript"/>
        </w:rPr>
      </w:pPr>
    </w:p>
    <w:p>
      <w:pPr>
        <w:ind w:right="140" w:firstLine="8"/>
        <w:spacing w:after="0" w:line="230" w:lineRule="auto"/>
        <w:tabs>
          <w:tab w:leader="none" w:pos="185"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Reported as marketable securities in the Consolidated Balance Sheet as these were purchased with original maturities of more than three months at date of purchase; otherwise reported as cash and cash equivalents.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66" w:name="page67"/>
    <w:bookmarkEnd w:id="66"/>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6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Consolidated Balance Sheet.</w:t>
      </w:r>
    </w:p>
    <w:p>
      <w:pPr>
        <w:spacing w:after="0" w:line="15" w:lineRule="exact"/>
        <w:rPr>
          <w:rFonts w:ascii="Times New Roman" w:cs="Times New Roman" w:eastAsia="Times New Roman" w:hAnsi="Times New Roman"/>
          <w:sz w:val="24"/>
          <w:szCs w:val="24"/>
          <w:color w:val="auto"/>
          <w:vertAlign w:val="superscript"/>
        </w:rPr>
      </w:pPr>
    </w:p>
    <w:p>
      <w:pPr>
        <w:ind w:left="200" w:hanging="192"/>
        <w:spacing w:after="0" w:line="186" w:lineRule="auto"/>
        <w:tabs>
          <w:tab w:leader="none" w:pos="20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marketable securities in the Consolidated Balance Sheet.</w:t>
      </w:r>
    </w:p>
    <w:p>
      <w:pPr>
        <w:spacing w:after="0" w:line="15" w:lineRule="exact"/>
        <w:rPr>
          <w:rFonts w:ascii="Times New Roman" w:cs="Times New Roman" w:eastAsia="Times New Roman" w:hAnsi="Times New Roman"/>
          <w:sz w:val="24"/>
          <w:szCs w:val="24"/>
          <w:color w:val="auto"/>
          <w:vertAlign w:val="superscript"/>
        </w:rPr>
      </w:pPr>
    </w:p>
    <w:p>
      <w:pPr>
        <w:ind w:right="140" w:firstLine="8"/>
        <w:spacing w:after="0" w:line="230" w:lineRule="auto"/>
        <w:tabs>
          <w:tab w:leader="none" w:pos="185"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Reported as marketable securities in the Consolidated Balance Sheet as these were purchased with original maturities of more than three months at date of purchase; otherwise reported as cash and cash equivalents.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Recorded at Fair Value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is measured at fair value on a quarterly basis for disclosure purposes. The carrying amounts and estimated fair values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2021 Refinanced Term Loan B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2024 Term Loan B </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475,456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475,456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475,456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475,456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right="20" w:firstLine="8"/>
        <w:spacing w:after="0" w:line="242" w:lineRule="auto"/>
        <w:tabs>
          <w:tab w:leader="none" w:pos="185"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Carrying amounts of long-term debt are net of unamortized debt discount and issuance costs of $11.6 million and $15.6 million as of December 31, 2024 and 2023, respectively. See “Note 11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for additional information.</w:t>
      </w:r>
    </w:p>
    <w:p>
      <w:pPr>
        <w:spacing w:after="0" w:line="19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reported at fair value in the Consolidated Balance Sheets, the Company’s debt would be classified within Level 2 of the fair value hierarchy. The fair value of the debt was estimated based on the quoted market prices for the same or similar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the Company renewed a long-term license agreement with an existing customer, covering our media portfolio and signed a multi-year license agreement with a customer. A portion of the consideration for the license agreements was in the form of patents, which the Company received in December of 2024. The Company estimated the fair value of the patents to be $5.0 million and included it as part of the transaction price for revenue recognition purposes.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renewed a long-term license agreement with a global leader in the electronics industry, covering our media portfolio as it pertains to its mobile devices. A portion of the consideration for the license agreement was in the form of patents, which the Company received in September of 2023. The Company estimated the fair value of the patents to be $4.4 million and included it as part of the transaction price for revenue recognition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120"/>
        <w:spacing w:after="0" w:line="261" w:lineRule="auto"/>
        <w:rPr>
          <w:sz w:val="20"/>
          <w:szCs w:val="20"/>
          <w:color w:val="auto"/>
        </w:rPr>
      </w:pPr>
      <w:r>
        <w:rPr>
          <w:rFonts w:ascii="Times New Roman" w:cs="Times New Roman" w:eastAsia="Times New Roman" w:hAnsi="Times New Roman"/>
          <w:sz w:val="18"/>
          <w:szCs w:val="18"/>
          <w:color w:val="auto"/>
        </w:rPr>
        <w:t>The fair value of these assets was measured using both the market approach – estimating the value of the acquired assets by way of comparison with other comparable transactions, and the cost approach – estimating the value of the acquired assets based on the cost it would take for the Company to create a comparable set of assets through its own research and development (“R&amp;D”) and patent prosecution efforts. The estimated fair value of the patents represents a Level 3 fair value measurement and the value of the patents is amortized as a non-cash expense over the patents’ estimated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impairment related fair value measurements, see “Note 10 – </w:t>
      </w:r>
      <w:r>
        <w:rPr>
          <w:rFonts w:ascii="Times New Roman" w:cs="Times New Roman" w:eastAsia="Times New Roman" w:hAnsi="Times New Roman"/>
          <w:sz w:val="18"/>
          <w:szCs w:val="18"/>
          <w:i w:val="1"/>
          <w:iCs w:val="1"/>
          <w:color w:val="auto"/>
        </w:rPr>
        <w:t>Goodwill And Identified Intangible Assets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Topic 842, a contract is a lease, or contains a lease, if the contract conveys the right to control the use of identified property, plant, or equipment (an identified asset) for a period of time in exchange for consideration. To determine whether a contract conveys the right to control the use of an identified asset for a period of time, an entity shall assess whether, throughout the period of use, the entity has both of the following: (a) the right to obtain substantially all of the economic benefits from use of the identified asset; and (b) the right to direct the use of the identified asset.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leases office and research facilities, and office equipment under operating leases which expire through 2032. The Company’s leases have remaining lease terms of three to nine years, some of which may include options to extend the leases for five years or longer, and some of which may include options to terminate the leases within the next five years or less. Leases with an initial term of 12 months or less are not recorded on the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 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operating lease costs were as follows (in thousands):</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6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Fixed lease cost </w:t>
            </w:r>
            <w:r>
              <w:rPr>
                <w:rFonts w:ascii="Times New Roman" w:cs="Times New Roman" w:eastAsia="Times New Roman" w:hAnsi="Times New Roman"/>
                <w:sz w:val="24"/>
                <w:szCs w:val="24"/>
                <w:color w:val="auto"/>
                <w:vertAlign w:val="superscript"/>
              </w:rPr>
              <w:t>(1)</w:t>
            </w:r>
          </w:p>
        </w:tc>
        <w:tc>
          <w:tcPr>
            <w:tcW w:w="88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2,046</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3,019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Includes short-term leases costs, which were immaterial.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2,158</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new lease liabilities:</w:t>
            </w:r>
          </w:p>
        </w:tc>
        <w:tc>
          <w:tcPr>
            <w:tcW w:w="8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8"/>
                <w:szCs w:val="18"/>
                <w:color w:val="auto"/>
              </w:rPr>
            </w:pPr>
          </w:p>
        </w:tc>
      </w:tr>
    </w:tbl>
    <w:p>
      <w:pPr>
        <w:spacing w:after="0" w:line="22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10"/>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tcPr>
          <w:p>
            <w:pPr>
              <w:spacing w:after="0"/>
              <w:rPr>
                <w:sz w:val="18"/>
                <w:szCs w:val="18"/>
                <w:color w:val="auto"/>
              </w:rPr>
            </w:pPr>
          </w:p>
        </w:tc>
      </w:tr>
      <w:tr>
        <w:trPr>
          <w:trHeight w:val="210"/>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r>
      <w:tr>
        <w:trPr>
          <w:trHeight w:val="641"/>
        </w:trPr>
        <w:tc>
          <w:tcPr>
            <w:tcW w:w="75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7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Future minimum lease payments and related lease liabilities as of December 31, 2024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Payments</w:t>
            </w:r>
          </w:p>
        </w:tc>
      </w:tr>
      <w:tr>
        <w:trPr>
          <w:trHeight w:val="159"/>
        </w:trPr>
        <w:tc>
          <w:tcPr>
            <w:tcW w:w="8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80" w:type="dxa"/>
            <w:vAlign w:val="bottom"/>
          </w:tcPr>
          <w:p>
            <w:pPr>
              <w:jc w:val="right"/>
              <w:ind w:right="912"/>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3"/>
                <w:szCs w:val="13"/>
                <w:color w:val="auto"/>
              </w:rPr>
            </w:pPr>
          </w:p>
        </w:tc>
      </w:tr>
      <w:tr>
        <w:trPr>
          <w:trHeight w:val="30"/>
        </w:trPr>
        <w:tc>
          <w:tcPr>
            <w:tcW w:w="89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898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4"/>
                <w:szCs w:val="24"/>
                <w:color w:val="auto"/>
                <w:vertAlign w:val="superscript"/>
              </w:rPr>
              <w:t>(2)</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24"/>
                <w:szCs w:val="24"/>
                <w:color w:val="auto"/>
                <w:vertAlign w:val="superscript"/>
              </w:rPr>
              <w:t>(2)</w:t>
            </w:r>
          </w:p>
        </w:tc>
        <w:tc>
          <w:tcPr>
            <w:tcW w:w="5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18"/>
                <w:szCs w:val="18"/>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FF0FC"/>
          </w:tcPr>
          <w:p>
            <w:pPr>
              <w:spacing w:after="0"/>
              <w:rPr>
                <w:sz w:val="18"/>
                <w:szCs w:val="18"/>
                <w:color w:val="auto"/>
              </w:rPr>
            </w:pP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20" w:type="dxa"/>
            <w:vAlign w:val="bottom"/>
          </w:tcPr>
          <w:p>
            <w:pPr>
              <w:spacing w:after="0"/>
              <w:rPr>
                <w:sz w:val="18"/>
                <w:szCs w:val="18"/>
                <w:color w:val="auto"/>
              </w:rPr>
            </w:pPr>
          </w:p>
        </w:tc>
      </w:tr>
      <w:tr>
        <w:trPr>
          <w:trHeight w:val="209"/>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(4,486 )</w:t>
            </w:r>
          </w:p>
        </w:tc>
      </w:tr>
      <w:tr>
        <w:trPr>
          <w:trHeight w:val="249"/>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8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 (accrued liabilities)</w:t>
            </w:r>
          </w:p>
        </w:tc>
        <w:tc>
          <w:tcPr>
            <w:tcW w:w="5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(481 )</w:t>
            </w:r>
          </w:p>
        </w:tc>
      </w:tr>
      <w:tr>
        <w:trPr>
          <w:trHeight w:val="230"/>
        </w:trPr>
        <w:tc>
          <w:tcPr>
            <w:tcW w:w="8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2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-762635</wp:posOffset>
            </wp:positionV>
            <wp:extent cx="77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ind w:right="180" w:firstLine="8"/>
        <w:spacing w:after="0" w:line="242" w:lineRule="auto"/>
        <w:tabs>
          <w:tab w:leader="none" w:pos="185"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Future minimum lease payments exclude short-term leases as well as payments to landlords for variable common area maintenance, insurance and real estate taxes.</w:t>
      </w:r>
    </w:p>
    <w:p>
      <w:pPr>
        <w:spacing w:after="0" w:line="167" w:lineRule="exact"/>
        <w:rPr>
          <w:rFonts w:ascii="Times New Roman" w:cs="Times New Roman" w:eastAsia="Times New Roman" w:hAnsi="Times New Roman"/>
          <w:sz w:val="22"/>
          <w:szCs w:val="22"/>
          <w:color w:val="auto"/>
          <w:vertAlign w:val="superscript"/>
        </w:rPr>
      </w:pPr>
    </w:p>
    <w:p>
      <w:pPr>
        <w:ind w:left="200" w:hanging="192"/>
        <w:spacing w:after="0"/>
        <w:tabs>
          <w:tab w:leader="none" w:pos="20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tenant improvements allowance of $2.0 million in 2025 and $0.4 million in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DISCONTINUED OPERATIONS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On October 1, 2022, the Company completed the Separation of its product business into a separate, independent, publicly-traded company, Xperi Inc. The accounting requirements for reporting the Separation of Xperi Inc. as a discontinued operation were met when the Separation was completed. Accordingly, the historical financial results of Xperi Inc. prior to the Separation are presented as discontinued operations and, as such, are excluded from continuing operations and results of operations from all periods presented. For further information on the Separation, see “Note 1 – </w:t>
      </w:r>
      <w:r>
        <w:rPr>
          <w:rFonts w:ascii="Times New Roman" w:cs="Times New Roman" w:eastAsia="Times New Roman" w:hAnsi="Times New Roman"/>
          <w:sz w:val="18"/>
          <w:szCs w:val="18"/>
          <w:i w:val="1"/>
          <w:iCs w:val="1"/>
          <w:color w:val="auto"/>
        </w:rPr>
        <w:t>The Company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presentation of discontinued operations excludes general corporate overhead costs, which were historically allocated to Xperi Inc., that do not meet the requirements to be presented in discontinued operations, although such costs are not reflective of the on-going operations of the Company. Such allocations included labor and non-labor costs related to the Company’s corporate support functions (e.g., administration, human resources, finance, accounting, tax, information technology, corporate development, legal, among others) that historically provided support to Xperi Inc. prior to the Separation. In addition, discontinued operations exclude the historical intercompany balances and transactions between the Company and Xperi Inc. that were eliminated in consolidation.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costs of $46.5 million from January 1, 2020 to December 31, 2024. Separation costs primarily consist of third-party advisory, consulting, legal and professional service, IT and employee bonus costs directly related to the Separation, as well as other items that are incremental and one-time in nature. Out of these costs, $28.6 million were incurred prior to the Separation and are included in net loss from discontinued operations, net of tax. The remaining separation costs of $17.9 million were incurred after the Separation and are reflected in continuing operations within operating expenses in the Company’s Consolidated Statement of Operations.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and Xperi Inc. entered into various agreements to effect the Separation and provide a framework for their on-going relationship, including a separation and distribution agreement, transition services agreement, employee matters agreement, tax matters agreement, cross business license agreement and data sharing agreement. The transition services agreement consists of services that Xperi Inc. and its subsidiaries will provide to the Company and its subsidiaries for a transitional period, as defined in the agreement. The services to be provided include back office functions and assistance with regard to administrative tasks relating to day-to-day activities as needed, including finance, accounting and tax activities, IT services, customer support, facilities services, human resources, and general corporate support, as well as pass-through services provided by certain vendors. The impact of these transition services on the Company’s Consolidated Financial Statements for the year ended December 31, 2024 was not material.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Net Loss from Discontinued Operations, Net of Tax</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financial results of Xperi Inc. through September 30, 2022 are presented as net loss from discontinued operations, net of tax, on the Consolidated Statements of Operations. The following table presents financial results of Xperi Inc.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118745</wp:posOffset>
            </wp:positionV>
            <wp:extent cx="93980"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jc w:val="right"/>
              <w:ind w:right="950"/>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4"/>
                <w:szCs w:val="24"/>
                <w:b w:val="1"/>
                <w:bCs w:val="1"/>
                <w:color w:val="auto"/>
                <w:vertAlign w:val="superscript"/>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540" w:type="dxa"/>
            <w:vAlign w:val="bottom"/>
            <w:vMerge w:val="continue"/>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5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5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5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5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56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(418,220 )</w:t>
            </w:r>
          </w:p>
        </w:tc>
        <w:tc>
          <w:tcPr>
            <w:tcW w:w="0" w:type="dxa"/>
            <w:vAlign w:val="bottom"/>
          </w:tcPr>
          <w:p>
            <w:pPr>
              <w:spacing w:after="0"/>
              <w:rPr>
                <w:sz w:val="1"/>
                <w:szCs w:val="1"/>
                <w:color w:val="auto"/>
              </w:rPr>
            </w:pPr>
          </w:p>
        </w:tc>
      </w:tr>
      <w:tr>
        <w:trPr>
          <w:trHeight w:val="216"/>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(754 )</w:t>
            </w:r>
          </w:p>
        </w:tc>
        <w:tc>
          <w:tcPr>
            <w:tcW w:w="0" w:type="dxa"/>
            <w:vAlign w:val="bottom"/>
          </w:tcPr>
          <w:p>
            <w:pPr>
              <w:spacing w:after="0"/>
              <w:rPr>
                <w:sz w:val="1"/>
                <w:szCs w:val="1"/>
                <w:color w:val="auto"/>
              </w:rPr>
            </w:pPr>
          </w:p>
        </w:tc>
      </w:tr>
      <w:tr>
        <w:trPr>
          <w:trHeight w:val="216"/>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5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5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(418,912 )</w:t>
            </w:r>
          </w:p>
        </w:tc>
        <w:tc>
          <w:tcPr>
            <w:tcW w:w="0" w:type="dxa"/>
            <w:vAlign w:val="bottom"/>
          </w:tcPr>
          <w:p>
            <w:pPr>
              <w:spacing w:after="0"/>
              <w:rPr>
                <w:sz w:val="1"/>
                <w:szCs w:val="1"/>
                <w:color w:val="auto"/>
              </w:rPr>
            </w:pPr>
          </w:p>
        </w:tc>
      </w:tr>
      <w:tr>
        <w:trPr>
          <w:trHeight w:val="216"/>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(436,978 )</w:t>
            </w:r>
          </w:p>
        </w:tc>
        <w:tc>
          <w:tcPr>
            <w:tcW w:w="0" w:type="dxa"/>
            <w:vAlign w:val="bottom"/>
          </w:tcPr>
          <w:p>
            <w:pPr>
              <w:spacing w:after="0"/>
              <w:rPr>
                <w:sz w:val="1"/>
                <w:szCs w:val="1"/>
                <w:color w:val="auto"/>
              </w:rPr>
            </w:pPr>
          </w:p>
        </w:tc>
      </w:tr>
      <w:tr>
        <w:trPr>
          <w:trHeight w:val="20"/>
        </w:trPr>
        <w:tc>
          <w:tcPr>
            <w:tcW w:w="85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56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(2,706 )</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discontinued operations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(434,272 )</w:t>
            </w:r>
          </w:p>
        </w:tc>
        <w:tc>
          <w:tcPr>
            <w:tcW w:w="0" w:type="dxa"/>
            <w:vAlign w:val="bottom"/>
          </w:tcPr>
          <w:p>
            <w:pPr>
              <w:spacing w:after="0"/>
              <w:rPr>
                <w:sz w:val="1"/>
                <w:szCs w:val="1"/>
                <w:color w:val="auto"/>
              </w:rPr>
            </w:pPr>
          </w:p>
        </w:tc>
      </w:tr>
      <w:tr>
        <w:trPr>
          <w:trHeight w:val="20"/>
        </w:trPr>
        <w:tc>
          <w:tcPr>
            <w:tcW w:w="8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nine months of Xperi Inc.’s operations in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of 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net impact to stockholders’ equity as a result of the Separation was a reduction of $748.9 million, which has been reflected as a reduction of</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$767.3 million, $5.1 million and $13.3 million to additional paid-in capital, accumulated other comprehensive income (loss) and noncontrolling interest, respectively, in the Consolidated Statements of Equity as of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of 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transactions have been included as part of discontinued operations for the year ended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 Vewd Software Holdings Limited</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July 1, 2022, the Company completed the acquisition of Vewd Software Holdings Limited (“Vewd” and the acquisition, the “Vewd Acquisition”), a provider of over-the-top (“OTT”) and hybrid TV solutions. The total consideration was approximately $102.9 million, consisting of approximately $52.9 million of cash and $50.0 million of debt.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Vewd acquisition was accounted for as business combination, using the acquisition method. The assets and liabilities and results of operations following the business combination were attributed to the Company’s former product business. The results of operations are presented in the Consolidated Statements of Operations for the year ended December 31, 2022 as net loss from discontinued operations, net of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Vewd Acquisition was accounted for as a business combination, using the acquisition method. The following table presents the allocation of the purchase price to the identifiable assets acquired and liabilities assumed based on the fair values at the acquisition date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6180" w:type="dxa"/>
            <w:vAlign w:val="bottom"/>
          </w:tcPr>
          <w:p>
            <w:pPr>
              <w:spacing w:after="0"/>
              <w:rPr>
                <w:sz w:val="20"/>
                <w:szCs w:val="20"/>
                <w:color w:val="auto"/>
              </w:rPr>
            </w:pPr>
          </w:p>
        </w:tc>
        <w:tc>
          <w:tcPr>
            <w:tcW w:w="1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7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spacing w:after="0"/>
              <w:rPr>
                <w:sz w:val="18"/>
                <w:szCs w:val="18"/>
                <w:color w:val="auto"/>
              </w:rPr>
            </w:pPr>
          </w:p>
        </w:tc>
        <w:tc>
          <w:tcPr>
            <w:tcW w:w="1660" w:type="dxa"/>
            <w:vAlign w:val="bottom"/>
            <w:gridSpan w:val="4"/>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relationships - large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Customer relationships - small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38,150</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68,115</w:t>
            </w:r>
          </w:p>
        </w:tc>
        <w:tc>
          <w:tcPr>
            <w:tcW w:w="10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(6,566 )</w:t>
            </w:r>
          </w:p>
        </w:tc>
      </w:tr>
      <w:tr>
        <w:trPr>
          <w:trHeight w:val="216"/>
        </w:trPr>
        <w:tc>
          <w:tcPr>
            <w:tcW w:w="7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(8,393 )</w:t>
            </w: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(1,094 )</w:t>
            </w:r>
          </w:p>
        </w:tc>
      </w:tr>
      <w:tr>
        <w:trPr>
          <w:trHeight w:val="216"/>
        </w:trPr>
        <w:tc>
          <w:tcPr>
            <w:tcW w:w="7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(307 )</w:t>
            </w:r>
          </w:p>
        </w:tc>
      </w:tr>
      <w:tr>
        <w:trPr>
          <w:trHeight w:val="210"/>
        </w:trPr>
        <w:tc>
          <w:tcPr>
            <w:tcW w:w="7820" w:type="dxa"/>
            <w:vAlign w:val="bottom"/>
            <w:tcBorders>
              <w:top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purchase price</w:t>
            </w:r>
          </w:p>
        </w:tc>
        <w:tc>
          <w:tcPr>
            <w:tcW w:w="20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gridSpan w:val="3"/>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102,913</w:t>
            </w:r>
          </w:p>
        </w:tc>
        <w:tc>
          <w:tcPr>
            <w:tcW w:w="100" w:type="dxa"/>
            <w:vAlign w:val="bottom"/>
            <w:tcBorders>
              <w:top w:val="single" w:sz="8" w:color="CFF0FC"/>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above purchase price allocation, including the purchase consideration, was based on valuations and assumptions, including potential changes to prepaid income taxes, current and non-current income taxes payable, deferred taxes, and other working capital adjustments.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Vewd Results of Operations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results of operations and cash flows related to the Vewd Acquisition were included in the Company’s Consolidated Financial Statements for periods subsequent to July 1, 2022, and the related assets and liabilities were recorded at their estimated fair values in the Company’s consolidated balance sheet as of July 1, 2022. For the year ended December 31, 2022, the acquired Vewd business contributed $2.5 million of revenue and $10.1 million of operating loss, respectively, to the Company’s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Vewd Acquisition, the Company incurred one-time expenses such as transaction related costs and severance and retention costs. For year ended December 31, 2022, transaction related costs including transaction bonuses, legal and consultant fees were $6.1 million and severance and retention costs were $2.1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financial information assumes the Vewd Acquisition was completed as of January 1, 2021. The unaudited pro forma financial information as presented below is for information purposes only and is based on estimates and assumptions that were made solely for purposes of developing such pro forma information. This is not necessarily indicative of the results of operations that would have been achieved if the Vewd Acquisition had taken place on January 1, 2021, nor is it necessarily indicative of future results. Consequently, actual results could differ materially from the unaudited pro forma financial information presented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1" w:name="page72"/>
    <w:bookmarkEnd w:id="71"/>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pro forma operating results as if the acquired operations of Vewd had been included in the Company’s Consolidated Statements of Operations as of January 1, 2021 (unaudited, in thousands):</w:t>
      </w:r>
    </w:p>
    <w:p>
      <w:pPr>
        <w:spacing w:after="0" w:line="18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19685</wp:posOffset>
            </wp:positionV>
            <wp:extent cx="12172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9200" w:val="left"/>
          <w:tab w:leader="none" w:pos="10440" w:val="left"/>
        </w:tabs>
        <w:rPr>
          <w:sz w:val="20"/>
          <w:szCs w:val="20"/>
          <w:color w:val="auto"/>
        </w:rPr>
      </w:pPr>
      <w:r>
        <w:rPr>
          <w:rFonts w:ascii="Times New Roman" w:cs="Times New Roman" w:eastAsia="Times New Roman" w:hAnsi="Times New Roman"/>
          <w:sz w:val="18"/>
          <w:szCs w:val="18"/>
          <w:color w:val="auto"/>
        </w:rPr>
        <w:t>Net loss attributable to discontinued operations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(377,614 )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unaudited supplemental pro forma information above includes the following pro forma adjustments: adjustments for transaction related costs and severance and retention costs, adjustments for amortization of intangible assets, and elimination of inter-company transactions between Vewd and the Company. The unaudited supplemental pro forma information above does not include any cost saving synergies from operating efficiencies.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Identified Intangible Assets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2022, indicators of potential impairment for the Company’s former product reporting unit were identified such that management concluded it was more-likely-than-not that goodwill was impaired and that a quantitative interim goodwill impairment assessment should be performed as of September 30, 2022. Indicators of potential impairment included a sustained decline in the Company’s stock price during the second half of the third quarter of 2022, reflective of rising interest rates and a continued decline in macroeconomic conditions. The Company proceeded to perform a fair value analysis of the Company’s former product reporting unit using the market capitalization approach. Under this approach, management estimated the fair value of the Company’s former product reporting unit as of September 30, 2022, using quoted market prices of the common stock of Xperi Inc., which as of October 1, 2022, comprised the former product segment of the Company, over its first ten trading days following the Separation, and a control premium representing the synergies a market participant would achieve upon obtaining control of Xperi Inc.</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 fair value analysis, the Company recognized a goodwill impairment charge of $354.0 million in the third quarter of 2022, which was allocated to the Company’s former product segment and included as part of net loss from discontinued operations, net of tax in the Consolidated Statements of Operations. The Company also assessed the recoverability of indefinite-lived intangible assets related to the Company’s former product reporting unit and concluded that no impairment existed as of September 30, 2022, as its estimated fair values exceeded their carrying amounts. No impairment indicators were identified with respect to other long-lived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of Discontinued Operations</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the Company distributed $182.9 million of cash which is presented as part of financing activities in the Consolidated Statements of Cash Flows for the year ended December 31, 2022. The following table presents selected financial information related to cash flows from discontinued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4"/>
                <w:szCs w:val="24"/>
                <w:b w:val="1"/>
                <w:bCs w:val="1"/>
                <w:color w:val="auto"/>
                <w:vertAlign w:val="superscript"/>
              </w:rPr>
              <w:t>(1)</w:t>
            </w:r>
          </w:p>
        </w:tc>
        <w:tc>
          <w:tcPr>
            <w:tcW w:w="100" w:type="dxa"/>
            <w:vAlign w:val="bottom"/>
          </w:tcPr>
          <w:p>
            <w:pPr>
              <w:spacing w:after="0"/>
              <w:rPr>
                <w:sz w:val="23"/>
                <w:szCs w:val="23"/>
                <w:color w:val="auto"/>
              </w:rPr>
            </w:pP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FF0FC"/>
          </w:tcPr>
          <w:p>
            <w:pPr>
              <w:spacing w:after="0"/>
              <w:rPr>
                <w:sz w:val="18"/>
                <w:szCs w:val="18"/>
                <w:color w:val="auto"/>
              </w:rPr>
            </w:pPr>
          </w:p>
        </w:tc>
      </w:tr>
      <w:tr>
        <w:trPr>
          <w:trHeight w:val="234"/>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(61,097 )</w:t>
            </w:r>
          </w:p>
        </w:tc>
      </w:tr>
    </w:tbl>
    <w:p>
      <w:pPr>
        <w:spacing w:after="0" w:line="151" w:lineRule="exact"/>
        <w:rPr>
          <w:sz w:val="20"/>
          <w:szCs w:val="20"/>
          <w:color w:val="auto"/>
        </w:rPr>
      </w:pPr>
    </w:p>
    <w:p>
      <w:pPr>
        <w:ind w:left="200" w:hanging="192"/>
        <w:spacing w:after="0"/>
        <w:tabs>
          <w:tab w:leader="none" w:pos="2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nine months of Xperi Inc.’s operations in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NOTE 10 – GOODWILL AND 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carrying value of goodwill at December 31, 2024 and December 31, 2023 was $ 313.7 million. There were no changes to the carrying value of goodwill from January 1, through December 31, 2024.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during the years ended December 31, 2024 and 2023.</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part of its annual goodwill impairment test, the Company elected to proceed with a qualitative goodwill impairment test and no indicators of potential impairment were identified. Additionally, based on the qualitative evaluation, which included consideration of the carrying value and market capitalization of the Company, no goodwill impairment triggers were identified as of December 31, 2024. No impairment charges were recognized for the years ended December 31,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(in thousands):</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1220" w:hanging="89"/>
        <w:spacing w:after="0" w:line="298" w:lineRule="auto"/>
        <w:rPr>
          <w:sz w:val="20"/>
          <w:szCs w:val="20"/>
          <w:color w:val="auto"/>
        </w:rPr>
      </w:pPr>
      <w:r>
        <w:rPr>
          <w:rFonts w:ascii="Times New Roman" w:cs="Times New Roman" w:eastAsia="Times New Roman" w:hAnsi="Times New Roman"/>
          <w:sz w:val="16"/>
          <w:szCs w:val="16"/>
          <w:color w:val="auto"/>
        </w:rPr>
        <w:t>Finite-lived intangible assets Acquired patents / core technology</w:t>
      </w:r>
    </w:p>
    <w:p>
      <w:pPr>
        <w:spacing w:after="0" w:line="110"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6"/>
          <w:szCs w:val="16"/>
          <w:color w:val="auto"/>
        </w:rPr>
        <w:t>Customer contracts and related relationships Existing technology / content database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gridSpan w:val="5"/>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60" w:type="dxa"/>
            <w:vAlign w:val="bottom"/>
            <w:tcBorders>
              <w:bottom w:val="single" w:sz="8" w:color="auto"/>
            </w:tcBorders>
          </w:tcPr>
          <w:p>
            <w:pPr>
              <w:spacing w:after="0"/>
              <w:rPr>
                <w:sz w:val="18"/>
                <w:szCs w:val="18"/>
                <w:color w:val="auto"/>
              </w:rPr>
            </w:pPr>
          </w:p>
        </w:tc>
      </w:tr>
      <w:tr>
        <w:trPr>
          <w:trHeight w:val="183"/>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Accumulat</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660" w:type="dxa"/>
            <w:vAlign w:val="bottom"/>
          </w:tcPr>
          <w:p>
            <w:pPr>
              <w:spacing w:after="0"/>
              <w:rPr>
                <w:sz w:val="15"/>
                <w:szCs w:val="15"/>
                <w:color w:val="auto"/>
              </w:rPr>
            </w:pPr>
          </w:p>
        </w:tc>
      </w:tr>
      <w:tr>
        <w:trPr>
          <w:trHeight w:val="203"/>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ed</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660" w:type="dxa"/>
            <w:vAlign w:val="bottom"/>
          </w:tcPr>
          <w:p>
            <w:pPr>
              <w:spacing w:after="0"/>
              <w:rPr>
                <w:sz w:val="17"/>
                <w:szCs w:val="17"/>
                <w:color w:val="auto"/>
              </w:rPr>
            </w:pPr>
          </w:p>
        </w:tc>
      </w:tr>
      <w:tr>
        <w:trPr>
          <w:trHeight w:val="203"/>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Life</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7"/>
                <w:szCs w:val="17"/>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Amortizati</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Amortizati</w:t>
            </w:r>
          </w:p>
        </w:tc>
        <w:tc>
          <w:tcPr>
            <w:tcW w:w="660" w:type="dxa"/>
            <w:vAlign w:val="bottom"/>
          </w:tcPr>
          <w:p>
            <w:pPr>
              <w:spacing w:after="0"/>
              <w:rPr>
                <w:sz w:val="17"/>
                <w:szCs w:val="17"/>
                <w:color w:val="auto"/>
              </w:rPr>
            </w:pPr>
          </w:p>
        </w:tc>
      </w:tr>
      <w:tr>
        <w:trPr>
          <w:trHeight w:val="212"/>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on</w:t>
            </w: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4"/>
              </w:rPr>
              <w:t>on</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8"/>
        </w:trPr>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r>
      <w:tr>
        <w:trPr>
          <w:trHeight w:val="122"/>
        </w:trPr>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0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3-10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679,085</w:t>
            </w:r>
          </w:p>
        </w:tc>
        <w:tc>
          <w:tcPr>
            <w:tcW w:w="1400" w:type="dxa"/>
            <w:vAlign w:val="bottom"/>
            <w:gridSpan w:val="4"/>
          </w:tcPr>
          <w:p>
            <w:pPr>
              <w:jc w:val="right"/>
              <w:ind w:right="80"/>
              <w:spacing w:after="0" w:line="203"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 (377,908 )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654,360</w:t>
            </w:r>
          </w:p>
        </w:tc>
        <w:tc>
          <w:tcPr>
            <w:tcW w:w="146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color w:val="auto"/>
              </w:rPr>
              <w:t>$  (323,261 )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331,099</w:t>
            </w:r>
          </w:p>
        </w:tc>
      </w:tr>
      <w:tr>
        <w:trPr>
          <w:trHeight w:val="20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3-9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155,900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(155,900 )</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155,900</w:t>
            </w: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(139,827 )</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16,073</w:t>
            </w: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5-10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(38,681 )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38,681</w:t>
            </w: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(38,681 )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-612775</wp:posOffset>
            </wp:positionV>
            <wp:extent cx="7132320" cy="1289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-252730</wp:posOffset>
            </wp:positionV>
            <wp:extent cx="7132320" cy="1289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00" w:space="720"/>
            <w:col w:w="692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Trademarks/trade name</w:t>
            </w:r>
          </w:p>
        </w:tc>
        <w:tc>
          <w:tcPr>
            <w:tcW w:w="20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4-10</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(1,300 )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1,300</w:t>
            </w: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(1,300 )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4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31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874,966</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(573,789 )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301,177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850,241</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(503,069 )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347,172</w:t>
            </w:r>
          </w:p>
        </w:tc>
        <w:tc>
          <w:tcPr>
            <w:tcW w:w="120" w:type="dxa"/>
            <w:vAlign w:val="bottom"/>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-162560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-162560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-162560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-162560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32" w:lineRule="exact"/>
        <w:rPr>
          <w:sz w:val="20"/>
          <w:szCs w:val="20"/>
          <w:color w:val="auto"/>
        </w:rPr>
      </w:pPr>
    </w:p>
    <w:p>
      <w:pPr>
        <w:ind w:right="40" w:firstLine="8"/>
        <w:spacing w:after="0" w:line="251" w:lineRule="auto"/>
        <w:tabs>
          <w:tab w:leader="none" w:pos="185"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During the year ended December 31, 2024, the Company acquired portfolios of patents for an aggregate cost of $24.7 million, of which $5.0 million was obtained as consideration in two licensing agreements (see “Note 7 – </w:t>
      </w:r>
      <w:r>
        <w:rPr>
          <w:rFonts w:ascii="Times New Roman" w:cs="Times New Roman" w:eastAsia="Times New Roman" w:hAnsi="Times New Roman"/>
          <w:sz w:val="17"/>
          <w:szCs w:val="17"/>
          <w:i w:val="1"/>
          <w:iCs w:val="1"/>
          <w:color w:val="auto"/>
        </w:rPr>
        <w:t>Fair Value</w:t>
      </w:r>
      <w:r>
        <w:rPr>
          <w:rFonts w:ascii="Times New Roman" w:cs="Times New Roman" w:eastAsia="Times New Roman" w:hAnsi="Times New Roman"/>
          <w:sz w:val="17"/>
          <w:szCs w:val="17"/>
          <w:color w:val="auto"/>
        </w:rPr>
        <w:t>”) and $19.7 million was or is to be paid in cash. The Company is amortizing the value of the assets acquired in 2024 over the weighted-average amortization periods of eight or ten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estimated future amortization expense of total finite-lived intangible assets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0"/>
                <w:szCs w:val="20"/>
                <w:color w:val="auto"/>
              </w:rPr>
            </w:pPr>
          </w:p>
        </w:tc>
      </w:tr>
      <w:tr>
        <w:trPr>
          <w:trHeight w:val="21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56,214</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56,081</w:t>
            </w:r>
          </w:p>
        </w:tc>
        <w:tc>
          <w:tcPr>
            <w:tcW w:w="100" w:type="dxa"/>
            <w:vAlign w:val="bottom"/>
          </w:tcPr>
          <w:p>
            <w:pPr>
              <w:spacing w:after="0"/>
              <w:rPr>
                <w:sz w:val="18"/>
                <w:szCs w:val="18"/>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55,729</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50,686</w:t>
            </w:r>
          </w:p>
        </w:tc>
        <w:tc>
          <w:tcPr>
            <w:tcW w:w="100" w:type="dxa"/>
            <w:vAlign w:val="bottom"/>
          </w:tcPr>
          <w:p>
            <w:pPr>
              <w:spacing w:after="0"/>
              <w:rPr>
                <w:sz w:val="18"/>
                <w:szCs w:val="18"/>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48,437</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00" w:type="dxa"/>
            <w:vAlign w:val="bottom"/>
          </w:tcPr>
          <w:p>
            <w:pPr>
              <w:spacing w:after="0"/>
              <w:rPr>
                <w:sz w:val="18"/>
                <w:szCs w:val="18"/>
                <w:color w:val="auto"/>
              </w:rPr>
            </w:pPr>
          </w:p>
        </w:tc>
      </w:tr>
      <w:tr>
        <w:trPr>
          <w:trHeight w:val="249"/>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301,177</w:t>
            </w:r>
          </w:p>
        </w:tc>
        <w:tc>
          <w:tcPr>
            <w:tcW w:w="100" w:type="dxa"/>
            <w:vAlign w:val="bottom"/>
            <w:shd w:val="clear" w:color="auto" w:fill="CFF0FC"/>
          </w:tcPr>
          <w:p>
            <w:pPr>
              <w:spacing w:after="0"/>
              <w:rPr>
                <w:sz w:val="21"/>
                <w:szCs w:val="21"/>
                <w:color w:val="auto"/>
              </w:rPr>
            </w:pPr>
          </w:p>
        </w:tc>
      </w:tr>
      <w:tr>
        <w:trPr>
          <w:trHeight w:val="629"/>
        </w:trPr>
        <w:tc>
          <w:tcPr>
            <w:tcW w:w="3160" w:type="dxa"/>
            <w:vAlign w:val="bottom"/>
            <w:tcBorders>
              <w:top w:val="single" w:sz="8" w:color="CFF0FC"/>
            </w:tcBorders>
          </w:tcPr>
          <w:p>
            <w:pPr>
              <w:spacing w:after="0"/>
              <w:rPr>
                <w:sz w:val="24"/>
                <w:szCs w:val="24"/>
                <w:color w:val="auto"/>
              </w:rPr>
            </w:pPr>
          </w:p>
        </w:tc>
        <w:tc>
          <w:tcPr>
            <w:tcW w:w="6060" w:type="dxa"/>
            <w:vAlign w:val="bottom"/>
            <w:tcBorders>
              <w:top w:val="single" w:sz="8" w:color="CFF0FC"/>
            </w:tcBorders>
          </w:tcPr>
          <w:p>
            <w:pPr>
              <w:jc w:val="right"/>
              <w:ind w:right="341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DEBT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amounts of debt were as follows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2021 Refinanced Term Loan B</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Term Loan B</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487,083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(11,627 )</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(15,555 )</w:t>
            </w: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475,456</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debt discount and issuance costs</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(21,021 )</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(66,145 )</w:t>
            </w:r>
          </w:p>
        </w:tc>
        <w:tc>
          <w:tcPr>
            <w:tcW w:w="0" w:type="dxa"/>
            <w:vAlign w:val="bottom"/>
          </w:tcPr>
          <w:p>
            <w:pPr>
              <w:spacing w:after="0"/>
              <w:rPr>
                <w:sz w:val="1"/>
                <w:szCs w:val="1"/>
                <w:color w:val="auto"/>
              </w:rPr>
            </w:pPr>
          </w:p>
        </w:tc>
      </w:tr>
      <w:tr>
        <w:trPr>
          <w:trHeight w:val="249"/>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454,435</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8, 2021, the Company entered into Amendment No. 1 (“Amendment No. 1”) to that certain Credit Agreement dated June 1, 2020 by and among the Company,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the Company with additional flexibility under the covenant governing restricted payments.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30, 2023, the Company entered into Amendment No. 2 (“Amendment No. 2”) to the 2020 Credit Agreement, to replace the reference to LIBOR as the base rate with the reference to the Secured Overnight Financing Rate “SOFR” as administered by the Federal Reserve Bank of New York. The new reference rate was effective July 1, 2023.</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20, 2024, the Company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 (x) in the case of SOFR loans, 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30, 2025, the Company entered into Amendment No. 4 (“Amendment No. 4”) to the 2020 Credit Agreement, which provided for, among other things, (i) a repricing of the 2020 Term Loan B Facility through a refinancing of the entire amount of the 2024 Term Loan B (the “2025 Term Loan B”) in an aggregate principal amount of $487.1 million, (ii) a reduction of the interest rate margin applicable to such loans to (x) in the case of SOFR loans, 2.50% per annum and (y) in the case of base rate loans, 1.50% per annum and (iii) a prepayment premium of 1.00% in connection with any repricing transaction with respect to the 2025 Term Loan B within six months of the closing date of Amendment No. 4. The 2025 Term Loan B will mature on June 8, 2028, the same date upon which the 2024 Term Loan B matured prior to giving effect to Amendment No. 4.</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obligations under the 2020 Credit Agreement, inclusive of any changes by Amendment No. 1, Amendment No. 2, Amendment No. 3 and Amendment No. 4, continue to be guaranteed by the Company’s wholly-owned material domestic subsidiaries (collectively, the “Guarantors”) and continue to be secured by a lien on substantially all of the assets of the Company and the Guarantors.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18"/>
          <w:szCs w:val="18"/>
          <w:color w:val="auto"/>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Separation did not require the Company to obtain any waivers under the 2020 Credit Agreement, and the Company completed the Separation in compliance with all of the covenants contained in the 2020 Credit Agreement. The 2020 Credit Agreement, as amended, requires the Company to maintain a total net leverage ratio of no greater than 3.00x in order to access a basket from which to make restricted payments (such as dividend payments and share repurchases). The Company was in compliance with all requirements under the 2020 Credit Agreement as of December 31, 2024. 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Expected Principal 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Company had $487.1 million in total debt outstanding. There were also $11.6 million of unamortized debt discount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costs recorded as a reduction from the carrying amount of the debt. The interest rate on the 2024 Term Loan B as of December 31, 2024,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debt discount and issuance costs, was 8.9% and interest is payable monthly. Interest expense was $51.0 million, $62.5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$45.3 million for the years ended December 31, 2024, 2023 and 2022, respectively. Amortized debt discount and issuance costs, which were included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amounted to $3.5 million, $4.3 million and $4.4 million for the years ended December 31, 2024, 2023 and 2022, respectively.</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2024, future minimum principal payments for long-term debt, excluding any additional principal payment required by the excess cash flow provision, are summarized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0"/>
                <w:szCs w:val="20"/>
                <w:color w:val="auto"/>
              </w:rPr>
            </w:pPr>
          </w:p>
        </w:tc>
      </w:tr>
      <w:tr>
        <w:trPr>
          <w:trHeight w:val="209"/>
        </w:trPr>
        <w:tc>
          <w:tcPr>
            <w:tcW w:w="3020" w:type="dxa"/>
            <w:vAlign w:val="bottom"/>
            <w:shd w:val="clear" w:color="auto" w:fill="CFF0FC"/>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2025</w:t>
            </w:r>
          </w:p>
        </w:tc>
        <w:tc>
          <w:tcPr>
            <w:tcW w:w="6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shd w:val="clear" w:color="auto" w:fill="CFF0FC"/>
          </w:tcPr>
          <w:p>
            <w:pPr>
              <w:spacing w:after="0"/>
              <w:rPr>
                <w:sz w:val="18"/>
                <w:szCs w:val="18"/>
                <w:color w:val="auto"/>
              </w:rPr>
            </w:pPr>
          </w:p>
        </w:tc>
      </w:tr>
      <w:tr>
        <w:trPr>
          <w:trHeight w:val="216"/>
        </w:trPr>
        <w:tc>
          <w:tcPr>
            <w:tcW w:w="302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2026</w:t>
            </w:r>
          </w:p>
        </w:tc>
        <w:tc>
          <w:tcPr>
            <w:tcW w:w="6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tcPr>
          <w:p>
            <w:pPr>
              <w:spacing w:after="0"/>
              <w:rPr>
                <w:sz w:val="18"/>
                <w:szCs w:val="18"/>
                <w:color w:val="auto"/>
              </w:rPr>
            </w:pPr>
          </w:p>
        </w:tc>
      </w:tr>
      <w:tr>
        <w:trPr>
          <w:trHeight w:val="216"/>
        </w:trPr>
        <w:tc>
          <w:tcPr>
            <w:tcW w:w="3020" w:type="dxa"/>
            <w:vAlign w:val="bottom"/>
            <w:shd w:val="clear" w:color="auto" w:fill="CFF0FC"/>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2027</w:t>
            </w:r>
          </w:p>
        </w:tc>
        <w:tc>
          <w:tcPr>
            <w:tcW w:w="6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shd w:val="clear" w:color="auto" w:fill="CFF0FC"/>
          </w:tcPr>
          <w:p>
            <w:pPr>
              <w:spacing w:after="0"/>
              <w:rPr>
                <w:sz w:val="18"/>
                <w:szCs w:val="18"/>
                <w:color w:val="auto"/>
              </w:rPr>
            </w:pPr>
          </w:p>
        </w:tc>
      </w:tr>
      <w:tr>
        <w:trPr>
          <w:trHeight w:val="216"/>
        </w:trPr>
        <w:tc>
          <w:tcPr>
            <w:tcW w:w="302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2028</w:t>
            </w:r>
          </w:p>
        </w:tc>
        <w:tc>
          <w:tcPr>
            <w:tcW w:w="6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414,021</w:t>
            </w:r>
          </w:p>
        </w:tc>
        <w:tc>
          <w:tcPr>
            <w:tcW w:w="100" w:type="dxa"/>
            <w:vAlign w:val="bottom"/>
          </w:tcPr>
          <w:p>
            <w:pPr>
              <w:spacing w:after="0"/>
              <w:rPr>
                <w:sz w:val="18"/>
                <w:szCs w:val="18"/>
                <w:color w:val="auto"/>
              </w:rPr>
            </w:pPr>
          </w:p>
        </w:tc>
      </w:tr>
      <w:tr>
        <w:trPr>
          <w:trHeight w:val="250"/>
        </w:trPr>
        <w:tc>
          <w:tcPr>
            <w:tcW w:w="3020" w:type="dxa"/>
            <w:vAlign w:val="bottom"/>
            <w:shd w:val="clear" w:color="auto" w:fill="CFF0FC"/>
          </w:tcPr>
          <w:p>
            <w:pPr>
              <w:jc w:val="right"/>
              <w:ind w:right="2430"/>
              <w:spacing w:after="0"/>
              <w:rPr>
                <w:sz w:val="20"/>
                <w:szCs w:val="20"/>
                <w:color w:val="auto"/>
              </w:rPr>
            </w:pPr>
            <w:r>
              <w:rPr>
                <w:rFonts w:ascii="Times New Roman" w:cs="Times New Roman" w:eastAsia="Times New Roman" w:hAnsi="Times New Roman"/>
                <w:sz w:val="18"/>
                <w:szCs w:val="18"/>
                <w:color w:val="auto"/>
              </w:rPr>
              <w:t>Total</w:t>
            </w:r>
          </w:p>
        </w:tc>
        <w:tc>
          <w:tcPr>
            <w:tcW w:w="6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487,083</w:t>
            </w:r>
          </w:p>
        </w:tc>
        <w:tc>
          <w:tcPr>
            <w:tcW w:w="100" w:type="dxa"/>
            <w:vAlign w:val="bottom"/>
            <w:shd w:val="clear" w:color="auto" w:fill="CFF0FC"/>
          </w:tcPr>
          <w:p>
            <w:pPr>
              <w:spacing w:after="0"/>
              <w:rPr>
                <w:sz w:val="21"/>
                <w:szCs w:val="21"/>
                <w:color w:val="auto"/>
              </w:rPr>
            </w:pPr>
          </w:p>
        </w:tc>
      </w:tr>
      <w:tr>
        <w:trPr>
          <w:trHeight w:val="629"/>
        </w:trPr>
        <w:tc>
          <w:tcPr>
            <w:tcW w:w="3020" w:type="dxa"/>
            <w:vAlign w:val="bottom"/>
            <w:tcBorders>
              <w:top w:val="single" w:sz="8" w:color="CFF0FC"/>
            </w:tcBorders>
          </w:tcPr>
          <w:p>
            <w:pPr>
              <w:spacing w:after="0"/>
              <w:rPr>
                <w:sz w:val="24"/>
                <w:szCs w:val="24"/>
                <w:color w:val="auto"/>
              </w:rPr>
            </w:pPr>
          </w:p>
        </w:tc>
        <w:tc>
          <w:tcPr>
            <w:tcW w:w="6200" w:type="dxa"/>
            <w:vAlign w:val="bottom"/>
            <w:tcBorders>
              <w:top w:val="single" w:sz="8" w:color="CFF0FC"/>
            </w:tcBorders>
          </w:tcPr>
          <w:p>
            <w:pPr>
              <w:jc w:val="right"/>
              <w:ind w:right="341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0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NET INCOME (LOSS) PER SHARE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shares (in thousands):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discontinued operations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(434,272 )</w:t>
            </w:r>
          </w:p>
        </w:tc>
        <w:tc>
          <w:tcPr>
            <w:tcW w:w="0" w:type="dxa"/>
            <w:vAlign w:val="bottom"/>
          </w:tcPr>
          <w:p>
            <w:pPr>
              <w:spacing w:after="0"/>
              <w:rPr>
                <w:sz w:val="1"/>
                <w:szCs w:val="1"/>
                <w:color w:val="auto"/>
              </w:rPr>
            </w:pPr>
          </w:p>
        </w:tc>
      </w:tr>
      <w:tr>
        <w:trPr>
          <w:trHeight w:val="20"/>
        </w:trPr>
        <w:tc>
          <w:tcPr>
            <w:tcW w:w="6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2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(295,880 )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108,647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options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6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Add: Effect of dilutive securities associated with restricted stock awards and</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units</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Add: Effect of dilutive securities associated with employee stock purchase</w:t>
            </w:r>
          </w:p>
        </w:tc>
        <w:tc>
          <w:tcPr>
            <w:tcW w:w="3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program</w:t>
            </w: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113,061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(4.16 )</w:t>
            </w:r>
          </w:p>
        </w:tc>
        <w:tc>
          <w:tcPr>
            <w:tcW w:w="0" w:type="dxa"/>
            <w:vAlign w:val="bottom"/>
          </w:tcPr>
          <w:p>
            <w:pPr>
              <w:spacing w:after="0"/>
              <w:rPr>
                <w:sz w:val="1"/>
                <w:szCs w:val="1"/>
                <w:color w:val="auto"/>
              </w:rPr>
            </w:pPr>
          </w:p>
        </w:tc>
      </w:tr>
      <w:tr>
        <w:trPr>
          <w:trHeight w:val="20"/>
        </w:trPr>
        <w:tc>
          <w:tcPr>
            <w:tcW w:w="6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197"/>
        </w:trPr>
        <w:tc>
          <w:tcPr>
            <w:tcW w:w="63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employee stock-based awards, excluded</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-3145790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-3145790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-3145790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-1739265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-1722755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-1739265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-1722755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-1722755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-1165225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-1165225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-299720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-281940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-299720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-281940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using the weighted average number of shares of common stock outstanding during the period, excluding any unvested restricted stock awards that are subject to repurchase. Diluted net income (loss) per share is computed using the treasury stock method to calculate the weighted average number of shares of common stock and, if dilutive, potential common shares outstanding during the period. Potentially dilutive common shares include unvested restricted stock awards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2020 EIP</w:t>
      </w:r>
    </w:p>
    <w:p>
      <w:pPr>
        <w:spacing w:after="0" w:line="2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6" w:name="page77"/>
    <w:bookmarkEnd w:id="76"/>
    <w:p>
      <w:pPr>
        <w:ind w:right="120"/>
        <w:spacing w:after="0" w:line="255" w:lineRule="auto"/>
        <w:rPr>
          <w:sz w:val="20"/>
          <w:szCs w:val="20"/>
          <w:color w:val="auto"/>
        </w:rPr>
      </w:pPr>
      <w:r>
        <w:rPr>
          <w:rFonts w:ascii="Times New Roman" w:cs="Times New Roman" w:eastAsia="Times New Roman" w:hAnsi="Times New Roman"/>
          <w:sz w:val="18"/>
          <w:szCs w:val="18"/>
          <w:color w:val="auto"/>
        </w:rPr>
        <w:t>At the Company’s 2024 Annual Stockholders Meeting on May 9, 2024, the Company’s stockholders approved an amendment and restatement of the 2020 EIP, which provided for (i) an increase of the number of shares reserved for issuance by 8,900,000 (from an initial share reserve of 16,800,000 under the prior 2020 EIP to 25,700,000 under the amended and restated 2020 EIP) and (ii) the removal of the “fungible share ratio” for future awards, such that all equity awards granted on or after May 9, 2024 will count on a one-to-one basis against the number of shares authorized for issuance under the 2020 EIP (whereas each share granted pursuant to “full value” awards (i.e. stock awards, restricted stock awards, restricted stock units, performance awards and dividend equivalents) prior to May 9, 2024 are counted against shares available for issuance on a 1.5 to 1 ratio). As of December 31, 2024, there were approximately 8.1 million shares reserved for future grants under the 2020 EIP.</w:t>
      </w:r>
    </w:p>
    <w:p>
      <w:pPr>
        <w:spacing w:after="0" w:line="189"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Plans</w:t>
      </w:r>
    </w:p>
    <w:p>
      <w:pPr>
        <w:spacing w:after="0" w:line="22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Company has not issued any awards under these plans since the 2020 EIP was amended in 2022. The number of shares subject to stock options and restricted stock units outstanding under these plans are included in the tables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is presented below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Subject</w:t>
            </w: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Options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2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spacing w:after="0"/>
              <w:rPr>
                <w:sz w:val="17"/>
                <w:szCs w:val="17"/>
                <w:color w:val="auto"/>
              </w:rPr>
            </w:pPr>
          </w:p>
        </w:tc>
        <w:tc>
          <w:tcPr>
            <w:tcW w:w="14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2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spacing w:after="0"/>
              <w:rPr>
                <w:sz w:val="17"/>
                <w:szCs w:val="17"/>
                <w:color w:val="auto"/>
              </w:rPr>
            </w:pPr>
          </w:p>
        </w:tc>
        <w:tc>
          <w:tcPr>
            <w:tcW w:w="14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2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2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3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23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3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0"/>
                <w:szCs w:val="20"/>
                <w:color w:val="auto"/>
              </w:rPr>
            </w:pPr>
          </w:p>
        </w:tc>
      </w:tr>
      <w:tr>
        <w:trPr>
          <w:trHeight w:val="629"/>
        </w:trPr>
        <w:tc>
          <w:tcPr>
            <w:tcW w:w="46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-2425065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-2407920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-1842135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-1824990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-1259205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-1242060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-933450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-916305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under all of the Company’s plans at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38"/>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Prices per Share</w:t>
            </w:r>
          </w:p>
        </w:tc>
        <w:tc>
          <w:tcPr>
            <w:tcW w:w="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Share</w:t>
            </w:r>
          </w:p>
        </w:tc>
      </w:tr>
      <w:tr>
        <w:trPr>
          <w:trHeight w:val="250"/>
        </w:trPr>
        <w:tc>
          <w:tcPr>
            <w:tcW w:w="3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$12.55 - $21.60</w:t>
            </w:r>
          </w:p>
        </w:tc>
        <w:tc>
          <w:tcPr>
            <w:tcW w:w="1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-24765</wp:posOffset>
            </wp:positionV>
            <wp:extent cx="1028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1028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946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946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Information with respect to outstanding restricted stock awards (including both time-based vesting and performance-based vesting) as of December 31, 2024 is as follows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52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28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52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Subject to</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Subject to</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16"/>
        </w:trPr>
        <w:tc>
          <w:tcPr>
            <w:tcW w:w="528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Time-</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Value Per</w:t>
            </w:r>
          </w:p>
        </w:tc>
      </w:tr>
      <w:tr>
        <w:trPr>
          <w:trHeight w:val="238"/>
        </w:trPr>
        <w:tc>
          <w:tcPr>
            <w:tcW w:w="528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based Vesting</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based Vesting</w:t>
            </w: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10"/>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(2,281 )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(340 )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8"/>
                <w:szCs w:val="18"/>
                <w:color w:val="auto"/>
              </w:rPr>
            </w:pPr>
          </w:p>
        </w:tc>
      </w:tr>
      <w:tr>
        <w:trPr>
          <w:trHeight w:val="210"/>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(3,042 )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r>
      <w:tr>
        <w:trPr>
          <w:trHeight w:val="210"/>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(2,874 )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(2,874 )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8"/>
                <w:szCs w:val="18"/>
                <w:color w:val="auto"/>
              </w:rPr>
            </w:pPr>
          </w:p>
        </w:tc>
      </w:tr>
      <w:tr>
        <w:trPr>
          <w:trHeight w:val="250"/>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Due to the Separation, the next offering period under the 2020 ESPP plan commenced on December 1, 2022. Each subsequent offering period under the 2020 ESPP will be twenty-four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18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the 2022 Annual Stockholders Meeting on April 29, 2022, the Company’s shareholders approved an amendment to the 2020 ESPP and increased by 6.0 million the number of shares reserved for issuance. As of December 31, 2024, there were 5.0 million shares reserved for grant under the Company’s 2020 ESPP.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Equity Awards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Separation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Stockholders of the Company’s common stock are entitled to receive dividends when declared by the Company’s Board of Directors. For the years ended December 31, 2024, 2023 and 2022, dividends declared in the aggregate for each year were $0.20 per common share, respectively.</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capacity to pay dividends in the future depends on many factors, including the Company’s financial condition, results of operations, capital requirements, capital structure, industry practice and other business conditions that the Board of Directors considers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June 12, 2020 the Board of Directors (the “Board”) of the Company authorized a new stock repurchase program providing for the repurchase of up to $150.0 million of the Company’s Common Stock dependent on market conditions, share prices and other factors. On April 22, 2021, the Board authorized an additional $100.0 million of purchases under the existing stock repurchase program, under which $172.2 million was utilized for stock repurchases, leaving the total authorized amount available for repurchase under the program at $77.8 million. In October 2024, the Company’s Board approved an increase of the existing share repurchase authorization up to a total of $200.0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ind w:right="120"/>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has repurchased a total of approximately 11.4 million shares of common stock, since inception of the plan, at an average price of $16.83 per share for a total cost of $192.2 million. As of December 31, 2023, the Company has repurchased a total of approximately 10.0 million shares of common stock, since inception of the plan, at an average price of $17.24 per share for a total cost of $172.2 million. The shares repurchased are recorded as treasury stock and are accounted for under the cost method. No expiration date has been specified for this plan. As of December 31, 2024, the total remaining amount available for repurchase under this plan was $180.0 million. The Company may execute authorized repurchases from time to time under the plan.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Consolidated Financial Statements because they reduce the number of shares that would have been issued on vesting. However, these withheld shares are not included in common stock repurchases under the Company’s authorized share repurchase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recording stock-based compensation (“SBC”) expense for the years ended December 31, 2024, 2023 and 2022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100" w:type="dxa"/>
            <w:vAlign w:val="bottom"/>
          </w:tcPr>
          <w:p>
            <w:pPr>
              <w:spacing w:after="0"/>
              <w:rPr>
                <w:sz w:val="18"/>
                <w:szCs w:val="18"/>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termination of employment with a former executive on March 1, 2022, the Company entered into a Separation Agreement and Release with the executive, dated February 18, 2022 (the “Separation Agreement”). Pursuant to the Separation Agreement, the Company approved, among other severance benefits, accelerated vesting of 372,244 of outstanding performance and time-based restricted stock awards. As a result of this modification, the Company recorded incremental SBC expense of approximately $2.2 million during the first quarter of 2022.</w:t>
      </w:r>
    </w:p>
    <w:p>
      <w:pPr>
        <w:spacing w:after="0" w:line="17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As a result of the Separation and the conversion of the outstanding stock options and equity awards described in “Note 13 –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Company compared the fair value of the outstanding stock options immediately before and after the Separation and a total incremental cost of $0.4 million was recognized as part of stock-based compensation expense during the year ended December 31, 2022.</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awards vested during the years ended December 31, 2024, 2023 and 2022 was $28.1 million, $30.3 million and $48.7 million, respectively.</w:t>
      </w:r>
    </w:p>
    <w:p>
      <w:pPr>
        <w:spacing w:after="0" w:line="16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2024, 2023 and 2022 was $0.01 million, $0.04 million and $0.02 million, respectively. The intrinsic value is calculated as the difference between the market value on the date of exercise and the exercise price of the shares.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no unrecognized stock-based compensation balance after estimated forfeitures related to unvested stock options, and there was $47.1 million related to restricted stock awards, including performance-based awards, to be recognized over an estimated weighted average period of 1.9 years.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estimated fair value of options and ESPP shares. The fair value of each option grant is determined on the date of grant and the expense is recorded on a straight-line basis over the offering period of two years. The assumptions used in the model include expected life, volatility, risk-free interest rate, and dividend yield. The Company’s determinations of these assumptions are outlined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right="360"/>
        <w:spacing w:after="0" w:line="282" w:lineRule="auto"/>
        <w:rPr>
          <w:sz w:val="20"/>
          <w:szCs w:val="20"/>
          <w:color w:val="auto"/>
        </w:rPr>
      </w:pPr>
      <w:r>
        <w:rPr>
          <w:rFonts w:ascii="Times New Roman" w:cs="Times New Roman" w:eastAsia="Times New Roman" w:hAnsi="Times New Roman"/>
          <w:sz w:val="18"/>
          <w:szCs w:val="18"/>
          <w:color w:val="auto"/>
        </w:rPr>
        <w:t>Expected life – The expected life assumption is based on analysis of the Company’s historical employee exercise patterns. The expected life of options granted under the ESPP represents the offering period of two years.</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Volatility – Volatility was calculated using the historical volatility of the Company’s common stock for a term consistent with the expected life. When there is limited historical trading data after the Separation, volatility is calculated based on a peer group over the most recent period that represents the remaining term of the vesting period as of the valuation date.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Risk-free interest rate – The risk-free interest rate assumption is based on the U.S. Treasury rate for issues with remaining terms similar to the expected life of the options.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Dividend yield – Expected dividend yield is calculated based on cash dividends declared by the Board for the previous four quarters and dividing that result by the average closing price of the Company’s common stock for the quarter. Cash dividends are not paid on options, restricted stock awards or unvested restricted stock awards.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Company estimates forfeiture rates. Forfeitures are estimated at the time of grant and revised in subsequent periods if actual forfeitures differ from those estimates. Historical data is used to estimate pre-vesting option forfeitures and record stock-based compensation expense only for those awards that are expected to vest.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options granted during the years ended December 31, 2024, 2023 and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assumptions were used to value the ESPP shares: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6560" w:type="dxa"/>
            <w:vAlign w:val="bottom"/>
          </w:tcPr>
          <w:p>
            <w:pPr>
              <w:spacing w:after="0"/>
              <w:rPr>
                <w:sz w:val="24"/>
                <w:szCs w:val="24"/>
                <w:color w:val="auto"/>
              </w:rPr>
            </w:pPr>
          </w:p>
        </w:tc>
        <w:tc>
          <w:tcPr>
            <w:tcW w:w="344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4"/>
                <w:szCs w:val="24"/>
                <w:color w:val="auto"/>
              </w:rPr>
            </w:pPr>
          </w:p>
        </w:tc>
      </w:tr>
      <w:tr>
        <w:trPr>
          <w:trHeight w:val="210"/>
        </w:trPr>
        <w:tc>
          <w:tcPr>
            <w:tcW w:w="6560" w:type="dxa"/>
            <w:vAlign w:val="bottom"/>
          </w:tcPr>
          <w:p>
            <w:pPr>
              <w:spacing w:after="0"/>
              <w:rPr>
                <w:sz w:val="18"/>
                <w:szCs w:val="18"/>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6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 − 4.8%</w:t>
            </w:r>
          </w:p>
        </w:tc>
        <w:tc>
          <w:tcPr>
            <w:tcW w:w="120" w:type="dxa"/>
            <w:vAlign w:val="bottom"/>
          </w:tcPr>
          <w:p>
            <w:pPr>
              <w:spacing w:after="0"/>
              <w:rPr>
                <w:sz w:val="18"/>
                <w:szCs w:val="18"/>
                <w:color w:val="auto"/>
              </w:rPr>
            </w:pPr>
          </w:p>
        </w:tc>
        <w:tc>
          <w:tcPr>
            <w:tcW w:w="18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4.3% − 4.6%</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1.3 − 4.3%</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6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1.1 − 2.3%</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43.3% − 57.0%</w:t>
            </w:r>
          </w:p>
        </w:tc>
        <w:tc>
          <w:tcPr>
            <w:tcW w:w="120" w:type="dxa"/>
            <w:vAlign w:val="bottom"/>
          </w:tcPr>
          <w:p>
            <w:pPr>
              <w:spacing w:after="0"/>
              <w:rPr>
                <w:sz w:val="20"/>
                <w:szCs w:val="20"/>
                <w:color w:val="auto"/>
              </w:rPr>
            </w:pPr>
          </w:p>
        </w:tc>
        <w:tc>
          <w:tcPr>
            <w:tcW w:w="18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61.3% − 63.5%</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48.5 − 69.0%</w:t>
            </w:r>
          </w:p>
        </w:tc>
      </w:tr>
    </w:tbl>
    <w:p>
      <w:pPr>
        <w:spacing w:after="0" w:line="20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an aggregate of 235,000, 182,000 and 1,301,000 common shares, respectively, were purchased pursuant to the ESPP.</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uses a Monte Carlo simulation to determine the grant date fair value of performance stock awards subject to market conditions, or market-based PSUs. The following assumptions were used to value the performance stock awards subject to market conditions granted in the years ended December 31, 2024, 2023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20" w:type="dxa"/>
            <w:vAlign w:val="bottom"/>
            <w:tcBorders>
              <w:bottom w:val="single" w:sz="8" w:color="auto"/>
            </w:tcBorders>
          </w:tcPr>
          <w:p>
            <w:pPr>
              <w:spacing w:after="0"/>
              <w:rPr>
                <w:sz w:val="20"/>
                <w:szCs w:val="20"/>
                <w:color w:val="auto"/>
              </w:rPr>
            </w:pPr>
          </w:p>
        </w:tc>
      </w:tr>
      <w:tr>
        <w:trPr>
          <w:trHeight w:val="210"/>
        </w:trPr>
        <w:tc>
          <w:tcPr>
            <w:tcW w:w="6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2.4 − 3.0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2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3.64% − 4.85%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1.91% − 2.32%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2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61.3% − 68.5%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− 40.9%</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income (loss) before taxes from continuing operations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110,796</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(151 )</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(1,024 )</w:t>
            </w:r>
          </w:p>
        </w:tc>
      </w:tr>
      <w:tr>
        <w:trPr>
          <w:trHeight w:val="249"/>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taxes from continuing operations</w:t>
            </w:r>
          </w:p>
        </w:tc>
        <w:tc>
          <w:tcPr>
            <w:tcW w:w="2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79,976</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500" w:type="dxa"/>
            <w:vAlign w:val="bottom"/>
          </w:tcPr>
          <w:p>
            <w:pPr>
              <w:spacing w:after="0"/>
              <w:rPr>
                <w:sz w:val="24"/>
                <w:szCs w:val="24"/>
                <w:color w:val="auto"/>
              </w:rPr>
            </w:pPr>
          </w:p>
        </w:tc>
        <w:tc>
          <w:tcPr>
            <w:tcW w:w="2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-933450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-916305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(benefit from) income taxes consisted of the following (in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(5,156 )</w:t>
            </w: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tcPr>
          <w:p>
            <w:pPr>
              <w:spacing w:after="0"/>
              <w:rPr>
                <w:sz w:val="18"/>
                <w:szCs w:val="18"/>
                <w:color w:val="auto"/>
              </w:rPr>
            </w:pPr>
          </w:p>
        </w:tc>
      </w:tr>
      <w:tr>
        <w:trPr>
          <w:trHeight w:val="209"/>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(1,947 )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(36,363 )</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(3,200 )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(6,858 )</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(6,806 )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(10,404 )</w:t>
            </w: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(7,140 )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(42,037 )</w:t>
            </w: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(28,620 )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-873760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-873760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-316230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-316230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for income tax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65,897</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tax credits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48,881</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tax credits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192,755</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201,121</w:t>
            </w: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(115,542 )</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(118,039 )</w:t>
            </w:r>
          </w:p>
        </w:tc>
      </w:tr>
      <w:tr>
        <w:trPr>
          <w:trHeight w:val="210"/>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77,213</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83,082</w:t>
            </w: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recognition</w:t>
            </w:r>
          </w:p>
        </w:tc>
        <w:tc>
          <w:tcPr>
            <w:tcW w:w="3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(2,752 )</w:t>
            </w: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(2,183 )</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(2,208 )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(41,251 )</w:t>
            </w: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(53,921 )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(1,979 )</w:t>
            </w:r>
          </w:p>
        </w:tc>
      </w:tr>
      <w:tr>
        <w:trPr>
          <w:trHeight w:val="20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100" w:type="dxa"/>
            <w:vAlign w:val="bottom"/>
            <w:tcBorders>
              <w:top w:val="single" w:sz="8" w:color="CFF0FC"/>
            </w:tcBorders>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-1285240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-1002030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a valuation allowance of $115.5 million and $118.0 million, respectively, related to state, and foreign deferred tax assets that the Company believes will not be realizable on a more-likely-than-not basis. The $2.5 million decrease from the prior year is primarily comprised of state and foreign valuation allowance adjustments.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2" w:name="page83"/>
    <w:bookmarkEnd w:id="82"/>
    <w:p>
      <w:pPr>
        <w:ind w:right="60"/>
        <w:spacing w:after="0" w:line="254" w:lineRule="auto"/>
        <w:rPr>
          <w:sz w:val="20"/>
          <w:szCs w:val="20"/>
          <w:color w:val="auto"/>
        </w:rPr>
      </w:pPr>
      <w:r>
        <w:rPr>
          <w:rFonts w:ascii="Times New Roman" w:cs="Times New Roman" w:eastAsia="Times New Roman" w:hAnsi="Times New Roman"/>
          <w:sz w:val="18"/>
          <w:szCs w:val="18"/>
          <w:color w:val="auto"/>
        </w:rPr>
        <w:t>The need for a valuation allowance requires an assessment of both positive and negative evidence when determining whether it is more-likely-than-not that deferred tax assets are realizable. Such assessment is required on a jurisdiction-by-jurisdiction basis. In making such an assessment, significant weight is given to evidence that can be objectively verified. After considering both positive and negative evidence to assess the recoverability of the Company’s net deferred tax assets, the Company determined that the positive evidence outweighed the negative evidence primarily due to cumulative income from its IP Licensing business on a continuing operations basis and the expectation of sustained profitability in future periods and concluded that it was more-likely-than-not that it would realize its federal and certain state deferred tax assets. As a result, during the fourth quarter of 2022, the Company released the valuation allowance on all the federal deferred tax assets and state deferred tax assets, except for California and certain other states where tax attributes can only be utilized against the income of specific legal entities. The release of the valuation allowance resulted in $86.1 million of tax benefit. The Company maintains a full valuation allowance on its foreign deferred tax asset as the expectation of future taxable income is uncertain.</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of approximately $2.3 million and state net operating loss carryforwards of approximately $861.2 million. The state net operating loss carryforwards, if not utilized, will begin to expire on various dates beginning in 2025 and will continue to expire through 2044. The Company has research tax credit carryforwards of approximately $74.4 million for federal purposes. The federal research tax credit will start to expire in 2025 and will continue to expire through 2044. The Company also has research tax credit carryforwards of approximately $76.3 million for state purposes, which do not expire. The Company has $43.1 million of foreign tax credit carryforwards which will begin to expire in 2029 and will continue to expire through 2031. Under the provisions of the Code, substantial ownership changes may limit the amount of net operating loss and tax credit carryforwards that can be utilized annually in the future to offset taxable income. The aforementioned attribute carryforward amounts have been presented on a tax return basis.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based on the statutory U.S. federal income tax rate to the provision for (benefit from) income taxes based on the Company’s effective tax rate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net of federal benefit</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(1,893 )</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(2,907 )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(2,712 )</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tax credit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(1,358 )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(2,705 )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withholding tax</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(1,956 )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(8,539 )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(78,699 )</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tax reform</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(3,318 )</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estimates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(3,478 )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interest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(4,150 )</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(4,088 )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(4,697 )</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(749 )</w:t>
            </w: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(28,620 )</w:t>
            </w: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December 31, 2024, the Company asserts that it will not permanently reinvest its foreign earnings outside the U.S. The Company anticipates that the cash from its foreign earnings may be used domestically to fund operations, settle a portion of the outstanding debt obligation, or used for other business needs. The accumulated undistributed earnings generated by its foreign subsidiaries was insignificant. Substantially all of these earnings will not be taxable upon repatriation to the United States since under the Tax Cuts and Jobs Act they will be treated as previously taxed income from the Global Intangible Low-Taxed Income or dividends-received deduction.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spacing w:after="0" w:line="256" w:lineRule="auto"/>
        <w:rPr>
          <w:sz w:val="20"/>
          <w:szCs w:val="20"/>
          <w:color w:val="auto"/>
        </w:rPr>
      </w:pPr>
      <w:r>
        <w:rPr>
          <w:rFonts w:ascii="Times New Roman" w:cs="Times New Roman" w:eastAsia="Times New Roman" w:hAnsi="Times New Roman"/>
          <w:sz w:val="18"/>
          <w:szCs w:val="18"/>
          <w:color w:val="auto"/>
        </w:rPr>
        <w:t>During the fourth quarter of 2024, the Company filed a refund claim for foreign taxes previously withheld from licensees in South Korea based on court rulings in South Korea and other business factors. These previously withheld foreign taxes were claimed as a foreign tax credit in the U.S. As a result of the filed and planned refund claims, the Company recorded a total of $112.4 million and $120.3 million as a noncurrent income tax receivable at December 31, 2024 and 2023, respectively, $64.6 million as a noncurrent income tax payable at December 31, 2024 and 2023, and $56.7 million and $49.1 million as a reduction in deferred tax assets at December 31, 2024 and 2023, respectively. Although the refund claim is subject to judicial review, the Company anticipates it will receive refunds in the amount recorded in the receivable.</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December 31, 2024, unrecognized tax benefits were $229.5 million, of which $193.8 million would affect the effective tax rate if recognized. As of December 31, 2023, unrecognized tax benefits were $229.6 million, of which $193.0 million would affect the effective tax rate if recognized. The Company believes that its unrecognized tax benefits as of December 31, 2024 will decrease by approximately $1.9 million within the next twelve months due to expiring statutes of limitation.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unrecognized tax benefits for the years ended December 31, 2024, 2023 and 2022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unrecognized tax benefits at January 1</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229,492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230,076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prior years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(8,722 )</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(9,623 )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(4,685 )</w:t>
            </w: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unrecognized tax benefits at December 31</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229,481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229,492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It is the Company’s policy to classify accrued interest and penalties related to unrecognized tax benefits in the provision for income taxes. For the year ended December 31, 2024, the Company recognized $(0.3) million of accrued interest and penalties. For the year ended December 31, 2023, the Company recognized $(0.2) million of accrued interest and penalties. For the year ended December 31, 2022, the Company did not recognize any significant interest or penalties. Accrued interest and penalties of $2.3 million and $2.6 million were included in long-term income taxes payable as of December 31, 2024 and 2023, respectively.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December 31, 2024, the Company’s 2019 through 2024 tax years are generally open and subject to potential examination in one or more jurisdictions. In the U.S., any net operating losses or credits that were generated in prior years but not yet fully utilized in a year that is closed under the statute of limitations may also be subject to examination. Earlier tax years for the Company and its subsidiaries are also open in certain jurisdictions and are currently subject to examination. The Company has no significant income tax audits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Contractual Obligations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Total future unconditional purchase obligations as of December 31, 2024 are estimated to be $5.1 million, including $2.9 million due in 2025, $1.1 million due in 2026, and $1.1 million due thereafter.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 million per annum between 2024 and 2031. As of December 31, 2024 and 2023, the balance of the guarantee liability was $17.1 million and $18.5 million,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Company is unable to predict the final outcome of lawsuits, including patent infringement lawsuits,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reportable segment: Intellectual Property (“IP”) Licensing. The IP Licensing segment derives revenues from license agreements to</w:t>
      </w:r>
    </w:p>
    <w:p>
      <w:pPr>
        <w:spacing w:after="0" w:line="27" w:lineRule="exact"/>
        <w:rPr>
          <w:sz w:val="20"/>
          <w:szCs w:val="20"/>
          <w:color w:val="auto"/>
        </w:rPr>
      </w:pPr>
    </w:p>
    <w:p>
      <w:pPr>
        <w:ind w:right="360" w:firstLine="8"/>
        <w:spacing w:after="0" w:line="260" w:lineRule="auto"/>
        <w:tabs>
          <w:tab w:leader="none" w:pos="2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media patent portfolio and (ii) its semiconductor technologies patent portfolio, see further discussion on revenue generating activities in Note 4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The Company derives revenue primarily in North America and manages the business activities on a consolidated basis.</w:t>
      </w:r>
    </w:p>
    <w:p>
      <w:pPr>
        <w:spacing w:after="0" w:line="1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accounting policies of the IP Licensing segment are the same as those described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Company’s Chief Executive Officer is also the chief operating decision maker (“CODM”) as defined by the authoritative guidance on segment reporting. The CODM assesses financial performance for the IP Licensing segment and decides how to allocate resources based on net income that also is reported on the statements of income as consolidated net income. Net income is also used by the CODM to monitor budget versus actual results of the IP Licensing segment. The measure of segment assets is reported on the balance sheet as total consolidated assets.</w:t>
      </w:r>
    </w:p>
    <w:p>
      <w:pPr>
        <w:spacing w:after="0" w:line="18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(return on assets) in deciding whether to reinvest profits into the IP Licensing segment or into other parts of the entity, such as for acquisitions or to return value to shareholders.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the Company’s IP Licensing segment revenue, significant expenses and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376,024</w:t>
            </w:r>
          </w:p>
        </w:tc>
        <w:tc>
          <w:tcPr>
            <w:tcW w:w="72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388,788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438,933</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Personnel related expense</w:t>
            </w: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64,783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85,822</w:t>
            </w:r>
          </w:p>
        </w:tc>
      </w:tr>
      <w:tr>
        <w:trPr>
          <w:trHeight w:val="216"/>
        </w:trPr>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Patent portfolio expense</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30,345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22,706</w:t>
            </w:r>
          </w:p>
        </w:tc>
      </w:tr>
      <w:tr>
        <w:trPr>
          <w:trHeight w:val="216"/>
        </w:trPr>
        <w:tc>
          <w:tcPr>
            <w:tcW w:w="5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Patent related technical sales support expense</w:t>
            </w: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5,411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2,615</w:t>
            </w:r>
          </w:p>
        </w:tc>
      </w:tr>
      <w:tr>
        <w:trPr>
          <w:trHeight w:val="216"/>
        </w:trPr>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expense</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93,735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97,077</w:t>
            </w:r>
          </w:p>
        </w:tc>
      </w:tr>
      <w:tr>
        <w:trPr>
          <w:trHeight w:val="216"/>
        </w:trPr>
        <w:tc>
          <w:tcPr>
            <w:tcW w:w="5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Outside services expense</w:t>
            </w: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14,753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21,881</w:t>
            </w:r>
          </w:p>
        </w:tc>
      </w:tr>
      <w:tr>
        <w:trPr>
          <w:trHeight w:val="216"/>
        </w:trPr>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Litigation expense</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8,587</w:t>
            </w:r>
          </w:p>
        </w:tc>
      </w:tr>
      <w:tr>
        <w:trPr>
          <w:trHeight w:val="216"/>
        </w:trPr>
        <w:tc>
          <w:tcPr>
            <w:tcW w:w="5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62,574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45,335</w:t>
            </w:r>
          </w:p>
        </w:tc>
      </w:tr>
      <w:tr>
        <w:trPr>
          <w:trHeight w:val="216"/>
        </w:trPr>
        <w:tc>
          <w:tcPr>
            <w:tcW w:w="5700" w:type="dxa"/>
            <w:vAlign w:val="bottom"/>
          </w:tcPr>
          <w:p>
            <w:pPr>
              <w:ind w:left="30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27,878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45,138</w:t>
            </w:r>
          </w:p>
        </w:tc>
      </w:tr>
      <w:tr>
        <w:trPr>
          <w:trHeight w:val="216"/>
        </w:trPr>
        <w:tc>
          <w:tcPr>
            <w:tcW w:w="5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12,604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(28,620 )</w:t>
            </w:r>
          </w:p>
        </w:tc>
      </w:tr>
      <w:tr>
        <w:trPr>
          <w:trHeight w:val="20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67,372</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138,392</w:t>
            </w:r>
          </w:p>
        </w:tc>
      </w:tr>
      <w:tr>
        <w:trPr>
          <w:trHeight w:val="209"/>
        </w:trPr>
        <w:tc>
          <w:tcPr>
            <w:tcW w:w="57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net income</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attributable to discontinued operations</w:t>
            </w:r>
          </w:p>
        </w:tc>
        <w:tc>
          <w:tcPr>
            <w:tcW w:w="4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(434,272 )</w:t>
            </w: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64,623</w:t>
            </w: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67,372</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(295,880 )</w:t>
            </w:r>
          </w:p>
        </w:tc>
      </w:tr>
      <w:tr>
        <w:trPr>
          <w:trHeight w:val="20"/>
        </w:trPr>
        <w:tc>
          <w:tcPr>
            <w:tcW w:w="5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-736600</wp:posOffset>
            </wp:positionV>
            <wp:extent cx="12001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-736600</wp:posOffset>
            </wp:positionV>
            <wp:extent cx="12001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1200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12001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right="260" w:firstLine="8"/>
        <w:spacing w:after="0" w:line="242" w:lineRule="auto"/>
        <w:tabs>
          <w:tab w:leader="none" w:pos="185"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 facilities and other related expenses, marketing and advertising expenses, depreciation expense, travel and entertainment expenses, other income and expense, and other overhead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Geography and Customer Concentration</w:t>
      </w:r>
    </w:p>
    <w:p>
      <w:pPr>
        <w:spacing w:after="0" w:line="227"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While the Company’s revenue is primarily derived in North America, a portion of the Company’s revenue is derived from licensees headquartered outside of the U.S., and it is expected that this revenue will continue to account for a portion of total revenue in future periods. Revenue is attributed to geographic locations based on the billing address of each customer. The table below lists the revenue by geography for the periods indicated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303,295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293,673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366,527</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Middle East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0"/>
        </w:trPr>
        <w:tc>
          <w:tcPr>
            <w:tcW w:w="37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376,024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388,788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-170815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1200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1200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two, two and three customers, respectively, each accounted for 10% or more of total revenue. The following table sets forth revenue generated from customers which comprise 10% or more of total revenue for the periods indicated:</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r>
      <w:tr>
        <w:trPr>
          <w:trHeight w:val="210"/>
        </w:trPr>
        <w:tc>
          <w:tcPr>
            <w:tcW w:w="4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18 %</w:t>
            </w:r>
          </w:p>
        </w:tc>
        <w:tc>
          <w:tcPr>
            <w:tcW w:w="18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18 %</w:t>
            </w:r>
          </w:p>
        </w:tc>
        <w:tc>
          <w:tcPr>
            <w:tcW w:w="2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4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10 %</w:t>
            </w:r>
          </w:p>
        </w:tc>
        <w:tc>
          <w:tcPr>
            <w:tcW w:w="18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11 %</w:t>
            </w:r>
          </w:p>
        </w:tc>
        <w:tc>
          <w:tcPr>
            <w:tcW w:w="2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denotes less than 10% of total revenue.</w:t>
            </w: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two customers representing 52% and 11% of aggregate accounts receivable, respectively. At December 31, 2023, the Company had two customers representing 42% and 28% of aggregate accounts receivable,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Other Geography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2023 and 2022, property and equipment, net, was all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BENEFIT PLAN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a 401(k) retirement savings plan that allows voluntary contributions by all eligible U.S. employees upon their hire date. Eligible employees may elect to contribute up to the maximum amount allowed under Internal Revenue Service regulations. The Company can make discretionary contributions under the 401(k) plan. During the years ended December 31, 2024, 2023 and 2022, the Company contributed approximately $1.2 million, $0.8 million and $1.3 million, respectively, to the 401(k)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of a Cash Dividend</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6, 2025, the Board declared a cash dividend of $0.05 per share of common stock, payable on March 31, 2025, for the stockholders of record at the close of business on March 10,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QUARTERLY RESULTS OF OPERATIONS (UNAUDITED)</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accounting requirements for reporting the Separation of Xperi Inc. as a discontinued operation were met when the Separation was completed. Accordingly, the financial results of Xperi Inc. for the year ended December 31, 2022 are presented as net loss from discontinued operations, net of tax on the Consolidated Statements of Operations. For further information, see “Note 9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Company’s unaudited quarterly Consolidated Statements of Operations for each of the quarters in the year ended December 31, 2022, that were retrospectively adjusted to reflect Xperi Inc.’s historical financial results as discontinued operations. The information for each quarter was derived from the Company’s unaudited condensed consolidated financial statements and was prepared on a basis consistent with these audited consolidated financial statements, and reflect, in the opinion of management, all adjustments of a normal, recurring nature that are necessary for a fair presentation of the financial information contained in those statements. The following quarterly financial data should be read in conjunction with the consolidated financial statements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 31, 2022</w:t>
            </w:r>
          </w:p>
        </w:tc>
        <w:tc>
          <w:tcPr>
            <w:tcW w:w="180" w:type="dxa"/>
            <w:vAlign w:val="bottom"/>
          </w:tcPr>
          <w:p>
            <w:pPr>
              <w:spacing w:after="0"/>
              <w:rPr>
                <w:sz w:val="17"/>
                <w:szCs w:val="17"/>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 30, 2022</w:t>
            </w:r>
          </w:p>
        </w:tc>
        <w:tc>
          <w:tcPr>
            <w:tcW w:w="16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Jun 30, 2022</w:t>
            </w:r>
          </w:p>
        </w:tc>
        <w:tc>
          <w:tcPr>
            <w:tcW w:w="16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 31, 2022</w:t>
            </w:r>
          </w:p>
        </w:tc>
        <w:tc>
          <w:tcPr>
            <w:tcW w:w="100" w:type="dxa"/>
            <w:vAlign w:val="bottom"/>
          </w:tcPr>
          <w:p>
            <w:pPr>
              <w:spacing w:after="0"/>
              <w:rPr>
                <w:sz w:val="17"/>
                <w:szCs w:val="17"/>
                <w:color w:val="auto"/>
              </w:rPr>
            </w:pPr>
          </w:p>
        </w:tc>
      </w:tr>
      <w:tr>
        <w:trPr>
          <w:trHeight w:val="19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103,290</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89,296</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107,815</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138,532</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70,047</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73,654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73,094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69,078</w:t>
            </w:r>
          </w:p>
        </w:tc>
        <w:tc>
          <w:tcPr>
            <w:tcW w:w="100" w:type="dxa"/>
            <w:vAlign w:val="bottom"/>
          </w:tcPr>
          <w:p>
            <w:pPr>
              <w:spacing w:after="0"/>
              <w:rPr>
                <w:sz w:val="17"/>
                <w:szCs w:val="17"/>
                <w:color w:val="auto"/>
              </w:rPr>
            </w:pPr>
          </w:p>
        </w:tc>
      </w:tr>
      <w:tr>
        <w:trPr>
          <w:trHeight w:val="196"/>
        </w:trPr>
        <w:tc>
          <w:tcPr>
            <w:tcW w:w="5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income from continuing operations</w:t>
            </w: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33,243</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34,721</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61,362</w:t>
            </w: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(55,090 )</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100" w:type="dxa"/>
            <w:vAlign w:val="bottom"/>
            <w:shd w:val="clear" w:color="auto" w:fill="CFF0FC"/>
          </w:tcPr>
          <w:p>
            <w:pPr>
              <w:spacing w:after="0"/>
              <w:rPr>
                <w:sz w:val="17"/>
                <w:szCs w:val="17"/>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(6,343 )</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55,845</w:t>
            </w: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discontinued operations, net of tax</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(382,585 )</w:t>
            </w: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(20,785 )</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(30,902 )</w:t>
            </w:r>
          </w:p>
        </w:tc>
      </w:tr>
      <w:tr>
        <w:trPr>
          <w:trHeight w:val="20"/>
        </w:trPr>
        <w:tc>
          <w:tcPr>
            <w:tcW w:w="5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the Company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73,730</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(388,928 )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(5,625 )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24,943</w:t>
            </w:r>
          </w:p>
        </w:tc>
        <w:tc>
          <w:tcPr>
            <w:tcW w:w="100" w:type="dxa"/>
            <w:vAlign w:val="bottom"/>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(loss) per share:</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(3.66 )</w:t>
            </w:r>
          </w:p>
        </w:tc>
        <w:tc>
          <w:tcPr>
            <w:tcW w:w="16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(0.20 )</w:t>
            </w:r>
          </w:p>
        </w:tc>
        <w:tc>
          <w:tcPr>
            <w:tcW w:w="1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(0.30 )</w:t>
            </w:r>
          </w:p>
        </w:tc>
      </w:tr>
      <w:tr>
        <w:trPr>
          <w:trHeight w:val="20"/>
        </w:trPr>
        <w:tc>
          <w:tcPr>
            <w:tcW w:w="5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FF0FC"/>
          </w:tcPr>
          <w:p>
            <w:pPr>
              <w:spacing w:after="0"/>
              <w:rPr>
                <w:sz w:val="20"/>
                <w:szCs w:val="20"/>
                <w:color w:val="auto"/>
              </w:rPr>
            </w:pPr>
          </w:p>
        </w:tc>
      </w:tr>
      <w:tr>
        <w:trPr>
          <w:trHeight w:val="183"/>
        </w:trPr>
        <w:tc>
          <w:tcPr>
            <w:tcW w:w="50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FF0FC"/>
          </w:tcPr>
          <w:p>
            <w:pPr>
              <w:spacing w:after="0"/>
              <w:rPr>
                <w:sz w:val="17"/>
                <w:szCs w:val="17"/>
                <w:color w:val="auto"/>
              </w:rPr>
            </w:pPr>
          </w:p>
        </w:tc>
      </w:tr>
      <w:tr>
        <w:trPr>
          <w:trHeight w:val="202"/>
        </w:trPr>
        <w:tc>
          <w:tcPr>
            <w:tcW w:w="5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(3.61 )</w:t>
            </w:r>
          </w:p>
        </w:tc>
        <w:tc>
          <w:tcPr>
            <w:tcW w:w="16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(0.20 )</w:t>
            </w:r>
          </w:p>
        </w:tc>
        <w:tc>
          <w:tcPr>
            <w:tcW w:w="1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(0.29 )</w:t>
            </w:r>
          </w:p>
        </w:tc>
      </w:tr>
      <w:tr>
        <w:trPr>
          <w:trHeight w:val="20"/>
        </w:trPr>
        <w:tc>
          <w:tcPr>
            <w:tcW w:w="5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FF0FC"/>
          </w:tcPr>
          <w:p>
            <w:pPr>
              <w:spacing w:after="0"/>
              <w:rPr>
                <w:sz w:val="20"/>
                <w:szCs w:val="20"/>
                <w:color w:val="auto"/>
              </w:rPr>
            </w:pPr>
          </w:p>
        </w:tc>
      </w:tr>
      <w:tr>
        <w:trPr>
          <w:trHeight w:val="183"/>
        </w:trPr>
        <w:tc>
          <w:tcPr>
            <w:tcW w:w="50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Weighted average number of shares-basic</w:t>
            </w: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105,135</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104,510</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104,001</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103,679</w:t>
            </w:r>
          </w:p>
        </w:tc>
        <w:tc>
          <w:tcPr>
            <w:tcW w:w="100" w:type="dxa"/>
            <w:vAlign w:val="bottom"/>
            <w:tcBorders>
              <w:top w:val="single" w:sz="8" w:color="CFF0FC"/>
            </w:tcBorders>
          </w:tcPr>
          <w:p>
            <w:pPr>
              <w:spacing w:after="0"/>
              <w:rPr>
                <w:sz w:val="15"/>
                <w:szCs w:val="15"/>
                <w:color w:val="auto"/>
              </w:rPr>
            </w:pPr>
          </w:p>
        </w:tc>
      </w:tr>
      <w:tr>
        <w:trPr>
          <w:trHeight w:val="196"/>
        </w:trPr>
        <w:tc>
          <w:tcPr>
            <w:tcW w:w="5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Weighted average number of shares-diluted</w:t>
            </w: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113,392</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105,850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105,160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105,332</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-2193925</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-2193925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-2193925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-1928495</wp:posOffset>
            </wp:positionV>
            <wp:extent cx="768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-1928495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-1928495</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-1662430</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-1662430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-1662430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-848360</wp:posOffset>
            </wp:positionV>
            <wp:extent cx="768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-831215</wp:posOffset>
            </wp:positionV>
            <wp:extent cx="768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-848360</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-831215</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-848360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-831215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-299720</wp:posOffset>
            </wp:positionV>
            <wp:extent cx="768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-282575</wp:posOffset>
            </wp:positionV>
            <wp:extent cx="768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-299720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-282575</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-299720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-282575</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768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80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 for the Years Ended December 31, 2024, 2023 and 2022</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Charged</w:t>
            </w:r>
          </w:p>
        </w:tc>
        <w:tc>
          <w:tcPr>
            <w:tcW w:w="10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(Credited) to</w:t>
            </w:r>
          </w:p>
        </w:tc>
        <w:tc>
          <w:tcPr>
            <w:tcW w:w="10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(Credited) to</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at End of</w:t>
            </w:r>
          </w:p>
        </w:tc>
      </w:tr>
      <w:tr>
        <w:trPr>
          <w:trHeight w:val="238"/>
        </w:trPr>
        <w:tc>
          <w:tcPr>
            <w:tcW w:w="4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0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Other Accounts</w:t>
            </w:r>
          </w:p>
        </w:tc>
        <w:tc>
          <w:tcPr>
            <w:tcW w:w="320" w:type="dxa"/>
            <w:vAlign w:val="bottom"/>
          </w:tcPr>
          <w:p>
            <w:pPr>
              <w:spacing w:after="0"/>
              <w:rPr>
                <w:sz w:val="20"/>
                <w:szCs w:val="20"/>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w:t>
            </w:r>
          </w:p>
        </w:tc>
      </w:tr>
      <w:tr>
        <w:trPr>
          <w:trHeight w:val="21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178,731</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(58,223 )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120,508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118,039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and unbilled contract receivables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FF0FC"/>
          </w:tcPr>
          <w:p>
            <w:pPr>
              <w:spacing w:after="0"/>
              <w:rPr>
                <w:sz w:val="18"/>
                <w:szCs w:val="18"/>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0"/>
                <w:szCs w:val="20"/>
                <w:color w:val="auto"/>
              </w:rPr>
            </w:pPr>
          </w:p>
        </w:tc>
      </w:tr>
      <w:tr>
        <w:trPr>
          <w:trHeight w:val="630"/>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4"/>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2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41"/>
        </w:trPr>
        <w:tc>
          <w:tcPr>
            <w:tcW w:w="10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20" w:type="dxa"/>
            <w:vAlign w:val="bottom"/>
            <w:gridSpan w:val="29"/>
          </w:tcPr>
          <w:p>
            <w:pPr>
              <w:spacing w:after="0" w:line="169" w:lineRule="exact"/>
              <w:rPr>
                <w:rFonts w:ascii="Times New Roman" w:cs="Times New Roman" w:eastAsia="Times New Roman" w:hAnsi="Times New Roman"/>
                <w:sz w:val="18"/>
                <w:szCs w:val="18"/>
                <w:color w:val="0000FF"/>
              </w:rPr>
            </w:pPr>
            <w:hyperlink r:id="rId526">
              <w:r>
                <w:rPr>
                  <w:rFonts w:ascii="Times New Roman" w:cs="Times New Roman" w:eastAsia="Times New Roman" w:hAnsi="Times New Roman"/>
                  <w:sz w:val="18"/>
                  <w:szCs w:val="18"/>
                  <w:color w:val="0000FF"/>
                </w:rPr>
                <w:t>Separation and Distribution Agreement by and between the Registrant and Xperi Inc., dated as of October 1, 2022 (filed as Exhibit 2.1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26">
              <w:r>
                <w:rPr>
                  <w:rFonts w:ascii="Times New Roman" w:cs="Times New Roman" w:eastAsia="Times New Roman" w:hAnsi="Times New Roman"/>
                  <w:sz w:val="18"/>
                  <w:szCs w:val="18"/>
                  <w:color w:val="0000FF"/>
                </w:rPr>
                <w:t>the Registrant’s Current Report on Form 8-K filed with the SEC on October 6, 2022,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27">
              <w:r>
                <w:rPr>
                  <w:rFonts w:ascii="Times New Roman" w:cs="Times New Roman" w:eastAsia="Times New Roman" w:hAnsi="Times New Roman"/>
                  <w:sz w:val="18"/>
                  <w:szCs w:val="18"/>
                  <w:color w:val="0000FF"/>
                </w:rPr>
                <w:t>Amended and Restated Certificate of Incorporation of the Registrant (filed as Exhibit 3.1 to the Registrant’s Current Report on Form 8-K</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28">
              <w:r>
                <w:rPr>
                  <w:rFonts w:ascii="Times New Roman" w:cs="Times New Roman" w:eastAsia="Times New Roman" w:hAnsi="Times New Roman"/>
                  <w:sz w:val="18"/>
                  <w:szCs w:val="18"/>
                  <w:color w:val="0000FF"/>
                </w:rPr>
                <w:t>filed with the SEC on June 1, 2020, and incorporated herein by reference)</w:t>
              </w:r>
              <w:r>
                <w:rPr>
                  <w:rFonts w:ascii="Times New Roman" w:cs="Times New Roman" w:eastAsia="Times New Roman" w:hAnsi="Times New Roman"/>
                  <w:sz w:val="18"/>
                  <w:szCs w:val="18"/>
                  <w:color w:val="000000"/>
                </w:rPr>
                <w:t>, as amended by the</w:t>
              </w:r>
              <w:r>
                <w:rPr>
                  <w:rFonts w:ascii="Times New Roman" w:cs="Times New Roman" w:eastAsia="Times New Roman" w:hAnsi="Times New Roman"/>
                  <w:sz w:val="18"/>
                  <w:szCs w:val="18"/>
                  <w:color w:val="0000FF"/>
                </w:rPr>
                <w:t xml:space="preserve"> Certificate of Amendment to the Amended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28">
              <w:r>
                <w:rPr>
                  <w:rFonts w:ascii="Times New Roman" w:cs="Times New Roman" w:eastAsia="Times New Roman" w:hAnsi="Times New Roman"/>
                  <w:sz w:val="18"/>
                  <w:szCs w:val="18"/>
                  <w:color w:val="0000FF"/>
                </w:rPr>
                <w:t>and Restated Certificate of Incorporation of the Registrant (filed as Exhibit 3.1 to the Registrant’s Current Report on Form 8-K filed with</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28">
              <w:r>
                <w:rPr>
                  <w:rFonts w:ascii="Times New Roman" w:cs="Times New Roman" w:eastAsia="Times New Roman" w:hAnsi="Times New Roman"/>
                  <w:sz w:val="18"/>
                  <w:szCs w:val="18"/>
                  <w:color w:val="0000FF"/>
                </w:rPr>
                <w:t>the SEC on October 6, 2022,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29">
              <w:r>
                <w:rPr>
                  <w:rFonts w:ascii="Times New Roman" w:cs="Times New Roman" w:eastAsia="Times New Roman" w:hAnsi="Times New Roman"/>
                  <w:sz w:val="18"/>
                  <w:szCs w:val="18"/>
                  <w:color w:val="0000FF"/>
                </w:rPr>
                <w:t>Composite Amended and Restated Certificate of Incorporation of the Registrant (filed as Exhibit 3.2 to the Registrant’s Annual Report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29">
              <w:r>
                <w:rPr>
                  <w:rFonts w:ascii="Times New Roman" w:cs="Times New Roman" w:eastAsia="Times New Roman" w:hAnsi="Times New Roman"/>
                  <w:sz w:val="18"/>
                  <w:szCs w:val="18"/>
                  <w:color w:val="0000FF"/>
                </w:rPr>
                <w:t>Form 10-K filed with the SEC on March 1, 2023,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Amended and Restated Bylaws of the Registrant (filed as Exhibit 3.2 to the Registrant’s Quarterly Report on Form 10-Q filed with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SEC on November 9, 2022,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Description of the Registrant’s capital stock registered under section 12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Non-Employee Director Compensation Policy (filed as Exhibit 10.3 to the Registrant’s Quarterly Report on Form 10-Q, filed August 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2017,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Supplement to Commitment Letter and Fee Letter, dated January 3, 2020, by and among the Registrant, TiVo Corporation, Bank of</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America, N.A., Royal Bank of Canada, and Barclays Bank PLC (filed as Exhibit 10.1 to the Registrant’s Current Report on Form 8-K,</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filed January 7, 2020,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Credit Agreement, dated as of June 1, 2020, among the Registrant, the lenders party thereto and Bank of America, N.A., as administrative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agent and collateral agent (incorporated by reference to Exhibit 10.1 of the Registrant's Current Report on Form 8-K filed with the SEC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June 1, 2020 (File No. 001-39304))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Guaranty, dated as of June 1, 2020, among Xperi, TiVo, the other subsidiary guarantors party thereto and Bank of America, N.A., as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w w:val="99"/>
              </w:rPr>
            </w:pPr>
            <w:hyperlink r:id="rId534">
              <w:r>
                <w:rPr>
                  <w:rFonts w:ascii="Times New Roman" w:cs="Times New Roman" w:eastAsia="Times New Roman" w:hAnsi="Times New Roman"/>
                  <w:sz w:val="18"/>
                  <w:szCs w:val="18"/>
                  <w:color w:val="0000FF"/>
                  <w:w w:val="99"/>
                </w:rPr>
                <w:t>administrative agent (incorporated by reference to Exhibit 10.2 of the Registrant’s Current Report on Form 8-K filed with the SEC on June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1, 2020 (File No. 001-39304))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Security Agreement, dated as of June 1, 2020, among the Registrant, the other pledgors party thereto and Bank of America, N.A., as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collateral agent (incorporated by reference to Exhibit 10.3 of the Registrant’s Current Report on Form 8-K filed with the SEC on June 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2020 (File No. 001-39304))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Amendment No. 3 to Credit Agreement, dated as of May 20, 2024, among the Registrant, the subsidiaries of the Registrant party thereto,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Borders>
              <w:right w:val="single" w:sz="8" w:color="0000FF"/>
            </w:tcBorders>
            <w:gridSpan w:val="5"/>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w w:val="99"/>
              </w:rPr>
            </w:pPr>
            <w:hyperlink r:id="rId536">
              <w:r>
                <w:rPr>
                  <w:rFonts w:ascii="Times New Roman" w:cs="Times New Roman" w:eastAsia="Times New Roman" w:hAnsi="Times New Roman"/>
                  <w:sz w:val="18"/>
                  <w:szCs w:val="18"/>
                  <w:color w:val="0000FF"/>
                  <w:w w:val="99"/>
                </w:rPr>
                <w:t>Bank of America, N.A., as administrative agent and collateral agent, and the lenders party thereto (including Conformed Credit Agreement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40" w:type="dxa"/>
            <w:vAlign w:val="bottom"/>
            <w:tcBorders>
              <w:right w:val="single" w:sz="8" w:color="0000FF"/>
            </w:tcBorders>
            <w:gridSpan w:val="5"/>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giving effect to Amendments) (incorporated by reference to Exhibit 10.1 of the Registrant’s Current Report on Form 8-K filed with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Borders>
              <w:right w:val="single" w:sz="8" w:color="0000FF"/>
            </w:tcBorders>
            <w:gridSpan w:val="5"/>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SEC on May 20, 2024 (File No. 001-39304))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40" w:type="dxa"/>
            <w:vAlign w:val="bottom"/>
            <w:tcBorders>
              <w:right w:val="single" w:sz="8" w:color="0000EE"/>
            </w:tcBorders>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Amendment No. 4 to Credit Agreement, dated as of January 30, 2025, among the Registrant, the subsidiaries of the Registrant party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thereto, Bank of America, N.A., as administrative agent and collateral agent, and the lenders party thereto (including Conformed Credit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Agreement giving effect to Amendments) (incorporated by reference to Exhibit 10.1 of the Registrant’s Current Report on Form 8-K filed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with the SEC on January 30, 2025 (File No. 001-39304))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38">
              <w:r>
                <w:rPr>
                  <w:rFonts w:ascii="Times New Roman" w:cs="Times New Roman" w:eastAsia="Times New Roman" w:hAnsi="Times New Roman"/>
                  <w:sz w:val="18"/>
                  <w:szCs w:val="18"/>
                  <w:color w:val="0000FF"/>
                </w:rPr>
                <w:t>Xperi Holding Corporation 2020 Equity Incentive Plan (incorporated by reference to Exhibit 4.10 of the Registrant’s Registration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Statement on Form S-8 filed with the SEC on June 1, 2020 (File No. 333-238846))</w:t>
              </w:r>
              <w:r>
                <w:rPr>
                  <w:rFonts w:ascii="Times New Roman" w:cs="Times New Roman" w:eastAsia="Times New Roman" w:hAnsi="Times New Roman"/>
                  <w:sz w:val="18"/>
                  <w:szCs w:val="18"/>
                  <w:color w:val="000000"/>
                </w:rPr>
                <w:t>, as amended by the</w:t>
              </w:r>
              <w:r>
                <w:rPr>
                  <w:rFonts w:ascii="Times New Roman" w:cs="Times New Roman" w:eastAsia="Times New Roman" w:hAnsi="Times New Roman"/>
                  <w:sz w:val="18"/>
                  <w:szCs w:val="18"/>
                  <w:color w:val="0000FF"/>
                </w:rPr>
                <w:t xml:space="preserve"> Plan Amendment to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Registrant’s 2020 Equity Incentive Plan, dated as of April 29, 2022 (filed as Exhibit 10.1 to the Registrant’s Quarterly Report on Form 10-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39">
              <w:r>
                <w:rPr>
                  <w:rFonts w:ascii="Times New Roman" w:cs="Times New Roman" w:eastAsia="Times New Roman" w:hAnsi="Times New Roman"/>
                  <w:sz w:val="18"/>
                  <w:szCs w:val="18"/>
                  <w:color w:val="0000FF"/>
                </w:rPr>
                <w:t>Q, filed August 8, 2022,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900" w:type="dxa"/>
            <w:vAlign w:val="bottom"/>
            <w:tcBorders>
              <w:right w:val="single" w:sz="8" w:color="0000EE"/>
            </w:tcBorders>
            <w:gridSpan w:val="6"/>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40">
              <w:r>
                <w:rPr>
                  <w:rFonts w:ascii="Times New Roman" w:cs="Times New Roman" w:eastAsia="Times New Roman" w:hAnsi="Times New Roman"/>
                  <w:sz w:val="18"/>
                  <w:szCs w:val="18"/>
                  <w:color w:val="0000FF"/>
                </w:rPr>
                <w:t>Xperi Holding Corporation 2020 Employee Stock Purchase Plan (incorporated by reference to Exhibit 4.11 of the Registrant’s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2980" w:type="dxa"/>
            <w:vAlign w:val="bottom"/>
            <w:tcBorders>
              <w:right w:val="single" w:sz="8" w:color="0000FF"/>
            </w:tcBorders>
            <w:gridSpan w:val="9"/>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w w:val="99"/>
              </w:rPr>
            </w:pPr>
            <w:hyperlink r:id="rId541">
              <w:r>
                <w:rPr>
                  <w:rFonts w:ascii="Times New Roman" w:cs="Times New Roman" w:eastAsia="Times New Roman" w:hAnsi="Times New Roman"/>
                  <w:sz w:val="18"/>
                  <w:szCs w:val="18"/>
                  <w:color w:val="0000FF"/>
                  <w:w w:val="99"/>
                </w:rPr>
                <w:t>Registration Statement on Form S-8 filed with the SEC on June 1, 2020 (File No. 333-238846))</w:t>
              </w:r>
              <w:r>
                <w:rPr>
                  <w:rFonts w:ascii="Times New Roman" w:cs="Times New Roman" w:eastAsia="Times New Roman" w:hAnsi="Times New Roman"/>
                  <w:sz w:val="18"/>
                  <w:szCs w:val="18"/>
                  <w:color w:val="000000"/>
                  <w:w w:val="99"/>
                </w:rPr>
                <w:t>, as amended by the</w:t>
              </w:r>
              <w:r>
                <w:rPr>
                  <w:rFonts w:ascii="Times New Roman" w:cs="Times New Roman" w:eastAsia="Times New Roman" w:hAnsi="Times New Roman"/>
                  <w:sz w:val="18"/>
                  <w:szCs w:val="18"/>
                  <w:color w:val="0000FF"/>
                  <w:w w:val="99"/>
                </w:rPr>
                <w:t xml:space="preserve"> Plan of Amendment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2980" w:type="dxa"/>
            <w:vAlign w:val="bottom"/>
            <w:tcBorders>
              <w:right w:val="single" w:sz="8" w:color="0000EE"/>
            </w:tcBorders>
            <w:gridSpan w:val="9"/>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the Registrant’s 2020 Employee Stock Purchase Plan (filed as Exhibit 10.2 to the Registrant’s Quarterly Report on form 10-Q, filed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tcBorders>
              <w:right w:val="single" w:sz="8" w:color="0000FF"/>
            </w:tcBorders>
            <w:gridSpan w:val="6"/>
            <w:shd w:val="clear" w:color="auto" w:fill="0000FF"/>
          </w:tcPr>
          <w:p>
            <w:pPr>
              <w:spacing w:after="0" w:line="20" w:lineRule="exact"/>
              <w:rPr>
                <w:sz w:val="1"/>
                <w:szCs w:val="1"/>
                <w:color w:val="auto"/>
              </w:rPr>
            </w:pPr>
          </w:p>
        </w:tc>
        <w:tc>
          <w:tcPr>
            <w:tcW w:w="3540" w:type="dxa"/>
            <w:vAlign w:val="bottom"/>
            <w:tcBorders>
              <w:right w:val="single" w:sz="8" w:color="0000FF"/>
            </w:tcBorders>
            <w:gridSpan w:val="10"/>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August 8, 2022,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EE"/>
            </w:tcBorders>
            <w:gridSpan w:val="6"/>
            <w:shd w:val="clear" w:color="auto" w:fill="0000FF"/>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20" w:type="dxa"/>
            <w:vAlign w:val="bottom"/>
            <w:gridSpan w:val="29"/>
          </w:tcPr>
          <w:p>
            <w:pPr>
              <w:spacing w:after="0"/>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Form of Indemnification Agreement for Registrant Directors, Officers, and Key Employees (incorporated by reference to Exhibit 10.4 of</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40" w:type="dxa"/>
            <w:vAlign w:val="bottom"/>
            <w:tcBorders>
              <w:right w:val="single" w:sz="8" w:color="0000FF"/>
            </w:tcBorders>
            <w:gridSpan w:val="16"/>
            <w:shd w:val="clear" w:color="auto" w:fill="0000FF"/>
          </w:tcPr>
          <w:p>
            <w:pPr>
              <w:spacing w:after="0" w:line="20" w:lineRule="exact"/>
              <w:rPr>
                <w:sz w:val="1"/>
                <w:szCs w:val="1"/>
                <w:color w:val="auto"/>
              </w:rPr>
            </w:pPr>
          </w:p>
        </w:tc>
        <w:tc>
          <w:tcPr>
            <w:tcW w:w="2440" w:type="dxa"/>
            <w:vAlign w:val="bottom"/>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9"/>
          </w:tcPr>
          <w:p>
            <w:pPr>
              <w:spacing w:after="0" w:line="196"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the Registrant’s Current Report on Form 8-K filed with the SEC on June 1, 2020 (File No. 001-39304))</w:t>
              </w:r>
            </w:hyperlink>
          </w:p>
        </w:tc>
        <w:tc>
          <w:tcPr>
            <w:tcW w:w="0" w:type="dxa"/>
            <w:vAlign w:val="bottom"/>
          </w:tcPr>
          <w:p>
            <w:pPr>
              <w:spacing w:after="0"/>
              <w:rPr>
                <w:sz w:val="1"/>
                <w:szCs w:val="1"/>
                <w:color w:val="auto"/>
              </w:rPr>
            </w:pPr>
          </w:p>
        </w:tc>
      </w:tr>
      <w:tr>
        <w:trPr>
          <w:trHeight w:val="479"/>
        </w:trPr>
        <w:tc>
          <w:tcPr>
            <w:tcW w:w="10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520" w:type="dxa"/>
            <w:vAlign w:val="bottom"/>
            <w:tcBorders>
              <w:top w:val="single" w:sz="8" w:color="0000FF"/>
            </w:tcBorders>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ind w:left="920" w:right="100" w:hanging="925"/>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545">
        <w:r>
          <w:rPr>
            <w:rFonts w:ascii="Times New Roman" w:cs="Times New Roman" w:eastAsia="Times New Roman" w:hAnsi="Times New Roman"/>
            <w:sz w:val="18"/>
            <w:szCs w:val="18"/>
            <w:u w:val="single" w:color="auto"/>
            <w:color w:val="0000FF"/>
          </w:rPr>
          <w:t>Form of Restricted Stock Unit Award Grant Notice and Restricted Stock Unit Award Agreement for the Xperi Holding Corporation 2020</w:t>
        </w:r>
      </w:hyperlink>
      <w:r>
        <w:rPr>
          <w:rFonts w:ascii="Times New Roman" w:cs="Times New Roman" w:eastAsia="Times New Roman" w:hAnsi="Times New Roman"/>
          <w:sz w:val="18"/>
          <w:szCs w:val="18"/>
          <w:u w:val="single" w:color="auto"/>
          <w:color w:val="0000FF"/>
        </w:rPr>
        <w:t xml:space="preserve"> </w:t>
      </w:r>
      <w:hyperlink r:id="rId545">
        <w:r>
          <w:rPr>
            <w:rFonts w:ascii="Times New Roman" w:cs="Times New Roman" w:eastAsia="Times New Roman" w:hAnsi="Times New Roman"/>
            <w:sz w:val="18"/>
            <w:szCs w:val="18"/>
            <w:u w:val="single" w:color="auto"/>
            <w:color w:val="0000FF"/>
          </w:rPr>
          <w:t>Equity Incentive Plan (incorporated by reference to Exhibit 10.12 of the Registrant's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545">
        <w:r>
          <w:rPr>
            <w:rFonts w:ascii="Times New Roman" w:cs="Times New Roman" w:eastAsia="Times New Roman" w:hAnsi="Times New Roman"/>
            <w:sz w:val="18"/>
            <w:szCs w:val="18"/>
            <w:u w:val="single" w:color="auto"/>
            <w:color w:val="0000FF"/>
          </w:rPr>
          <w:t>June 1, 2020 (File No. 001-39304))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-313055</wp:posOffset>
            </wp:positionV>
            <wp:extent cx="631444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6">
                      <a:extLst>
                        <a:ext uri="{28A0092B-C50C-407E-A947-70E740481C1C}"/>
                      </a:extLst>
                    </a:blip>
                    <a:srcRect/>
                    <a:stretch>
                      <a:fillRect/>
                    </a:stretch>
                  </pic:blipFill>
                  <pic:spPr bwMode="auto">
                    <a:xfrm>
                      <a:off x="0" y="0"/>
                      <a:ext cx="63144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-175895</wp:posOffset>
            </wp:positionV>
            <wp:extent cx="624268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7">
                      <a:extLst>
                        <a:ext uri="{28A0092B-C50C-407E-A947-70E740481C1C}"/>
                      </a:extLst>
                    </a:blip>
                    <a:srcRect/>
                    <a:stretch>
                      <a:fillRect/>
                    </a:stretch>
                  </pic:blipFill>
                  <pic:spPr bwMode="auto">
                    <a:xfrm>
                      <a:off x="0" y="0"/>
                      <a:ext cx="624268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-38735</wp:posOffset>
            </wp:positionV>
            <wp:extent cx="16217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8">
                      <a:extLst>
                        <a:ext uri="{28A0092B-C50C-407E-A947-70E740481C1C}"/>
                      </a:extLst>
                    </a:blip>
                    <a:srcRect/>
                    <a:stretch>
                      <a:fillRect/>
                    </a:stretch>
                  </pic:blipFill>
                  <pic:spPr bwMode="auto">
                    <a:xfrm>
                      <a:off x="0" y="0"/>
                      <a:ext cx="162179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20" w:right="160" w:hanging="925"/>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549">
        <w:r>
          <w:rPr>
            <w:rFonts w:ascii="Times New Roman" w:cs="Times New Roman" w:eastAsia="Times New Roman" w:hAnsi="Times New Roman"/>
            <w:sz w:val="18"/>
            <w:szCs w:val="18"/>
            <w:u w:val="single" w:color="auto"/>
            <w:color w:val="0000FF"/>
          </w:rPr>
          <w:t>Form of Stock Option Grant Notice and Stock Option Agreement for the Xperi Holding Corporation 2020 Equity Incentive Plan</w:t>
        </w:r>
      </w:hyperlink>
      <w:r>
        <w:rPr>
          <w:rFonts w:ascii="Times New Roman" w:cs="Times New Roman" w:eastAsia="Times New Roman" w:hAnsi="Times New Roman"/>
          <w:sz w:val="18"/>
          <w:szCs w:val="18"/>
          <w:u w:val="single" w:color="auto"/>
          <w:color w:val="0000FF"/>
        </w:rPr>
        <w:t xml:space="preserve"> </w:t>
      </w:r>
      <w:hyperlink r:id="rId549">
        <w:r>
          <w:rPr>
            <w:rFonts w:ascii="Times New Roman" w:cs="Times New Roman" w:eastAsia="Times New Roman" w:hAnsi="Times New Roman"/>
            <w:sz w:val="18"/>
            <w:szCs w:val="18"/>
            <w:u w:val="single" w:color="auto"/>
            <w:color w:val="0000FF"/>
          </w:rPr>
          <w:t>(incorporated by reference to Exhibit 10.13 of the Registrant's Current Report on Form 8-K filed with the SEC on June 1, 2020 (File No.</w:t>
        </w:r>
      </w:hyperlink>
      <w:r>
        <w:rPr>
          <w:rFonts w:ascii="Times New Roman" w:cs="Times New Roman" w:eastAsia="Times New Roman" w:hAnsi="Times New Roman"/>
          <w:sz w:val="18"/>
          <w:szCs w:val="18"/>
          <w:u w:val="single" w:color="auto"/>
          <w:color w:val="0000FF"/>
        </w:rPr>
        <w:t xml:space="preserve"> </w:t>
      </w:r>
      <w:hyperlink r:id="rId549">
        <w:r>
          <w:rPr>
            <w:rFonts w:ascii="Times New Roman" w:cs="Times New Roman" w:eastAsia="Times New Roman" w:hAnsi="Times New Roman"/>
            <w:sz w:val="18"/>
            <w:szCs w:val="18"/>
            <w:u w:val="single" w:color="auto"/>
            <w:color w:val="0000FF"/>
          </w:rPr>
          <w:t>001-39304))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-313055</wp:posOffset>
            </wp:positionV>
            <wp:extent cx="589851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5898515" cy="889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-175895</wp:posOffset>
            </wp:positionV>
            <wp:extent cx="62750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-38735</wp:posOffset>
            </wp:positionV>
            <wp:extent cx="5708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20" w:right="320" w:hanging="92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553">
        <w:r>
          <w:rPr>
            <w:rFonts w:ascii="Times New Roman" w:cs="Times New Roman" w:eastAsia="Times New Roman" w:hAnsi="Times New Roman"/>
            <w:sz w:val="18"/>
            <w:szCs w:val="18"/>
            <w:u w:val="single" w:color="auto"/>
            <w:color w:val="0000FF"/>
          </w:rPr>
          <w:t>TiVo Corporation 2008 Equity Incentive Plan (f/k/a the “Rovi Corporation 2008 Equity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553">
        <w:r>
          <w:rPr>
            <w:rFonts w:ascii="Times New Roman" w:cs="Times New Roman" w:eastAsia="Times New Roman" w:hAnsi="Times New Roman"/>
            <w:sz w:val="18"/>
            <w:szCs w:val="18"/>
            <w:u w:val="single" w:color="auto"/>
            <w:color w:val="0000FF"/>
          </w:rPr>
          <w:t>Annex A to the Definitive Proxy Statement on Schedule 14A of TiVo Corporation, filed March 15, 2019 (File No. 001-37870))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617410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4">
                      <a:extLst>
                        <a:ext uri="{28A0092B-C50C-407E-A947-70E740481C1C}"/>
                      </a:extLst>
                    </a:blip>
                    <a:srcRect/>
                    <a:stretch>
                      <a:fillRect/>
                    </a:stretch>
                  </pic:blipFill>
                  <pic:spPr bwMode="auto">
                    <a:xfrm>
                      <a:off x="0" y="0"/>
                      <a:ext cx="617410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58324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5">
                      <a:extLst>
                        <a:ext uri="{28A0092B-C50C-407E-A947-70E740481C1C}"/>
                      </a:extLst>
                    </a:blip>
                    <a:srcRect/>
                    <a:stretch>
                      <a:fillRect/>
                    </a:stretch>
                  </pic:blipFill>
                  <pic:spPr bwMode="auto">
                    <a:xfrm>
                      <a:off x="0" y="0"/>
                      <a:ext cx="5832475" cy="8255"/>
                    </a:xfrm>
                    <a:prstGeom prst="rect">
                      <a:avLst/>
                    </a:prstGeom>
                    <a:noFill/>
                  </pic:spPr>
                </pic:pic>
              </a:graphicData>
            </a:graphic>
          </wp:anchor>
        </w:drawing>
      </w:r>
    </w:p>
    <w:p>
      <w:pPr>
        <w:ind w:left="920" w:right="220" w:hanging="925"/>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556">
        <w:r>
          <w:rPr>
            <w:rFonts w:ascii="Times New Roman" w:cs="Times New Roman" w:eastAsia="Times New Roman" w:hAnsi="Times New Roman"/>
            <w:sz w:val="18"/>
            <w:szCs w:val="18"/>
            <w:u w:val="single" w:color="auto"/>
            <w:color w:val="0000FF"/>
          </w:rPr>
          <w:t>TiVo Inc. Amended and Restated 2008 Equity Incentive Award Plan (now named the “TiVo Corporation Titan Equity Incentive Award</w:t>
        </w:r>
      </w:hyperlink>
      <w:r>
        <w:rPr>
          <w:rFonts w:ascii="Times New Roman" w:cs="Times New Roman" w:eastAsia="Times New Roman" w:hAnsi="Times New Roman"/>
          <w:sz w:val="18"/>
          <w:szCs w:val="18"/>
          <w:u w:val="single" w:color="auto"/>
          <w:color w:val="0000FF"/>
        </w:rPr>
        <w:t xml:space="preserve"> </w:t>
      </w:r>
      <w:hyperlink r:id="rId556">
        <w:r>
          <w:rPr>
            <w:rFonts w:ascii="Times New Roman" w:cs="Times New Roman" w:eastAsia="Times New Roman" w:hAnsi="Times New Roman"/>
            <w:sz w:val="18"/>
            <w:szCs w:val="18"/>
            <w:u w:val="single" w:color="auto"/>
            <w:color w:val="0000FF"/>
          </w:rPr>
          <w:t>Plan”) (incorporated by reference to Exhibit 4.7 to Registration Statement on Form S-8 of TiVo Corporation, filed September 9, 2016</w:t>
        </w:r>
      </w:hyperlink>
      <w:r>
        <w:rPr>
          <w:rFonts w:ascii="Times New Roman" w:cs="Times New Roman" w:eastAsia="Times New Roman" w:hAnsi="Times New Roman"/>
          <w:sz w:val="18"/>
          <w:szCs w:val="18"/>
          <w:u w:val="single" w:color="auto"/>
          <w:color w:val="0000FF"/>
        </w:rPr>
        <w:t xml:space="preserve"> </w:t>
      </w:r>
      <w:hyperlink r:id="rId556">
        <w:r>
          <w:rPr>
            <w:rFonts w:ascii="Times New Roman" w:cs="Times New Roman" w:eastAsia="Times New Roman" w:hAnsi="Times New Roman"/>
            <w:sz w:val="18"/>
            <w:szCs w:val="18"/>
            <w:u w:val="single" w:color="auto"/>
            <w:color w:val="0000FF"/>
          </w:rPr>
          <w:t>(File No. 333-213578))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-313055</wp:posOffset>
            </wp:positionV>
            <wp:extent cx="623760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7">
                      <a:extLst>
                        <a:ext uri="{28A0092B-C50C-407E-A947-70E740481C1C}"/>
                      </a:extLst>
                    </a:blip>
                    <a:srcRect/>
                    <a:stretch>
                      <a:fillRect/>
                    </a:stretch>
                  </pic:blipFill>
                  <pic:spPr bwMode="auto">
                    <a:xfrm>
                      <a:off x="0" y="0"/>
                      <a:ext cx="6237605" cy="889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-175895</wp:posOffset>
            </wp:positionV>
            <wp:extent cx="61398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8">
                      <a:extLst>
                        <a:ext uri="{28A0092B-C50C-407E-A947-70E740481C1C}"/>
                      </a:extLst>
                    </a:blip>
                    <a:srcRect/>
                    <a:stretch>
                      <a:fillRect/>
                    </a:stretch>
                  </pic:blipFill>
                  <pic:spPr bwMode="auto">
                    <a:xfrm>
                      <a:off x="0" y="0"/>
                      <a:ext cx="613981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-38735</wp:posOffset>
            </wp:positionV>
            <wp:extent cx="106934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20" w:right="40" w:hanging="925"/>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560">
        <w:r>
          <w:rPr>
            <w:rFonts w:ascii="Times New Roman" w:cs="Times New Roman" w:eastAsia="Times New Roman" w:hAnsi="Times New Roman"/>
            <w:sz w:val="18"/>
            <w:szCs w:val="18"/>
            <w:u w:val="single" w:color="auto"/>
            <w:color w:val="0000FF"/>
          </w:rPr>
          <w:t>Xperi Corporation Seventh Amended and Restated 2003 Equity Incentive Plan and Amendment No. 1 (incorporated by reference to</w:t>
        </w:r>
      </w:hyperlink>
      <w:r>
        <w:rPr>
          <w:rFonts w:ascii="Times New Roman" w:cs="Times New Roman" w:eastAsia="Times New Roman" w:hAnsi="Times New Roman"/>
          <w:sz w:val="18"/>
          <w:szCs w:val="18"/>
          <w:u w:val="single" w:color="auto"/>
          <w:color w:val="0000FF"/>
        </w:rPr>
        <w:t xml:space="preserve"> </w:t>
      </w:r>
      <w:hyperlink r:id="rId560">
        <w:r>
          <w:rPr>
            <w:rFonts w:ascii="Times New Roman" w:cs="Times New Roman" w:eastAsia="Times New Roman" w:hAnsi="Times New Roman"/>
            <w:sz w:val="18"/>
            <w:szCs w:val="18"/>
            <w:u w:val="single" w:color="auto"/>
            <w:color w:val="0000FF"/>
          </w:rPr>
          <w:t>Appendices A and B to Additional Definitive Proxy Soliciting Materials on Schedule 14A of Xperi Corporation, filed April 18, 2018 (File</w:t>
        </w:r>
      </w:hyperlink>
      <w:r>
        <w:rPr>
          <w:rFonts w:ascii="Times New Roman" w:cs="Times New Roman" w:eastAsia="Times New Roman" w:hAnsi="Times New Roman"/>
          <w:sz w:val="18"/>
          <w:szCs w:val="18"/>
          <w:u w:val="single" w:color="auto"/>
          <w:color w:val="0000FF"/>
        </w:rPr>
        <w:t xml:space="preserve"> </w:t>
      </w:r>
      <w:hyperlink r:id="rId560">
        <w:r>
          <w:rPr>
            <w:rFonts w:ascii="Times New Roman" w:cs="Times New Roman" w:eastAsia="Times New Roman" w:hAnsi="Times New Roman"/>
            <w:sz w:val="18"/>
            <w:szCs w:val="18"/>
            <w:u w:val="single" w:color="auto"/>
            <w:color w:val="0000FF"/>
          </w:rPr>
          <w:t>No. 001-37956))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-313055</wp:posOffset>
            </wp:positionV>
            <wp:extent cx="605663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1">
                      <a:extLst>
                        <a:ext uri="{28A0092B-C50C-407E-A947-70E740481C1C}"/>
                      </a:extLst>
                    </a:blip>
                    <a:srcRect/>
                    <a:stretch>
                      <a:fillRect/>
                    </a:stretch>
                  </pic:blipFill>
                  <pic:spPr bwMode="auto">
                    <a:xfrm>
                      <a:off x="0" y="0"/>
                      <a:ext cx="605663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-175895</wp:posOffset>
            </wp:positionV>
            <wp:extent cx="635444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2">
                      <a:extLst>
                        <a:ext uri="{28A0092B-C50C-407E-A947-70E740481C1C}"/>
                      </a:extLst>
                    </a:blip>
                    <a:srcRect/>
                    <a:stretch>
                      <a:fillRect/>
                    </a:stretch>
                  </pic:blipFill>
                  <pic:spPr bwMode="auto">
                    <a:xfrm>
                      <a:off x="0" y="0"/>
                      <a:ext cx="635444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-38735</wp:posOffset>
            </wp:positionV>
            <wp:extent cx="76771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3">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20" w:right="20" w:hanging="92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564">
        <w:r>
          <w:rPr>
            <w:rFonts w:ascii="Times New Roman" w:cs="Times New Roman" w:eastAsia="Times New Roman" w:hAnsi="Times New Roman"/>
            <w:sz w:val="18"/>
            <w:szCs w:val="18"/>
            <w:u w:val="single" w:color="auto"/>
            <w:color w:val="0000FF"/>
          </w:rPr>
          <w:t>DTS, Inc. 2014 New Employee Incentive Plan (incorporated by reference to Exhibit 10.1 to the Current Report on Form 8-K of DTS, Inc.,</w:t>
        </w:r>
      </w:hyperlink>
      <w:r>
        <w:rPr>
          <w:rFonts w:ascii="Times New Roman" w:cs="Times New Roman" w:eastAsia="Times New Roman" w:hAnsi="Times New Roman"/>
          <w:sz w:val="18"/>
          <w:szCs w:val="18"/>
          <w:u w:val="single" w:color="auto"/>
          <w:color w:val="0000FF"/>
        </w:rPr>
        <w:t xml:space="preserve"> </w:t>
      </w:r>
      <w:hyperlink r:id="rId564">
        <w:r>
          <w:rPr>
            <w:rFonts w:ascii="Times New Roman" w:cs="Times New Roman" w:eastAsia="Times New Roman" w:hAnsi="Times New Roman"/>
            <w:sz w:val="18"/>
            <w:szCs w:val="18"/>
            <w:u w:val="single" w:color="auto"/>
            <w:color w:val="0000FF"/>
          </w:rPr>
          <w:t>filed August 20, 2014 (File No. 000-50335))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635444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20370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ind w:left="920" w:right="640" w:hanging="92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567">
        <w:r>
          <w:rPr>
            <w:rFonts w:ascii="Times New Roman" w:cs="Times New Roman" w:eastAsia="Times New Roman" w:hAnsi="Times New Roman"/>
            <w:sz w:val="18"/>
            <w:szCs w:val="18"/>
            <w:u w:val="single" w:color="auto"/>
            <w:color w:val="0000FF"/>
          </w:rPr>
          <w:t>Amendment No. 1 to the DTS, Inc. 2014 New Employee Incentive Plan (incorporated by reference to Exhibit 99.3 to Registration</w:t>
        </w:r>
      </w:hyperlink>
      <w:r>
        <w:rPr>
          <w:rFonts w:ascii="Times New Roman" w:cs="Times New Roman" w:eastAsia="Times New Roman" w:hAnsi="Times New Roman"/>
          <w:sz w:val="18"/>
          <w:szCs w:val="18"/>
          <w:u w:val="single" w:color="auto"/>
          <w:color w:val="0000FF"/>
        </w:rPr>
        <w:t xml:space="preserve"> </w:t>
      </w:r>
      <w:hyperlink r:id="rId567">
        <w:r>
          <w:rPr>
            <w:rFonts w:ascii="Times New Roman" w:cs="Times New Roman" w:eastAsia="Times New Roman" w:hAnsi="Times New Roman"/>
            <w:sz w:val="18"/>
            <w:szCs w:val="18"/>
            <w:u w:val="single" w:color="auto"/>
            <w:color w:val="0000FF"/>
          </w:rPr>
          <w:t>Statement on Form S-8 of DTS, Inc., filed August 10, 2015 (File No. 333-206283))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597154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8">
                      <a:extLst>
                        <a:ext uri="{28A0092B-C50C-407E-A947-70E740481C1C}"/>
                      </a:extLst>
                    </a:blip>
                    <a:srcRect/>
                    <a:stretch>
                      <a:fillRect/>
                    </a:stretch>
                  </pic:blipFill>
                  <pic:spPr bwMode="auto">
                    <a:xfrm>
                      <a:off x="0" y="0"/>
                      <a:ext cx="59715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381444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9">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ind w:left="920" w:right="640" w:hanging="92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570">
        <w:r>
          <w:rPr>
            <w:rFonts w:ascii="Times New Roman" w:cs="Times New Roman" w:eastAsia="Times New Roman" w:hAnsi="Times New Roman"/>
            <w:sz w:val="18"/>
            <w:szCs w:val="18"/>
            <w:u w:val="single" w:color="auto"/>
            <w:color w:val="0000FF"/>
          </w:rPr>
          <w:t>Amendment No. 2 to the DTS, Inc. 2014 New Employee Incentive Plan (incorporated by reference to Exhibit 99.3 to Registration</w:t>
        </w:r>
      </w:hyperlink>
      <w:r>
        <w:rPr>
          <w:rFonts w:ascii="Times New Roman" w:cs="Times New Roman" w:eastAsia="Times New Roman" w:hAnsi="Times New Roman"/>
          <w:sz w:val="18"/>
          <w:szCs w:val="18"/>
          <w:u w:val="single" w:color="auto"/>
          <w:color w:val="0000FF"/>
        </w:rPr>
        <w:t xml:space="preserve"> </w:t>
      </w:r>
      <w:hyperlink r:id="rId570">
        <w:r>
          <w:rPr>
            <w:rFonts w:ascii="Times New Roman" w:cs="Times New Roman" w:eastAsia="Times New Roman" w:hAnsi="Times New Roman"/>
            <w:sz w:val="18"/>
            <w:szCs w:val="18"/>
            <w:u w:val="single" w:color="auto"/>
            <w:color w:val="0000FF"/>
          </w:rPr>
          <w:t>Statement on Form S-8 of DTS, Inc., filed November 9, 2015 (File No. 333-207899))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597154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59715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390969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ind w:left="920" w:right="120" w:hanging="92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573">
        <w:r>
          <w:rPr>
            <w:rFonts w:ascii="Times New Roman" w:cs="Times New Roman" w:eastAsia="Times New Roman" w:hAnsi="Times New Roman"/>
            <w:sz w:val="18"/>
            <w:szCs w:val="18"/>
            <w:u w:val="single" w:color="auto"/>
            <w:color w:val="0000FF"/>
          </w:rPr>
          <w:t>DTS, Inc. 2012 Equity Incentive Plan and Amendment No. 1 (incorporated by reference to Appendix A to Definitive Proxy Statement on</w:t>
        </w:r>
      </w:hyperlink>
      <w:r>
        <w:rPr>
          <w:rFonts w:ascii="Times New Roman" w:cs="Times New Roman" w:eastAsia="Times New Roman" w:hAnsi="Times New Roman"/>
          <w:sz w:val="18"/>
          <w:szCs w:val="18"/>
          <w:u w:val="single" w:color="auto"/>
          <w:color w:val="0000FF"/>
        </w:rPr>
        <w:t xml:space="preserve"> </w:t>
      </w:r>
      <w:hyperlink r:id="rId573">
        <w:r>
          <w:rPr>
            <w:rFonts w:ascii="Times New Roman" w:cs="Times New Roman" w:eastAsia="Times New Roman" w:hAnsi="Times New Roman"/>
            <w:sz w:val="18"/>
            <w:szCs w:val="18"/>
            <w:u w:val="single" w:color="auto"/>
            <w:color w:val="0000FF"/>
          </w:rPr>
          <w:t>Schedule 14A of DTS, Inc., filed April 14, 2015 (File No. 000-50335))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63074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6307455" cy="889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324929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ind w:left="920" w:right="600" w:hanging="92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576">
        <w:r>
          <w:rPr>
            <w:rFonts w:ascii="Times New Roman" w:cs="Times New Roman" w:eastAsia="Times New Roman" w:hAnsi="Times New Roman"/>
            <w:sz w:val="18"/>
            <w:szCs w:val="18"/>
            <w:u w:val="single" w:color="auto"/>
            <w:color w:val="0000FF"/>
          </w:rPr>
          <w:t>SRS Labs, Inc. 2006 Stock Incentive Plan, as amended and restated on August 9, 2012 (incorporated by reference to Exhibit 4.4 to</w:t>
        </w:r>
      </w:hyperlink>
      <w:r>
        <w:rPr>
          <w:rFonts w:ascii="Times New Roman" w:cs="Times New Roman" w:eastAsia="Times New Roman" w:hAnsi="Times New Roman"/>
          <w:sz w:val="18"/>
          <w:szCs w:val="18"/>
          <w:u w:val="single" w:color="auto"/>
          <w:color w:val="0000FF"/>
        </w:rPr>
        <w:t xml:space="preserve"> </w:t>
      </w:r>
      <w:hyperlink r:id="rId576">
        <w:r>
          <w:rPr>
            <w:rFonts w:ascii="Times New Roman" w:cs="Times New Roman" w:eastAsia="Times New Roman" w:hAnsi="Times New Roman"/>
            <w:sz w:val="18"/>
            <w:szCs w:val="18"/>
            <w:u w:val="single" w:color="auto"/>
            <w:color w:val="0000FF"/>
          </w:rPr>
          <w:t>Registration Statement on Form S-8 of DTS, Inc., filed August 13, 2012 (File No. 333-183289))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600011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600011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440118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4401185" cy="8255"/>
                    </a:xfrm>
                    <a:prstGeom prst="rect">
                      <a:avLst/>
                    </a:prstGeom>
                    <a:noFill/>
                  </pic:spPr>
                </pic:pic>
              </a:graphicData>
            </a:graphic>
          </wp:anchor>
        </w:drawing>
      </w:r>
    </w:p>
    <w:p>
      <w:pPr>
        <w:ind w:left="920" w:right="40" w:hanging="925"/>
        <w:spacing w:after="0" w:line="306"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579">
        <w:r>
          <w:rPr>
            <w:rFonts w:ascii="Times New Roman" w:cs="Times New Roman" w:eastAsia="Times New Roman" w:hAnsi="Times New Roman"/>
            <w:sz w:val="17"/>
            <w:szCs w:val="17"/>
            <w:u w:val="single" w:color="auto"/>
            <w:color w:val="0000FF"/>
          </w:rPr>
          <w:t>DTS, Inc. 2003 Equity Incentive Plan, as amended on May 9, 2005, May 15, 2008, February 19, 2009, February 15, 2010, June 3, 2010</w:t>
        </w:r>
      </w:hyperlink>
      <w:r>
        <w:rPr>
          <w:rFonts w:ascii="Times New Roman" w:cs="Times New Roman" w:eastAsia="Times New Roman" w:hAnsi="Times New Roman"/>
          <w:sz w:val="17"/>
          <w:szCs w:val="17"/>
          <w:u w:val="single" w:color="auto"/>
          <w:color w:val="0000FF"/>
        </w:rPr>
        <w:t xml:space="preserve"> </w:t>
      </w:r>
      <w:hyperlink r:id="rId579">
        <w:r>
          <w:rPr>
            <w:rFonts w:ascii="Times New Roman" w:cs="Times New Roman" w:eastAsia="Times New Roman" w:hAnsi="Times New Roman"/>
            <w:sz w:val="17"/>
            <w:szCs w:val="17"/>
            <w:u w:val="single" w:color="auto"/>
            <w:color w:val="0000FF"/>
          </w:rPr>
          <w:t>and October 8, 2010 (incorporated by reference to Exhibit 10.1 to Form 10-Q of DTS, Inc., filed November 8, 2010 (File No. 000-50335))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-193040</wp:posOffset>
            </wp:positionV>
            <wp:extent cx="622617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-55880</wp:posOffset>
            </wp:positionV>
            <wp:extent cx="633031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6330315" cy="8255"/>
                    </a:xfrm>
                    <a:prstGeom prst="rect">
                      <a:avLst/>
                    </a:prstGeom>
                    <a:noFill/>
                  </pic:spPr>
                </pic:pic>
              </a:graphicData>
            </a:graphic>
          </wp:anchor>
        </w:drawing>
      </w:r>
    </w:p>
    <w:p>
      <w:pPr>
        <w:ind w:left="920" w:right="60" w:hanging="92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582">
        <w:r>
          <w:rPr>
            <w:rFonts w:ascii="Times New Roman" w:cs="Times New Roman" w:eastAsia="Times New Roman" w:hAnsi="Times New Roman"/>
            <w:sz w:val="18"/>
            <w:szCs w:val="18"/>
            <w:u w:val="single" w:color="auto"/>
            <w:color w:val="0000FF"/>
          </w:rPr>
          <w:t>Amended &amp; Restated Severance Agreement, dated February 9, 2023, between the Registrant and Paul Davis (incorporated by reference to</w:t>
        </w:r>
      </w:hyperlink>
      <w:r>
        <w:rPr>
          <w:rFonts w:ascii="Times New Roman" w:cs="Times New Roman" w:eastAsia="Times New Roman" w:hAnsi="Times New Roman"/>
          <w:sz w:val="18"/>
          <w:szCs w:val="18"/>
          <w:u w:val="single" w:color="auto"/>
          <w:color w:val="0000FF"/>
        </w:rPr>
        <w:t xml:space="preserve"> </w:t>
      </w:r>
      <w:hyperlink r:id="rId582">
        <w:r>
          <w:rPr>
            <w:rFonts w:ascii="Times New Roman" w:cs="Times New Roman" w:eastAsia="Times New Roman" w:hAnsi="Times New Roman"/>
            <w:sz w:val="18"/>
            <w:szCs w:val="18"/>
            <w:u w:val="single" w:color="auto"/>
            <w:color w:val="0000FF"/>
          </w:rPr>
          <w:t>Exhibit 10.1 of the Registrant’s Current Report on Form 8-K filed with the SEC on February 15,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634492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3">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470598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4">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p>
      <w:pPr>
        <w:jc w:val="both"/>
        <w:ind w:left="920" w:right="180" w:hanging="925"/>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585">
        <w:r>
          <w:rPr>
            <w:rFonts w:ascii="Times New Roman" w:cs="Times New Roman" w:eastAsia="Times New Roman" w:hAnsi="Times New Roman"/>
            <w:sz w:val="18"/>
            <w:szCs w:val="18"/>
            <w:u w:val="single" w:color="auto"/>
            <w:color w:val="0000FF"/>
          </w:rPr>
          <w:t>Form of Severance Agreement, dated February 9, 2023, between the Registrant and each of Keith Jones, Kevin Tanji, Dana Escobar and</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Mark Kokes (incorporated by reference to Exhibit 10.2 to the Registrant’s Current Report on Form 8-K filed with the SEC on February</w:t>
        </w:r>
      </w:hyperlink>
      <w:r>
        <w:rPr>
          <w:rFonts w:ascii="Times New Roman" w:cs="Times New Roman" w:eastAsia="Times New Roman" w:hAnsi="Times New Roman"/>
          <w:sz w:val="18"/>
          <w:szCs w:val="18"/>
          <w:u w:val="single" w:color="auto"/>
          <w:color w:val="0000FF"/>
        </w:rPr>
        <w:t xml:space="preserve"> </w:t>
      </w:r>
      <w:hyperlink r:id="rId585">
        <w:r>
          <w:rPr>
            <w:rFonts w:ascii="Times New Roman" w:cs="Times New Roman" w:eastAsia="Times New Roman" w:hAnsi="Times New Roman"/>
            <w:sz w:val="18"/>
            <w:szCs w:val="18"/>
            <w:u w:val="single" w:color="auto"/>
            <w:color w:val="0000FF"/>
          </w:rPr>
          <w:t>15, 2023)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-313055</wp:posOffset>
            </wp:positionV>
            <wp:extent cx="62693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6">
                      <a:extLst>
                        <a:ext uri="{28A0092B-C50C-407E-A947-70E740481C1C}"/>
                      </a:extLst>
                    </a:blip>
                    <a:srcRect/>
                    <a:stretch>
                      <a:fillRect/>
                    </a:stretch>
                  </pic:blipFill>
                  <pic:spPr bwMode="auto">
                    <a:xfrm>
                      <a:off x="0" y="0"/>
                      <a:ext cx="626935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-175895</wp:posOffset>
            </wp:positionV>
            <wp:extent cx="621601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7">
                      <a:extLst>
                        <a:ext uri="{28A0092B-C50C-407E-A947-70E740481C1C}"/>
                      </a:extLst>
                    </a:blip>
                    <a:srcRect/>
                    <a:stretch>
                      <a:fillRect/>
                    </a:stretch>
                  </pic:blipFill>
                  <pic:spPr bwMode="auto">
                    <a:xfrm>
                      <a:off x="0" y="0"/>
                      <a:ext cx="6216015" cy="889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-38735</wp:posOffset>
            </wp:positionV>
            <wp:extent cx="43815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8">
                      <a:extLst>
                        <a:ext uri="{28A0092B-C50C-407E-A947-70E740481C1C}"/>
                      </a:extLst>
                    </a:blip>
                    <a:srcRect/>
                    <a:stretch>
                      <a:fillRect/>
                    </a:stretch>
                  </pic:blipFill>
                  <pic:spPr bwMode="auto">
                    <a:xfrm>
                      <a:off x="0" y="0"/>
                      <a:ext cx="438150" cy="889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40"/>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589">
        <w:r>
          <w:rPr>
            <w:rFonts w:ascii="Times New Roman" w:cs="Times New Roman" w:eastAsia="Times New Roman" w:hAnsi="Times New Roman"/>
            <w:sz w:val="17"/>
            <w:szCs w:val="17"/>
            <w:u w:val="single" w:color="auto"/>
            <w:color w:val="0000FF"/>
          </w:rPr>
          <w:t>Tax Matters Agreement by and between the Registrant and Xperi Inc., dated as of October 1, 2022 (incorporated by reference to Exhibit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-7620</wp:posOffset>
            </wp:positionV>
            <wp:extent cx="625919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0">
                      <a:extLst>
                        <a:ext uri="{28A0092B-C50C-407E-A947-70E740481C1C}"/>
                      </a:extLst>
                    </a:blip>
                    <a:srcRect/>
                    <a:stretch>
                      <a:fillRect/>
                    </a:stretch>
                  </pic:blipFill>
                  <pic:spPr bwMode="auto">
                    <a:xfrm>
                      <a:off x="0" y="0"/>
                      <a:ext cx="625919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20"/>
        <w:spacing w:after="0"/>
        <w:rPr>
          <w:rFonts w:ascii="Times New Roman" w:cs="Times New Roman" w:eastAsia="Times New Roman" w:hAnsi="Times New Roman"/>
          <w:sz w:val="18"/>
          <w:szCs w:val="18"/>
          <w:u w:val="single" w:color="auto"/>
          <w:color w:val="0000FF"/>
        </w:rPr>
      </w:pPr>
      <w:hyperlink r:id="rId589">
        <w:r>
          <w:rPr>
            <w:rFonts w:ascii="Times New Roman" w:cs="Times New Roman" w:eastAsia="Times New Roman" w:hAnsi="Times New Roman"/>
            <w:sz w:val="18"/>
            <w:szCs w:val="18"/>
            <w:u w:val="single" w:color="auto"/>
            <w:color w:val="0000FF"/>
          </w:rPr>
          <w:t>10.1 of the Registrant’s Current Report on Form 8-K filed with the SEC on October 6,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-19050</wp:posOffset>
            </wp:positionV>
            <wp:extent cx="423926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1">
                      <a:extLst>
                        <a:ext uri="{28A0092B-C50C-407E-A947-70E740481C1C}"/>
                      </a:extLst>
                    </a:blip>
                    <a:srcRect/>
                    <a:stretch>
                      <a:fillRect/>
                    </a:stretch>
                  </pic:blipFill>
                  <pic:spPr bwMode="auto">
                    <a:xfrm>
                      <a:off x="0" y="0"/>
                      <a:ext cx="4239260" cy="8890"/>
                    </a:xfrm>
                    <a:prstGeom prst="rect">
                      <a:avLst/>
                    </a:prstGeom>
                    <a:noFill/>
                  </pic:spPr>
                </pic:pic>
              </a:graphicData>
            </a:graphic>
          </wp:anchor>
        </w:drawing>
      </w:r>
    </w:p>
    <w:p>
      <w:pPr>
        <w:spacing w:after="0" w:line="38" w:lineRule="exact"/>
        <w:rPr>
          <w:rFonts w:ascii="Times New Roman" w:cs="Times New Roman" w:eastAsia="Times New Roman" w:hAnsi="Times New Roman"/>
          <w:sz w:val="18"/>
          <w:szCs w:val="18"/>
          <w:u w:val="single" w:color="auto"/>
          <w:color w:val="0000FF"/>
        </w:rPr>
      </w:pPr>
    </w:p>
    <w:p>
      <w:pPr>
        <w:ind w:left="920" w:right="420" w:hanging="87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592">
        <w:r>
          <w:rPr>
            <w:rFonts w:ascii="Times New Roman" w:cs="Times New Roman" w:eastAsia="Times New Roman" w:hAnsi="Times New Roman"/>
            <w:sz w:val="18"/>
            <w:szCs w:val="18"/>
            <w:u w:val="single" w:color="auto"/>
            <w:color w:val="0000FF"/>
          </w:rPr>
          <w:t>Employee Matters Agreement by and among the Registrant and Xperi Inc., dated as of October 1, 2022 (incorporated by reference to</w:t>
        </w:r>
      </w:hyperlink>
      <w:r>
        <w:rPr>
          <w:rFonts w:ascii="Times New Roman" w:cs="Times New Roman" w:eastAsia="Times New Roman" w:hAnsi="Times New Roman"/>
          <w:sz w:val="18"/>
          <w:szCs w:val="18"/>
          <w:u w:val="single" w:color="auto"/>
          <w:color w:val="0000FF"/>
        </w:rPr>
        <w:t xml:space="preserve"> </w:t>
      </w:r>
      <w:hyperlink r:id="rId592">
        <w:r>
          <w:rPr>
            <w:rFonts w:ascii="Times New Roman" w:cs="Times New Roman" w:eastAsia="Times New Roman" w:hAnsi="Times New Roman"/>
            <w:sz w:val="18"/>
            <w:szCs w:val="18"/>
            <w:u w:val="single" w:color="auto"/>
            <w:color w:val="0000FF"/>
          </w:rPr>
          <w:t>Exhibit 10.2 of the Registrant’s Current Report on Form 8-K filed with the SEC on October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611060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3">
                      <a:extLst>
                        <a:ext uri="{28A0092B-C50C-407E-A947-70E740481C1C}"/>
                      </a:extLst>
                    </a:blip>
                    <a:srcRect/>
                    <a:stretch>
                      <a:fillRect/>
                    </a:stretch>
                  </pic:blipFill>
                  <pic:spPr bwMode="auto">
                    <a:xfrm>
                      <a:off x="0" y="0"/>
                      <a:ext cx="611060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460438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4">
                      <a:extLst>
                        <a:ext uri="{28A0092B-C50C-407E-A947-70E740481C1C}"/>
                      </a:extLst>
                    </a:blip>
                    <a:srcRect/>
                    <a:stretch>
                      <a:fillRect/>
                    </a:stretch>
                  </pic:blipFill>
                  <pic:spPr bwMode="auto">
                    <a:xfrm>
                      <a:off x="0" y="0"/>
                      <a:ext cx="4604385" cy="8255"/>
                    </a:xfrm>
                    <a:prstGeom prst="rect">
                      <a:avLst/>
                    </a:prstGeom>
                    <a:noFill/>
                  </pic:spPr>
                </pic:pic>
              </a:graphicData>
            </a:graphic>
          </wp:anchor>
        </w:drawing>
      </w:r>
    </w:p>
    <w:p>
      <w:pPr>
        <w:ind w:left="920" w:right="180" w:hanging="875"/>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595">
        <w:r>
          <w:rPr>
            <w:rFonts w:ascii="Times New Roman" w:cs="Times New Roman" w:eastAsia="Times New Roman" w:hAnsi="Times New Roman"/>
            <w:sz w:val="18"/>
            <w:szCs w:val="18"/>
            <w:u w:val="single" w:color="auto"/>
            <w:color w:val="0000FF"/>
          </w:rPr>
          <w:t>Cross Business License Agreement between Xperi Inc. and the Registrant, Adeia Media LLC and Adeia Media Holdings LLC, effective</w:t>
        </w:r>
      </w:hyperlink>
      <w:r>
        <w:rPr>
          <w:rFonts w:ascii="Times New Roman" w:cs="Times New Roman" w:eastAsia="Times New Roman" w:hAnsi="Times New Roman"/>
          <w:sz w:val="18"/>
          <w:szCs w:val="18"/>
          <w:u w:val="single" w:color="auto"/>
          <w:color w:val="0000FF"/>
        </w:rPr>
        <w:t xml:space="preserve"> </w:t>
      </w:r>
      <w:hyperlink r:id="rId595">
        <w:r>
          <w:rPr>
            <w:rFonts w:ascii="Times New Roman" w:cs="Times New Roman" w:eastAsia="Times New Roman" w:hAnsi="Times New Roman"/>
            <w:sz w:val="18"/>
            <w:szCs w:val="18"/>
            <w:u w:val="single" w:color="auto"/>
            <w:color w:val="0000FF"/>
          </w:rPr>
          <w:t>as of October 1, 2022 (incorporated by reference to Exhibit 10.3 of the Registrant’s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595">
        <w:r>
          <w:rPr>
            <w:rFonts w:ascii="Times New Roman" w:cs="Times New Roman" w:eastAsia="Times New Roman" w:hAnsi="Times New Roman"/>
            <w:sz w:val="18"/>
            <w:szCs w:val="18"/>
            <w:u w:val="single" w:color="auto"/>
            <w:color w:val="0000FF"/>
          </w:rPr>
          <w:t>October 6,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-313055</wp:posOffset>
            </wp:positionV>
            <wp:extent cx="626300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6">
                      <a:extLst>
                        <a:ext uri="{28A0092B-C50C-407E-A947-70E740481C1C}"/>
                      </a:extLst>
                    </a:blip>
                    <a:srcRect/>
                    <a:stretch>
                      <a:fillRect/>
                    </a:stretch>
                  </pic:blipFill>
                  <pic:spPr bwMode="auto">
                    <a:xfrm>
                      <a:off x="0" y="0"/>
                      <a:ext cx="6263005" cy="8890"/>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-175895</wp:posOffset>
            </wp:positionV>
            <wp:extent cx="620014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7">
                      <a:extLst>
                        <a:ext uri="{28A0092B-C50C-407E-A947-70E740481C1C}"/>
                      </a:extLst>
                    </a:blip>
                    <a:srcRect/>
                    <a:stretch>
                      <a:fillRect/>
                    </a:stretch>
                  </pic:blipFill>
                  <pic:spPr bwMode="auto">
                    <a:xfrm>
                      <a:off x="0" y="0"/>
                      <a:ext cx="6200140"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-38735</wp:posOffset>
            </wp:positionV>
            <wp:extent cx="77724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40"/>
        <w:spacing w:after="0"/>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599">
        <w:r>
          <w:rPr>
            <w:rFonts w:ascii="Times New Roman" w:cs="Times New Roman" w:eastAsia="Times New Roman" w:hAnsi="Times New Roman"/>
            <w:sz w:val="18"/>
            <w:szCs w:val="18"/>
            <w:u w:val="single" w:color="auto"/>
            <w:color w:val="0000FF"/>
          </w:rPr>
          <w:t>Transition Services Agreement by and between the Registrant and Xperi Inc., dated October 1, 2022 (incorporated by reference to Exhibit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-7620</wp:posOffset>
            </wp:positionV>
            <wp:extent cx="635444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0">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20"/>
        <w:spacing w:after="0"/>
        <w:rPr>
          <w:rFonts w:ascii="Times New Roman" w:cs="Times New Roman" w:eastAsia="Times New Roman" w:hAnsi="Times New Roman"/>
          <w:sz w:val="18"/>
          <w:szCs w:val="18"/>
          <w:u w:val="single" w:color="auto"/>
          <w:color w:val="0000FF"/>
        </w:rPr>
      </w:pPr>
      <w:hyperlink r:id="rId599">
        <w:r>
          <w:rPr>
            <w:rFonts w:ascii="Times New Roman" w:cs="Times New Roman" w:eastAsia="Times New Roman" w:hAnsi="Times New Roman"/>
            <w:sz w:val="18"/>
            <w:szCs w:val="18"/>
            <w:u w:val="single" w:color="auto"/>
            <w:color w:val="0000FF"/>
          </w:rPr>
          <w:t>10.4 of the Registrant’s Current Report on Form 8-K filed with the SEC on October 6,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581660</wp:posOffset>
            </wp:positionH>
            <wp:positionV relativeFrom="paragraph">
              <wp:posOffset>-19050</wp:posOffset>
            </wp:positionV>
            <wp:extent cx="42392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1">
                      <a:extLst>
                        <a:ext uri="{28A0092B-C50C-407E-A947-70E740481C1C}"/>
                      </a:extLst>
                    </a:blip>
                    <a:srcRect/>
                    <a:stretch>
                      <a:fillRect/>
                    </a:stretch>
                  </pic:blipFill>
                  <pic:spPr bwMode="auto">
                    <a:xfrm>
                      <a:off x="0" y="0"/>
                      <a:ext cx="4239260" cy="8255"/>
                    </a:xfrm>
                    <a:prstGeom prst="rect">
                      <a:avLst/>
                    </a:prstGeom>
                    <a:noFill/>
                  </pic:spPr>
                </pic:pic>
              </a:graphicData>
            </a:graphic>
          </wp:anchor>
        </w:drawing>
      </w:r>
    </w:p>
    <w:p>
      <w:pPr>
        <w:spacing w:after="0" w:line="38" w:lineRule="exact"/>
        <w:rPr>
          <w:rFonts w:ascii="Times New Roman" w:cs="Times New Roman" w:eastAsia="Times New Roman" w:hAnsi="Times New Roman"/>
          <w:sz w:val="18"/>
          <w:szCs w:val="18"/>
          <w:u w:val="single" w:color="auto"/>
          <w:color w:val="0000FF"/>
        </w:rPr>
      </w:pPr>
    </w:p>
    <w:p>
      <w:pPr>
        <w:ind w:left="920" w:hanging="875"/>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602">
        <w:r>
          <w:rPr>
            <w:rFonts w:ascii="Times New Roman" w:cs="Times New Roman" w:eastAsia="Times New Roman" w:hAnsi="Times New Roman"/>
            <w:sz w:val="18"/>
            <w:szCs w:val="18"/>
            <w:u w:val="single" w:color="auto"/>
            <w:color w:val="0000FF"/>
          </w:rPr>
          <w:t>Data Sharing Agreement by and between the Registrant and Xperi Inc, dated October 1, 2022 (incorporated by reference to Exhibit 10.5 of</w:t>
        </w:r>
      </w:hyperlink>
      <w:r>
        <w:rPr>
          <w:rFonts w:ascii="Times New Roman" w:cs="Times New Roman" w:eastAsia="Times New Roman" w:hAnsi="Times New Roman"/>
          <w:sz w:val="18"/>
          <w:szCs w:val="18"/>
          <w:u w:val="single" w:color="auto"/>
          <w:color w:val="0000FF"/>
        </w:rPr>
        <w:t xml:space="preserve"> </w:t>
      </w:r>
      <w:hyperlink r:id="rId602">
        <w:r>
          <w:rPr>
            <w:rFonts w:ascii="Times New Roman" w:cs="Times New Roman" w:eastAsia="Times New Roman" w:hAnsi="Times New Roman"/>
            <w:sz w:val="18"/>
            <w:szCs w:val="18"/>
            <w:u w:val="single" w:color="auto"/>
            <w:color w:val="0000FF"/>
          </w:rPr>
          <w:t>the Registrant’s Current Report on Form 8-K filed with the SEC on October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-185420</wp:posOffset>
            </wp:positionV>
            <wp:extent cx="635444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3">
                      <a:extLst>
                        <a:ext uri="{28A0092B-C50C-407E-A947-70E740481C1C}"/>
                      </a:extLst>
                    </a:blip>
                    <a:srcRect/>
                    <a:stretch>
                      <a:fillRect/>
                    </a:stretch>
                  </pic:blipFill>
                  <pic:spPr bwMode="auto">
                    <a:xfrm>
                      <a:off x="0" y="0"/>
                      <a:ext cx="635444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-48260</wp:posOffset>
            </wp:positionV>
            <wp:extent cx="391604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4">
                      <a:extLst>
                        <a:ext uri="{28A0092B-C50C-407E-A947-70E740481C1C}"/>
                      </a:extLst>
                    </a:blip>
                    <a:srcRect/>
                    <a:stretch>
                      <a:fillRect/>
                    </a:stretch>
                  </pic:blipFill>
                  <pic:spPr bwMode="auto">
                    <a:xfrm>
                      <a:off x="0" y="0"/>
                      <a:ext cx="3916045" cy="8890"/>
                    </a:xfrm>
                    <a:prstGeom prst="rect">
                      <a:avLst/>
                    </a:prstGeom>
                    <a:noFill/>
                  </pic:spPr>
                </pic:pic>
              </a:graphicData>
            </a:graphic>
          </wp:anchor>
        </w:drawing>
      </w:r>
    </w:p>
    <w:p>
      <w:pPr>
        <w:ind w:left="80"/>
        <w:spacing w:after="0"/>
        <w:tabs>
          <w:tab w:leader="none" w:pos="90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-7620</wp:posOffset>
            </wp:positionV>
            <wp:extent cx="102806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5">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57"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-7620</wp:posOffset>
            </wp:positionV>
            <wp:extent cx="86931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6">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57"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PricewaterhouseCoopers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-7620</wp:posOffset>
            </wp:positionV>
            <wp:extent cx="41662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7">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7"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FF"/>
        </w:rPr>
        <w:t>Power of Attorney (see signature page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-7620</wp:posOffset>
            </wp:positionV>
            <wp:extent cx="349059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8">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57"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Rule 13a-14(a)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-7620</wp:posOffset>
            </wp:positionV>
            <wp:extent cx="50761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9">
                      <a:extLst>
                        <a:ext uri="{28A0092B-C50C-407E-A947-70E740481C1C}"/>
                      </a:extLst>
                    </a:blip>
                    <a:srcRect/>
                    <a:stretch>
                      <a:fillRect/>
                    </a:stretch>
                  </pic:blipFill>
                  <pic:spPr bwMode="auto">
                    <a:xfrm>
                      <a:off x="0" y="0"/>
                      <a:ext cx="5076190" cy="8890"/>
                    </a:xfrm>
                    <a:prstGeom prst="rect">
                      <a:avLst/>
                    </a:prstGeom>
                    <a:noFill/>
                  </pic:spPr>
                </pic:pic>
              </a:graphicData>
            </a:graphic>
          </wp:anchor>
        </w:drawing>
      </w:r>
    </w:p>
    <w:p>
      <w:pPr>
        <w:spacing w:after="0" w:line="23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00" w:top="1242" w:right="379" w:bottom="1440" w:gutter="0" w:footer="0" w:header="0"/>
        </w:sectPr>
      </w:pPr>
    </w:p>
    <w:bookmarkStart w:id="90" w:name="page91"/>
    <w:bookmarkEnd w:id="90"/>
    <w:tbl>
      <w:tblPr>
        <w:tblLayout w:type="fixed"/>
        <w:tblInd w:w="200" w:type="dxa"/>
        <w:tblCellMar>
          <w:top w:w="0" w:type="dxa"/>
          <w:left w:w="0" w:type="dxa"/>
          <w:bottom w:w="0" w:type="dxa"/>
          <w:right w:w="0" w:type="dxa"/>
        </w:tblCellMar>
      </w:tblPr>
      <w:tr>
        <w:trPr>
          <w:trHeight w:val="207"/>
        </w:trPr>
        <w:tc>
          <w:tcPr>
            <w:tcW w:w="10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31.2</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of the Securities Exchange Act of 1934</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66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3"/>
        </w:trPr>
        <w:tc>
          <w:tcPr>
            <w:tcW w:w="10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32.1</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and Chief Financial Officer pursuant to Rule 13a-14(b) of the Securities Exchange Act of</w:t>
            </w:r>
          </w:p>
        </w:tc>
      </w:tr>
      <w:tr>
        <w:trPr>
          <w:trHeight w:val="20"/>
        </w:trPr>
        <w:tc>
          <w:tcPr>
            <w:tcW w:w="1020" w:type="dxa"/>
            <w:vAlign w:val="bottom"/>
          </w:tcPr>
          <w:p>
            <w:pPr>
              <w:spacing w:after="0" w:line="20" w:lineRule="exact"/>
              <w:rPr>
                <w:sz w:val="1"/>
                <w:szCs w:val="1"/>
                <w:color w:val="auto"/>
              </w:rPr>
            </w:pPr>
          </w:p>
        </w:tc>
        <w:tc>
          <w:tcPr>
            <w:tcW w:w="466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1934 and 18 U.S.C. Section 1350, as adopted pursuant to Section 906 of the Sarbanes-Oxley Act of 2002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66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63"/>
        </w:trPr>
        <w:tc>
          <w:tcPr>
            <w:tcW w:w="10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97.1</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Amended &amp; Restated Executive Compensation Clawback Policy</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66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r>
      <w:tr>
        <w:trPr>
          <w:trHeight w:val="286"/>
        </w:trPr>
        <w:tc>
          <w:tcPr>
            <w:tcW w:w="10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101.INS</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020" w:type="dxa"/>
            <w:vAlign w:val="bottom"/>
          </w:tcPr>
          <w:p>
            <w:pPr>
              <w:spacing w:after="0"/>
              <w:rPr>
                <w:sz w:val="20"/>
                <w:szCs w:val="20"/>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101.SCH</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83"/>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104</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33" w:lineRule="exact"/>
        <w:rPr>
          <w:sz w:val="20"/>
          <w:szCs w:val="20"/>
          <w:color w:val="auto"/>
        </w:rPr>
      </w:pPr>
    </w:p>
    <w:p>
      <w:pPr>
        <w:ind w:left="1200" w:hanging="728"/>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77" w:lineRule="exact"/>
        <w:rPr>
          <w:sz w:val="20"/>
          <w:szCs w:val="20"/>
          <w:color w:val="auto"/>
        </w:rPr>
      </w:pPr>
    </w:p>
    <w:p>
      <w:pPr>
        <w:ind w:left="1200" w:hanging="722"/>
        <w:spacing w:after="0" w:line="261" w:lineRule="auto"/>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schedules to this agreement have been omitted in reliance on Item 601(b)(2) of Regulation S-K promulgated by the SEC, and a copy thereof will be furnished supplementally to the SEC upon its request. Readers are cautioned that the representations and warranties set forth in this agreement are qualified by those schedules, and should not be relied upon as accurate or complete without reference to those schedules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3" w:right="4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“Exchange Act”),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19, 2025</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229" w:lineRule="exact"/>
        <w:rPr>
          <w:sz w:val="20"/>
          <w:szCs w:val="20"/>
          <w:color w:val="auto"/>
        </w:rPr>
      </w:pPr>
    </w:p>
    <w:p>
      <w:pPr>
        <w:ind w:left="6180"/>
        <w:spacing w:after="0"/>
        <w:tabs>
          <w:tab w:leader="none" w:pos="6700" w:val="left"/>
          <w:tab w:leader="none" w:pos="7040" w:val="left"/>
        </w:tabs>
        <w:rPr>
          <w:sz w:val="20"/>
          <w:szCs w:val="20"/>
          <w:color w:val="auto"/>
        </w:rPr>
      </w:pPr>
      <w:r>
        <w:rPr>
          <w:rFonts w:ascii="Times New Roman" w:cs="Times New Roman" w:eastAsia="Times New Roman" w:hAnsi="Times New Roman"/>
          <w:sz w:val="18"/>
          <w:szCs w:val="18"/>
          <w:color w:val="auto"/>
        </w:rPr>
        <w:t>By:</w:t>
        <w:tab/>
        <w:t>/s/</w:t>
        <w:tab/>
        <w:t>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17145</wp:posOffset>
            </wp:positionV>
            <wp:extent cx="28803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Paul E. Davis</w:t>
      </w:r>
    </w:p>
    <w:p>
      <w:pPr>
        <w:spacing w:after="0" w:line="5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Paul Davis and Keith A. Jones, and each of them, with full power of substitution and resubstitution and full power to act without the other, as his true and lawful attorney-in-fact and agent to act in his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60" w:type="dxa"/>
            <w:vAlign w:val="bottom"/>
          </w:tcPr>
          <w:p>
            <w:pPr>
              <w:spacing w:after="0"/>
              <w:rPr>
                <w:sz w:val="20"/>
                <w:szCs w:val="20"/>
                <w:color w:val="auto"/>
              </w:rPr>
            </w:pPr>
          </w:p>
        </w:tc>
        <w:tc>
          <w:tcPr>
            <w:tcW w:w="4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65"/>
        </w:trPr>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3"/>
              </w:rPr>
              <w:t>/s/</w:t>
            </w:r>
          </w:p>
        </w:tc>
        <w:tc>
          <w:tcPr>
            <w:tcW w:w="208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Paul E. Davis</w:t>
            </w:r>
          </w:p>
        </w:tc>
        <w:tc>
          <w:tcPr>
            <w:tcW w:w="26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Paul E. Davis</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c>
          <w:tcPr>
            <w:tcW w:w="0" w:type="dxa"/>
            <w:vAlign w:val="bottom"/>
          </w:tcPr>
          <w:p>
            <w:pPr>
              <w:spacing w:after="0"/>
              <w:rPr>
                <w:sz w:val="1"/>
                <w:szCs w:val="1"/>
                <w:color w:val="auto"/>
              </w:rPr>
            </w:pPr>
          </w:p>
        </w:tc>
      </w:tr>
      <w:tr>
        <w:trPr>
          <w:trHeight w:val="349"/>
        </w:trPr>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w:t>
            </w:r>
          </w:p>
        </w:tc>
        <w:tc>
          <w:tcPr>
            <w:tcW w:w="208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Keith A. Jones</w:t>
            </w:r>
          </w:p>
        </w:tc>
        <w:tc>
          <w:tcPr>
            <w:tcW w:w="26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Keith A. Jones</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c>
          <w:tcPr>
            <w:tcW w:w="0" w:type="dxa"/>
            <w:vAlign w:val="bottom"/>
          </w:tcPr>
          <w:p>
            <w:pPr>
              <w:spacing w:after="0"/>
              <w:rPr>
                <w:sz w:val="1"/>
                <w:szCs w:val="1"/>
                <w:color w:val="auto"/>
              </w:rPr>
            </w:pPr>
          </w:p>
        </w:tc>
      </w:tr>
      <w:tr>
        <w:trPr>
          <w:trHeight w:val="315"/>
        </w:trPr>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w:t>
            </w:r>
          </w:p>
        </w:tc>
        <w:tc>
          <w:tcPr>
            <w:tcW w:w="208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8"/>
              </w:rPr>
              <w:t>Daniel Moloney</w:t>
            </w:r>
          </w:p>
        </w:tc>
        <w:tc>
          <w:tcPr>
            <w:tcW w:w="260" w:type="dxa"/>
            <w:vAlign w:val="bottom"/>
          </w:tcPr>
          <w:p>
            <w:pPr>
              <w:spacing w:after="0"/>
              <w:rPr>
                <w:sz w:val="24"/>
                <w:szCs w:val="24"/>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0" w:type="dxa"/>
            <w:vAlign w:val="bottom"/>
          </w:tcPr>
          <w:p>
            <w:pPr>
              <w:spacing w:after="0"/>
              <w:rPr>
                <w:sz w:val="24"/>
                <w:szCs w:val="2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c>
          <w:tcPr>
            <w:tcW w:w="0" w:type="dxa"/>
            <w:vAlign w:val="bottom"/>
          </w:tcPr>
          <w:p>
            <w:pPr>
              <w:spacing w:after="0"/>
              <w:rPr>
                <w:sz w:val="1"/>
                <w:szCs w:val="1"/>
                <w:color w:val="auto"/>
              </w:rPr>
            </w:pPr>
          </w:p>
        </w:tc>
      </w:tr>
      <w:tr>
        <w:trPr>
          <w:trHeight w:val="232"/>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Daniel Moloney</w:t>
            </w:r>
          </w:p>
        </w:tc>
        <w:tc>
          <w:tcPr>
            <w:tcW w:w="2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w:t>
            </w:r>
          </w:p>
        </w:tc>
        <w:tc>
          <w:tcPr>
            <w:tcW w:w="208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Tonia O'Connor</w:t>
            </w:r>
          </w:p>
        </w:tc>
        <w:tc>
          <w:tcPr>
            <w:tcW w:w="260" w:type="dxa"/>
            <w:vAlign w:val="bottom"/>
          </w:tcPr>
          <w:p>
            <w:pPr>
              <w:spacing w:after="0"/>
              <w:rPr>
                <w:sz w:val="24"/>
                <w:szCs w:val="24"/>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c>
          <w:tcPr>
            <w:tcW w:w="0" w:type="dxa"/>
            <w:vAlign w:val="bottom"/>
          </w:tcPr>
          <w:p>
            <w:pPr>
              <w:spacing w:after="0"/>
              <w:rPr>
                <w:sz w:val="1"/>
                <w:szCs w:val="1"/>
                <w:color w:val="auto"/>
              </w:rPr>
            </w:pPr>
          </w:p>
        </w:tc>
      </w:tr>
      <w:tr>
        <w:trPr>
          <w:trHeight w:val="232"/>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Tonia O'Connor</w:t>
            </w:r>
          </w:p>
        </w:tc>
        <w:tc>
          <w:tcPr>
            <w:tcW w:w="2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/s/</w:t>
            </w:r>
          </w:p>
        </w:tc>
        <w:tc>
          <w:tcPr>
            <w:tcW w:w="208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Raghavendra Rau</w:t>
            </w:r>
          </w:p>
        </w:tc>
        <w:tc>
          <w:tcPr>
            <w:tcW w:w="260" w:type="dxa"/>
            <w:vAlign w:val="bottom"/>
          </w:tcPr>
          <w:p>
            <w:pPr>
              <w:spacing w:after="0"/>
              <w:rPr>
                <w:sz w:val="24"/>
                <w:szCs w:val="24"/>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c>
          <w:tcPr>
            <w:tcW w:w="0" w:type="dxa"/>
            <w:vAlign w:val="bottom"/>
          </w:tcPr>
          <w:p>
            <w:pPr>
              <w:spacing w:after="0"/>
              <w:rPr>
                <w:sz w:val="1"/>
                <w:szCs w:val="1"/>
                <w:color w:val="auto"/>
              </w:rPr>
            </w:pPr>
          </w:p>
        </w:tc>
      </w:tr>
      <w:tr>
        <w:trPr>
          <w:trHeight w:val="232"/>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Raghavendra Rau</w:t>
            </w:r>
          </w:p>
        </w:tc>
        <w:tc>
          <w:tcPr>
            <w:tcW w:w="2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w:t>
            </w:r>
          </w:p>
        </w:tc>
        <w:tc>
          <w:tcPr>
            <w:tcW w:w="208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rPr>
              <w:t>V. Sue Molina</w:t>
            </w:r>
          </w:p>
        </w:tc>
        <w:tc>
          <w:tcPr>
            <w:tcW w:w="260" w:type="dxa"/>
            <w:vAlign w:val="bottom"/>
          </w:tcPr>
          <w:p>
            <w:pPr>
              <w:spacing w:after="0"/>
              <w:rPr>
                <w:sz w:val="24"/>
                <w:szCs w:val="24"/>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c>
          <w:tcPr>
            <w:tcW w:w="0" w:type="dxa"/>
            <w:vAlign w:val="bottom"/>
          </w:tcPr>
          <w:p>
            <w:pPr>
              <w:spacing w:after="0"/>
              <w:rPr>
                <w:sz w:val="1"/>
                <w:szCs w:val="1"/>
                <w:color w:val="auto"/>
              </w:rPr>
            </w:pPr>
          </w:p>
        </w:tc>
      </w:tr>
      <w:tr>
        <w:trPr>
          <w:trHeight w:val="232"/>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V. Sue Molina</w:t>
            </w:r>
          </w:p>
        </w:tc>
        <w:tc>
          <w:tcPr>
            <w:tcW w:w="2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3"/>
              </w:rPr>
              <w:t>/s/</w:t>
            </w:r>
          </w:p>
        </w:tc>
        <w:tc>
          <w:tcPr>
            <w:tcW w:w="208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rPr>
              <w:t>Adam Rymer</w:t>
            </w:r>
          </w:p>
        </w:tc>
        <w:tc>
          <w:tcPr>
            <w:tcW w:w="260" w:type="dxa"/>
            <w:vAlign w:val="bottom"/>
          </w:tcPr>
          <w:p>
            <w:pPr>
              <w:spacing w:after="0"/>
              <w:rPr>
                <w:sz w:val="24"/>
                <w:szCs w:val="24"/>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c>
          <w:tcPr>
            <w:tcW w:w="0" w:type="dxa"/>
            <w:vAlign w:val="bottom"/>
          </w:tcPr>
          <w:p>
            <w:pPr>
              <w:spacing w:after="0"/>
              <w:rPr>
                <w:sz w:val="1"/>
                <w:szCs w:val="1"/>
                <w:color w:val="auto"/>
              </w:rPr>
            </w:pPr>
          </w:p>
        </w:tc>
      </w:tr>
      <w:tr>
        <w:trPr>
          <w:trHeight w:val="232"/>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Adam Rymer</w:t>
            </w:r>
          </w:p>
        </w:tc>
        <w:tc>
          <w:tcPr>
            <w:tcW w:w="2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Phyllis Turner-Brim</w:t>
            </w:r>
          </w:p>
        </w:tc>
        <w:tc>
          <w:tcPr>
            <w:tcW w:w="260" w:type="dxa"/>
            <w:vAlign w:val="bottom"/>
          </w:tcPr>
          <w:p>
            <w:pPr>
              <w:spacing w:after="0"/>
              <w:rPr>
                <w:sz w:val="24"/>
                <w:szCs w:val="24"/>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19, 2025</w:t>
            </w:r>
          </w:p>
        </w:tc>
        <w:tc>
          <w:tcPr>
            <w:tcW w:w="0" w:type="dxa"/>
            <w:vAlign w:val="bottom"/>
          </w:tcPr>
          <w:p>
            <w:pPr>
              <w:spacing w:after="0"/>
              <w:rPr>
                <w:sz w:val="1"/>
                <w:szCs w:val="1"/>
                <w:color w:val="auto"/>
              </w:rPr>
            </w:pPr>
          </w:p>
        </w:tc>
      </w:tr>
      <w:tr>
        <w:trPr>
          <w:trHeight w:val="232"/>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Phyllis Turner-Brim</w:t>
            </w:r>
          </w:p>
        </w:tc>
        <w:tc>
          <w:tcPr>
            <w:tcW w:w="2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1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2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terms of the common stock and preferred stock of Adeia Inc. (the “Company”) is not complete and is qualified in its entirety by reference to the Company’s amended and restated certificate of incorporation and amended and restated bylaws, which are attached as Exhibits 3.1 and 3.3, respectively, to this Annual Report on Form 10-K of which this exhibit is a part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total number of shares of capital stock which the Company shall have authority to issue is 365,000,000 shares. This authorized capital stock consists of 350,000,000 shares of common stock and 15,000,000 shares of preferred stock, each having a par value of $0.001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107,508,991 shares of common stock outstanding as of February 7,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holder of a share of common stock of the Company will be entitled to one vote for each share, and the common stock will have the exclusive right to vote for the election of directors and for all other purposes (subject to the express terms of the preferred stock). Stockholders of the Company will have no preemptive rights and no rights to convert their common stock into any other securities. There will also be no redemption or sinking fund provisions applicable to the common stock.</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Stockholders of the Company will be entitled to receive dividends as may be declared from time to time by the Company’s board out of funds legally available therefor. The stockholders are entitled to share pro rata, upon any liquidation or dissolution of the Company, in all remaining assets available for distribution to stockholders after payment or providing for the Company’s liabilities and the liquidation preference of any outstanding preferred stock. The rights, preferences and privileges of the stockholders are subject to and may be adversely affected by the rights of holders of any series of preferred stock that the Company may designate and issue at the effective time and in the future.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shares of common stock will be subject to certain transfer restrictions intended to preserve tax attributes of the Company pursuant to Section 382 of the Code. Such restrictions will apply to future transfers made by 4.91% stockholders, transferees who are 4.91% stockholders, transferees who are related to a 4.91% stockholder, transferees acting in coordination with a 4.91% stockholder, or transfers that would result in a stockholder becoming a 4.91% stockholder in order to avoid potential limitation on such tax attributes pursuant to Section 382 of the Code. Such restrictions will expire on the earlier of (i) the repeal of Section 382 or any successor statute if the board of directors determines that such restrictions are no longer necessary or desirable for the preservation of certain tax benefits, (ii) the beginning of a taxable year to which the board of directors determines that no tax benefits may be carried forward, (iii) the date that is three years and one day following the close of the merger or (iv) such other date as the board of directors shall fix in accordance with the Company’s certificate of incorporation.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listed on the Nasdaq Global Select Market under the symbol “ADEA.”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Classes or Series of Preferred Stock</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will permit the Company’s board, without further action by the stockholders, to issue up to 15,000,000 shares of preferred stock in one or more series of preferred stock with such designations, powers, preferences, special rights, qualifications, limitations and restrictions as the board may determine from time to time. Accordingly, without action by the stockholders, the board may designate and authorize the issuance of additional classes or series of preferred stock having voting rights, dividend rights, conversion rights, redemption provisions (including sinking fund provisions) and rights in liquidation, dissolution or winding up that are superior to those of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 Provisions; Takeover Statutes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number of provisions in the Company’s certificate of incorporation, bylaws and the General Corporation Law of the State of Delaware (the “DGCL”) may make it more difficult to acquire control of the Company or remove its management.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 of Board</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board will be elected annually. The Company’s bylaws provides that each director of the Company will hold office for a term expiring at the next succeeding annual meeting of stockholders and until such director’s successor is duly elected and qualified. The Company’s board, in accordance with the bylaws, shall consist of not less than five (5) and not more than nine (9) directors as fixed from time to time by resolution of a majority of the total number of directors on the board. The board currently consists of five (5) directors. Furthermore, subject to the rights of holders of any class or series of preferred stock to elect directors, any vacancies on the board caused by death, removal or resignation of any director or any other cause, and any newly created directorships resulting from an increase in the authorized number of directors, will be permitted to be filled only by a majority vote of the directors then in office, even if less than a quorum, or by a sole remaining director, and shall not be filled by stockholders. This provision could prevent a stockholder from obtaining majority representation on the Company’s board by allowing the board to enlarge the board and fill the new directorships with the board’s own nominees.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 of the Board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between Xperi Corporation and TiVo (the “Merger Agreement”) and the Company’s bylaws, the Company’s board of directors established a nominating and corporate governance committee whose principal duties are to assist the board of directors by identifying individuals qualified to become members of the board of directors consistent with criteria approved by the board of directors, to recommend to the board of directors for its approval the slate of nominees to be proposed by the board of directors to the stockholders for election to the board of directors, to develop and recommend to the board of directors the governance principles applicable to the corporation, as well as such other duties and responsibilities delegated to it by the board of directors and specified for it under applicable law and the rules and requirements of Nasdaq.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accordance with the DGCL and subject to the rights of the holders of any class or series of preferred stock, the entire board or any individual director may be removed at any time, with or without cause, only by the affirmative vote of the holders of a majority of the voting power of all of the shares of capital stock of the Company then entitled to vote generally in the election of directors, voting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Proposals and Nominations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bylaws provide that stockholders must give timely written notice to bring business before an annual meeting of stockholders or to nominate candidates for election as directors at an annual meeting of stockholders. Generally, to be timely, a stockholder’s notice will be required to be delivered to the principal executive offices of the Company not later than the 90th day nor earlier than the 120th day prior to the one (1)-year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The Company’s bylaws also specify the form and content of a stockholder’s notice. These provisions may prevent stockholders from bringing matters before an annual meeting of stockholders or from nominating candidates for election as directors at an annual meeting of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Special Meetings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bylaws and certificate of incorporation provide that special meetings of stockholders may be called at any time by the board of directors, or by a majority of the members of the board of directors, or by a committee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which has been duly designated by the board of directors and whose powers and authority, as provided in a resolution of the board of directors or in these bylaws, include the power to call such meetings, but such special meetings may not be called by any other person or persons.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Company’s Bylaws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board will be authorized to amend, alter, change, adopt and repeal the Company’s bylaws by a majority vote. Company stockholders also will have the power to amend, alter, change, adopt and repeal the Company’s bylaws by the affirmative vote of the holders of not less than 66 2/3% of the shares then entitled to vote at an election of directors, voting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Please see “Additional Classes or Series of Preferred Stock” above. The Company’s ability to issue an indeterminate number of shares of the authorized shares of preferred stock with such rights, privileges and preferences as the Company’s board may fix may have the effect of delaying or preventing a takeover or other change of control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Takeover Statutes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203 of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(3) years after the person or entity becomes an interested stockholder, unless: (i) the board of directors of the target corporation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at a meeting of stockholders by the affirmative vote of at least 66 2/3% of the outstanding voting stock not owned by the interested stockholder.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to opt out of the protections of Section 203 of the DGCL. As a result, the statute will apply to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duty (including any fiduciary duty) owed by any current or former director, officer, stockholder, employee or agent of the Company to the Company or Company stockholders, (iii) any action asserting a claim against the Company or any current or former director, officer, stockholder, employee or agent of the Company arising out of or relating to any provision of the DGCL, the Company’s certificate of incorporation or bylaws (each, as in effect from time to time), or (iv) any action asserting a claim against the Company or any current or former director, officer, stockholder, employee or agent of the Company governed by the internal affairs doctrine of the State of Delaware. The Company’s certificate of incorporation also provides that unless the Company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exclusive forum provision does not apply to claims brought under the Exchange Act.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147955</wp:posOffset>
            </wp:positionV>
            <wp:extent cx="1379855" cy="514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8">
                      <a:extLst>
                        <a:ext uri="{28A0092B-C50C-407E-A947-70E740481C1C}"/>
                      </a:extLst>
                    </a:blip>
                    <a:srcRect/>
                    <a:stretch>
                      <a:fillRect/>
                    </a:stretch>
                  </pic:blipFill>
                  <pic:spPr bwMode="auto">
                    <a:xfrm>
                      <a:off x="0" y="0"/>
                      <a:ext cx="13798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b w:val="1"/>
          <w:bCs w:val="1"/>
          <w:color w:val="auto"/>
        </w:rPr>
        <w:t>TRADES IN SECURITIES BY DIRECTORS, OFFICERS AND COMPANY</w:t>
      </w:r>
    </w:p>
    <w:p>
      <w:pPr>
        <w:spacing w:after="0" w:line="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PERSONNEL AND TREATMENT OF CONFIDENTIAL INFORMATION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(ALSO KNOWN AS THE “INSIDER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OCTOBER 23, 2024</w:t>
      </w:r>
    </w:p>
    <w:p>
      <w:pPr>
        <w:spacing w:after="0" w:line="206"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ind w:right="320" w:firstLine="749"/>
        <w:spacing w:after="0" w:line="239" w:lineRule="auto"/>
        <w:rPr>
          <w:sz w:val="20"/>
          <w:szCs w:val="20"/>
          <w:color w:val="auto"/>
        </w:rPr>
      </w:pPr>
      <w:r>
        <w:rPr>
          <w:rFonts w:ascii="Times New Roman" w:cs="Times New Roman" w:eastAsia="Times New Roman" w:hAnsi="Times New Roman"/>
          <w:sz w:val="22"/>
          <w:szCs w:val="22"/>
          <w:color w:val="auto"/>
        </w:rPr>
        <w:t>Strict laws and regulations in the United States and other countries prohibit the trading of securities based on material non-public information (also known as “</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color w:val="auto"/>
        </w:rPr>
        <w:t>”). In the United States, these laws are enforced by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and by criminal prosecutors at both the federal and state levels. These laws require that publicly traded companies adopt and communicate clear policies on insider trading.</w:t>
      </w:r>
    </w:p>
    <w:p>
      <w:pPr>
        <w:spacing w:after="0" w:line="174"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Adeia Inc. (together with its subsidiaries, “</w:t>
      </w:r>
      <w:r>
        <w:rPr>
          <w:rFonts w:ascii="Times New Roman" w:cs="Times New Roman" w:eastAsia="Times New Roman" w:hAnsi="Times New Roman"/>
          <w:sz w:val="22"/>
          <w:szCs w:val="22"/>
          <w:b w:val="1"/>
          <w:bCs w:val="1"/>
          <w:i w:val="1"/>
          <w:iCs w:val="1"/>
          <w:color w:val="auto"/>
        </w:rPr>
        <w:t>Adeia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 adopting this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to avoid even the appearance of improper conduct on the part of anyone employed by or associated with the Company with respect to insider trading. The Company will also be prohibited from trading at any time based upon material non-public information in any Company Securities. We have worked hard to establish our reputation for integrity and ethical conduct, and cannot afford to have it damaged.</w:t>
      </w:r>
    </w:p>
    <w:p>
      <w:pPr>
        <w:spacing w:after="0" w:line="173"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CONSEQUENCES</w:t>
      </w:r>
    </w:p>
    <w:p>
      <w:pPr>
        <w:spacing w:after="0" w:line="21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consequences of insider trading violations can be significant. For individuals who trade on inside information (or tip information to others):</w:t>
      </w:r>
    </w:p>
    <w:p>
      <w:pPr>
        <w:spacing w:after="0" w:line="158"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fine (no matter how small the profit) of up to $5 million; and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jail term of up to twenty years.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a company (as well as possibly any supervisory person) that fails to take appropriate steps to prevent illegal trading:</w:t>
      </w:r>
    </w:p>
    <w:p>
      <w:pPr>
        <w:spacing w:after="0" w:line="218" w:lineRule="exact"/>
        <w:rPr>
          <w:sz w:val="20"/>
          <w:szCs w:val="20"/>
          <w:color w:val="auto"/>
        </w:rPr>
      </w:pPr>
    </w:p>
    <w:p>
      <w:pPr>
        <w:ind w:left="1140" w:right="880" w:hanging="383"/>
        <w:spacing w:after="0" w:line="258" w:lineRule="auto"/>
        <w:tabs>
          <w:tab w:leader="none" w:pos="11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the greater of $1 million or three times the profit gained or loss avoided as a result of the employee’s violation; and</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penalty of up to $25 million.</w:t>
      </w:r>
    </w:p>
    <w:p>
      <w:pPr>
        <w:spacing w:after="0" w:line="206"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Moreover, if a director, officer, or employee violates this Policy, Company-imposed sanctions, including removal or dismissal for cause, could result. Needless to say, any of the above consequences, even an SEC investigation that does not result in prosecution, can tarnish one’s reputation, irreparably damage one’s career, and significantly hurt the reputation and future business prospects of the Company. Finally, remember that there are no limits on the size of a transaction that will trigger insider trading liability. In the past, relatively small trades have resulted in SEC investigations and lawsuits.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6" w:name="page97"/>
    <w:bookmarkEnd w:id="96"/>
    <w:p>
      <w:pPr>
        <w:ind w:left="760" w:hanging="752"/>
        <w:spacing w:after="0"/>
        <w:tabs>
          <w:tab w:leader="none" w:pos="7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w:t>
      </w:r>
    </w:p>
    <w:p>
      <w:pPr>
        <w:spacing w:after="0" w:line="204"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Coverage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Policy shall apply to all directors, officers, employees (including full- time employees and part-time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employees), temporary workers and consultants of the Company, to all persons living in their households and any other person or entity whose securities trading decisions are influenced or controlled by any of the foregoing. Persons subject to this Policy shall be responsible for ensuring that members of their households comply with this Policy. In addition, this Policy also prohibits the Company from trading based upon material non-public information in any Company Securities.</w:t>
      </w:r>
    </w:p>
    <w:p>
      <w:pPr>
        <w:spacing w:after="0" w:line="171" w:lineRule="exact"/>
        <w:rPr>
          <w:sz w:val="20"/>
          <w:szCs w:val="20"/>
          <w:color w:val="auto"/>
        </w:rPr>
      </w:pPr>
    </w:p>
    <w:p>
      <w:pPr>
        <w:ind w:right="120" w:firstLine="749"/>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General Prohibition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There will be no trading permitted at any time based upon material non-public information in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securities or any securities of other companies with which the Company does business (“</w:t>
      </w:r>
      <w:r>
        <w:rPr>
          <w:rFonts w:ascii="Times New Roman" w:cs="Times New Roman" w:eastAsia="Times New Roman" w:hAnsi="Times New Roman"/>
          <w:sz w:val="21"/>
          <w:szCs w:val="21"/>
          <w:b w:val="1"/>
          <w:bCs w:val="1"/>
          <w:i w:val="1"/>
          <w:iCs w:val="1"/>
          <w:color w:val="auto"/>
        </w:rPr>
        <w:t>Restricted Companies</w:t>
      </w:r>
      <w:r>
        <w:rPr>
          <w:rFonts w:ascii="Times New Roman" w:cs="Times New Roman" w:eastAsia="Times New Roman" w:hAnsi="Times New Roman"/>
          <w:sz w:val="21"/>
          <w:szCs w:val="21"/>
          <w:color w:val="auto"/>
        </w:rPr>
        <w:t>”).</w:t>
      </w:r>
    </w:p>
    <w:p>
      <w:pPr>
        <w:spacing w:after="0" w:line="128"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Additionally, the CFO or Chief Legal Officer may, at any time in their discretion, prohibit or restrict any or all of the Company’s directors, officers, employees, temporary workers and consultants (and members of their households) from trading in any Company securities, whether or not such persons are actually in possession of material non-public information.</w:t>
      </w:r>
    </w:p>
    <w:p>
      <w:pPr>
        <w:spacing w:after="0" w:line="167"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Directors, Officers and Certain Designated Employees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avoid even the appearance of impropriety, additional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restrictions on trading Company securities apply to directors, officers and certain designated employees who have regular access to material nonpublic information about the Company. These policies are set forth in the Company’s Addendum to the Insider Trading Policy, attached hereto (the “</w:t>
      </w:r>
      <w:r>
        <w:rPr>
          <w:rFonts w:ascii="Times New Roman" w:cs="Times New Roman" w:eastAsia="Times New Roman" w:hAnsi="Times New Roman"/>
          <w:sz w:val="22"/>
          <w:szCs w:val="22"/>
          <w:b w:val="1"/>
          <w:bCs w:val="1"/>
          <w:i w:val="1"/>
          <w:iCs w:val="1"/>
          <w:color w:val="auto"/>
        </w:rPr>
        <w:t>Addendum</w:t>
      </w:r>
      <w:r>
        <w:rPr>
          <w:rFonts w:ascii="Times New Roman" w:cs="Times New Roman" w:eastAsia="Times New Roman" w:hAnsi="Times New Roman"/>
          <w:sz w:val="22"/>
          <w:szCs w:val="22"/>
          <w:color w:val="auto"/>
        </w:rPr>
        <w:t>”). The Company will notify you if you are subject to the Addendum. The Addendum generally prohibits directors, officers and designated employees from trading in Company securities during blackout periods and, for directors and officers, requires pre-clearance for all transactions in Company securities.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Definitions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Terms used in this Policy are defined as set forth immediately below.</w:t>
      </w:r>
    </w:p>
    <w:p>
      <w:pPr>
        <w:spacing w:after="0" w:line="212" w:lineRule="exact"/>
        <w:rPr>
          <w:sz w:val="20"/>
          <w:szCs w:val="20"/>
          <w:color w:val="auto"/>
        </w:rPr>
      </w:pPr>
    </w:p>
    <w:p>
      <w:pPr>
        <w:ind w:left="1140" w:right="20" w:hanging="383"/>
        <w:spacing w:after="0" w:line="236" w:lineRule="auto"/>
        <w:tabs>
          <w:tab w:leader="none" w:pos="11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w:t>
      </w:r>
      <w:r>
        <w:rPr>
          <w:rFonts w:ascii="Times New Roman" w:cs="Times New Roman" w:eastAsia="Times New Roman" w:hAnsi="Times New Roman"/>
          <w:sz w:val="22"/>
          <w:szCs w:val="22"/>
          <w:color w:val="auto"/>
        </w:rPr>
        <w:t>. The definition of trading, for purposes of this Policy, shall include any purchase, sale, or hedging transaction, of any public or private security of the Company or of any of the Restricted Companies, effected through any worldwide market or exchange, including any derivatives market or exchange, enabling the purchase, sale or hedging of such securities. Trading does not include the exercise of compensatory stock options or purchases pursuant to the Company’s Employee Stock Purchase Plan (“</w:t>
      </w: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color w:val="auto"/>
        </w:rPr>
        <w:t>”), but does include any sale of shares acquired upon such exercise or purchase.</w:t>
      </w:r>
    </w:p>
    <w:p>
      <w:pPr>
        <w:spacing w:after="0" w:line="181" w:lineRule="exact"/>
        <w:rPr>
          <w:rFonts w:ascii="Times New Roman" w:cs="Times New Roman" w:eastAsia="Times New Roman" w:hAnsi="Times New Roman"/>
          <w:sz w:val="22"/>
          <w:szCs w:val="22"/>
          <w:color w:val="auto"/>
        </w:rPr>
      </w:pPr>
    </w:p>
    <w:p>
      <w:pPr>
        <w:ind w:left="1140" w:right="40" w:hanging="383"/>
        <w:spacing w:after="0" w:line="239" w:lineRule="auto"/>
        <w:tabs>
          <w:tab w:leader="none" w:pos="11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The definition of a security, for purposes of this Policy, shall include, but not be limited to, publicly and privately issued common stock, preferred stock, bonds and other debt securities, options to purchase common stock, convertible debentures and warrants, as well as derivative securities whether or not issued by the Company, such as exchange-traded put or call options or swaps relating to the Company’s securities.</w:t>
      </w:r>
    </w:p>
    <w:p>
      <w:pPr>
        <w:spacing w:after="0" w:line="180" w:lineRule="exact"/>
        <w:rPr>
          <w:rFonts w:ascii="Times New Roman" w:cs="Times New Roman" w:eastAsia="Times New Roman" w:hAnsi="Times New Roman"/>
          <w:sz w:val="22"/>
          <w:szCs w:val="22"/>
          <w:color w:val="auto"/>
        </w:rPr>
      </w:pPr>
    </w:p>
    <w:p>
      <w:pPr>
        <w:ind w:left="1140" w:hanging="383"/>
        <w:spacing w:after="0" w:line="233" w:lineRule="auto"/>
        <w:tabs>
          <w:tab w:leader="none" w:pos="11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The definition of material non-public information, for purposes of this Policy, shall be any information, favorable, non- favorable or otherwise, that a reasonable investor would consider important in making a decision to evaluate, purchase, hold or sell Company securities or the securities of Restricted Companies and which has not been publicly disclosed by the Company or Restricted Companies. Information is not necessarily public merely because it has been discussed in the press or on social media, which will sometimes report rumors. You should presume that information is nonpublic, unless it has been officially released by the Company. Depending on the facts and circumstances, information that could be considered material include, but are not limited to:</w:t>
      </w:r>
    </w:p>
    <w:p>
      <w:pPr>
        <w:spacing w:after="0" w:line="3"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projections of future earnings or losses or other unpublished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97" w:name="page98"/>
    <w:bookmarkEnd w:id="97"/>
    <w:p>
      <w:pPr>
        <w:ind w:left="743" w:hanging="369"/>
        <w:spacing w:after="0"/>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acquisition, joint venture or tender offer;</w:t>
      </w:r>
    </w:p>
    <w:p>
      <w:pPr>
        <w:spacing w:after="0" w:line="14" w:lineRule="exact"/>
        <w:rPr>
          <w:rFonts w:ascii="Times New Roman" w:cs="Times New Roman" w:eastAsia="Times New Roman" w:hAnsi="Times New Roman"/>
          <w:sz w:val="22"/>
          <w:szCs w:val="22"/>
          <w:color w:val="auto"/>
        </w:rPr>
      </w:pP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significant sale of assets or the disposition of a subsidiary;</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 or the declaration of a stock split or the offering of additional securities;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or initiation of, material litigation matters;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 of the Company or extraordinary management developments;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milestone achievements or non-achievements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discoveries or delays in new product introduction or development;</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with respect to licenses, contracts or intellectual property matters;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actions concerning products or potential products;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substantial customer, supplier, collaborator or partner;</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discoveries, or grants or allowances or disallowances of patents;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to raise additional capital through stock sales or otherwise;</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of product trials;</w:t>
      </w:r>
    </w:p>
    <w:p>
      <w:pPr>
        <w:ind w:left="743"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 or risk that may adversely impact the Company’s business, reputation or share value.</w:t>
      </w:r>
    </w:p>
    <w:p>
      <w:pPr>
        <w:ind w:left="743" w:right="80" w:hanging="369"/>
        <w:spacing w:after="0" w:line="230"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auditors or significant changes in accounting policies and practices that affect the financial results of the Company; and</w:t>
      </w:r>
    </w:p>
    <w:p>
      <w:pPr>
        <w:spacing w:after="0" w:line="1" w:lineRule="exact"/>
        <w:rPr>
          <w:rFonts w:ascii="Times New Roman" w:cs="Times New Roman" w:eastAsia="Times New Roman" w:hAnsi="Times New Roman"/>
          <w:sz w:val="22"/>
          <w:szCs w:val="22"/>
          <w:color w:val="auto"/>
        </w:rPr>
      </w:pPr>
    </w:p>
    <w:p>
      <w:pPr>
        <w:ind w:left="743" w:right="20" w:hanging="369"/>
        <w:spacing w:after="0" w:line="237" w:lineRule="auto"/>
        <w:tabs>
          <w:tab w:leader="none" w:pos="74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which could reasonably affect the price of any Company securities or the securities of any of the Restricted Companies.</w:t>
      </w:r>
    </w:p>
    <w:p>
      <w:pPr>
        <w:spacing w:after="0" w:line="178" w:lineRule="exact"/>
        <w:rPr>
          <w:rFonts w:ascii="Times New Roman" w:cs="Times New Roman" w:eastAsia="Times New Roman" w:hAnsi="Times New Roman"/>
          <w:sz w:val="22"/>
          <w:szCs w:val="22"/>
          <w:color w:val="auto"/>
        </w:rPr>
      </w:pPr>
    </w:p>
    <w:p>
      <w:pPr>
        <w:ind w:left="383" w:right="300" w:hanging="383"/>
        <w:spacing w:after="0" w:line="239" w:lineRule="auto"/>
        <w:tabs>
          <w:tab w:leader="none" w:pos="43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Companies</w:t>
      </w:r>
      <w:r>
        <w:rPr>
          <w:rFonts w:ascii="Times New Roman" w:cs="Times New Roman" w:eastAsia="Times New Roman" w:hAnsi="Times New Roman"/>
          <w:sz w:val="22"/>
          <w:szCs w:val="22"/>
          <w:color w:val="auto"/>
        </w:rPr>
        <w:t>. Restricted Companies include all significant collaborators, customers, partners, suppliers, competitors and other companies about which the Company’s directors, officers and employees have learned material non-public information during the course of performing their duties for the Company. Persons subject to this Policy who learn material non-public information about any Restricted</w:t>
      </w:r>
    </w:p>
    <w:p>
      <w:pPr>
        <w:spacing w:after="0" w:line="180" w:lineRule="exact"/>
        <w:rPr>
          <w:sz w:val="20"/>
          <w:szCs w:val="20"/>
          <w:color w:val="auto"/>
        </w:rPr>
      </w:pPr>
    </w:p>
    <w:p>
      <w:pPr>
        <w:ind w:left="383"/>
        <w:spacing w:after="0" w:line="282" w:lineRule="auto"/>
        <w:rPr>
          <w:sz w:val="20"/>
          <w:szCs w:val="20"/>
          <w:color w:val="auto"/>
        </w:rPr>
      </w:pPr>
      <w:r>
        <w:rPr>
          <w:rFonts w:ascii="Times New Roman" w:cs="Times New Roman" w:eastAsia="Times New Roman" w:hAnsi="Times New Roman"/>
          <w:sz w:val="21"/>
          <w:szCs w:val="21"/>
          <w:color w:val="auto"/>
        </w:rPr>
        <w:t>Company shall keep all such information confidential until it is disclosed publicly, and may not provide “investment tips” about such company or engage in any other action to take advantage of such confidential information.</w:t>
      </w:r>
    </w:p>
    <w:p>
      <w:pPr>
        <w:spacing w:after="0" w:line="135" w:lineRule="exact"/>
        <w:rPr>
          <w:sz w:val="20"/>
          <w:szCs w:val="20"/>
          <w:color w:val="auto"/>
        </w:rPr>
      </w:pPr>
    </w:p>
    <w:p>
      <w:pPr>
        <w:ind w:left="383" w:right="120" w:hanging="383"/>
        <w:spacing w:after="0" w:line="239" w:lineRule="auto"/>
        <w:tabs>
          <w:tab w:leader="none" w:pos="43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Tipping information to others</w:t>
      </w:r>
      <w:r>
        <w:rPr>
          <w:rFonts w:ascii="Times New Roman" w:cs="Times New Roman" w:eastAsia="Times New Roman" w:hAnsi="Times New Roman"/>
          <w:sz w:val="22"/>
          <w:szCs w:val="22"/>
          <w:color w:val="auto"/>
        </w:rPr>
        <w:t>. Persons subject to this Policy shall not disclose any material non-public information about the Company or any of the Restricted Companies to other persons. Liability in such cases can extend both to the “tippee” – the person to whom the insider disclosed inside information – and to the “tipper” – the insider himself. These penalties apply whether or not you derive any benefit from someone else’s actions.</w:t>
      </w:r>
    </w:p>
    <w:p>
      <w:pPr>
        <w:spacing w:after="0" w:line="180" w:lineRule="exact"/>
        <w:rPr>
          <w:rFonts w:ascii="Times New Roman" w:cs="Times New Roman" w:eastAsia="Times New Roman" w:hAnsi="Times New Roman"/>
          <w:sz w:val="22"/>
          <w:szCs w:val="22"/>
          <w:color w:val="auto"/>
        </w:rPr>
      </w:pPr>
    </w:p>
    <w:p>
      <w:pPr>
        <w:ind w:left="383" w:right="20" w:hanging="383"/>
        <w:spacing w:after="0" w:line="244" w:lineRule="auto"/>
        <w:tabs>
          <w:tab w:leader="none" w:pos="43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Emergency transactions</w:t>
      </w:r>
      <w:r>
        <w:rPr>
          <w:rFonts w:ascii="Times New Roman" w:cs="Times New Roman" w:eastAsia="Times New Roman" w:hAnsi="Times New Roman"/>
          <w:sz w:val="22"/>
          <w:szCs w:val="22"/>
          <w:color w:val="auto"/>
        </w:rPr>
        <w:t>. Transactions that may be necessary or justifiable for independent reasons (such as the need to raise money for an emergency expenditure) are no exception to this Policy. Even the appearance of an improper transaction must be avoided to preserve our reputation for adhering to the highest standards of conduct.</w:t>
      </w:r>
    </w:p>
    <w:p>
      <w:pPr>
        <w:spacing w:after="0" w:line="173" w:lineRule="exact"/>
        <w:rPr>
          <w:rFonts w:ascii="Times New Roman" w:cs="Times New Roman" w:eastAsia="Times New Roman" w:hAnsi="Times New Roman"/>
          <w:sz w:val="22"/>
          <w:szCs w:val="22"/>
          <w:color w:val="auto"/>
        </w:rPr>
      </w:pPr>
    </w:p>
    <w:p>
      <w:pPr>
        <w:jc w:val="both"/>
        <w:ind w:left="383" w:right="320" w:hanging="383"/>
        <w:spacing w:after="0" w:line="244" w:lineRule="auto"/>
        <w:tabs>
          <w:tab w:leader="none" w:pos="43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Twenty-twenty hindsight</w:t>
      </w:r>
      <w:r>
        <w:rPr>
          <w:rFonts w:ascii="Times New Roman" w:cs="Times New Roman" w:eastAsia="Times New Roman" w:hAnsi="Times New Roman"/>
          <w:sz w:val="22"/>
          <w:szCs w:val="22"/>
          <w:color w:val="auto"/>
        </w:rPr>
        <w:t>. Remember, if your securities transactions become the subject of scrutiny, they will be viewed after-the-fact with the benefit of twenty- twenty hindsight. As a result, before engaging in any transaction you should carefully consider how regulators and others might view your transaction in hindsight.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457835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0" w:right="339" w:bottom="1440" w:gutter="0" w:footer="0" w:header="0"/>
        </w:sectPr>
      </w:pPr>
    </w:p>
    <w:bookmarkStart w:id="98" w:name="page99"/>
    <w:bookmarkEnd w:id="98"/>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ADDITIONAL PROHIBITED TRANSACTIONS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Persons subject to this Policy shall also not engage in any of the following activities with respect to securities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82" w:lineRule="exact"/>
        <w:rPr>
          <w:sz w:val="20"/>
          <w:szCs w:val="20"/>
          <w:color w:val="auto"/>
        </w:rPr>
      </w:pPr>
    </w:p>
    <w:p>
      <w:pPr>
        <w:ind w:left="1140" w:right="60" w:hanging="383"/>
        <w:spacing w:after="0" w:line="244" w:lineRule="auto"/>
        <w:tabs>
          <w:tab w:leader="none" w:pos="119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Company stock on margin</w:t>
      </w:r>
      <w:r>
        <w:rPr>
          <w:rFonts w:ascii="Times New Roman" w:cs="Times New Roman" w:eastAsia="Times New Roman" w:hAnsi="Times New Roman"/>
          <w:sz w:val="22"/>
          <w:szCs w:val="22"/>
          <w:color w:val="auto"/>
        </w:rPr>
        <w:t>. This means borrowing from a brokerage firm, bank or other entity in order to purchase Company stock (other than in connection with a so-called “cashless” exercise of options under the Company’s stock plans).</w:t>
      </w:r>
    </w:p>
    <w:p>
      <w:pPr>
        <w:spacing w:after="0" w:line="173" w:lineRule="exact"/>
        <w:rPr>
          <w:rFonts w:ascii="Times New Roman" w:cs="Times New Roman" w:eastAsia="Times New Roman" w:hAnsi="Times New Roman"/>
          <w:sz w:val="22"/>
          <w:szCs w:val="22"/>
          <w:color w:val="auto"/>
        </w:rPr>
      </w:pPr>
    </w:p>
    <w:p>
      <w:pPr>
        <w:ind w:left="1140" w:hanging="383"/>
        <w:spacing w:after="0" w:line="244" w:lineRule="auto"/>
        <w:tabs>
          <w:tab w:leader="none" w:pos="119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Pledging the Company’s stock to secure margin or other loans</w:t>
      </w:r>
      <w:r>
        <w:rPr>
          <w:rFonts w:ascii="Times New Roman" w:cs="Times New Roman" w:eastAsia="Times New Roman" w:hAnsi="Times New Roman"/>
          <w:sz w:val="22"/>
          <w:szCs w:val="22"/>
          <w:color w:val="auto"/>
        </w:rPr>
        <w:t>. Pledging the Company’s stock as collateral to secure loans is prohibited. This prohibition means, among other things, that you cannot hold the Company’s stock in a “margin” account (which would allow you to borrow against your holdings to buy securities).</w:t>
      </w:r>
    </w:p>
    <w:p>
      <w:pPr>
        <w:spacing w:after="0" w:line="173" w:lineRule="exact"/>
        <w:rPr>
          <w:rFonts w:ascii="Times New Roman" w:cs="Times New Roman" w:eastAsia="Times New Roman" w:hAnsi="Times New Roman"/>
          <w:sz w:val="22"/>
          <w:szCs w:val="22"/>
          <w:color w:val="auto"/>
        </w:rPr>
      </w:pPr>
    </w:p>
    <w:p>
      <w:pPr>
        <w:ind w:left="1140" w:right="340" w:hanging="383"/>
        <w:spacing w:after="0" w:line="258" w:lineRule="auto"/>
        <w:tabs>
          <w:tab w:leader="none" w:pos="119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 of Company stock</w:t>
      </w:r>
      <w:r>
        <w:rPr>
          <w:rFonts w:ascii="Times New Roman" w:cs="Times New Roman" w:eastAsia="Times New Roman" w:hAnsi="Times New Roman"/>
          <w:sz w:val="22"/>
          <w:szCs w:val="22"/>
          <w:color w:val="auto"/>
        </w:rPr>
        <w:t>. This involves selling Company stock you do not currently own in the expectation that the price of the stock will fall, or as part of a hedge or arbitrage transaction.</w:t>
      </w:r>
    </w:p>
    <w:p>
      <w:pPr>
        <w:spacing w:after="0" w:line="158" w:lineRule="exact"/>
        <w:rPr>
          <w:rFonts w:ascii="Times New Roman" w:cs="Times New Roman" w:eastAsia="Times New Roman" w:hAnsi="Times New Roman"/>
          <w:sz w:val="22"/>
          <w:szCs w:val="22"/>
          <w:color w:val="auto"/>
        </w:rPr>
      </w:pPr>
    </w:p>
    <w:p>
      <w:pPr>
        <w:ind w:left="1140" w:right="580" w:hanging="383"/>
        <w:spacing w:after="0" w:line="244" w:lineRule="auto"/>
        <w:tabs>
          <w:tab w:leader="none" w:pos="119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Buying or selling put or call options on Company stock, or entering into other derivative contracts or hedging transactions</w:t>
      </w:r>
      <w:r>
        <w:rPr>
          <w:rFonts w:ascii="Times New Roman" w:cs="Times New Roman" w:eastAsia="Times New Roman" w:hAnsi="Times New Roman"/>
          <w:sz w:val="22"/>
          <w:szCs w:val="22"/>
          <w:color w:val="auto"/>
        </w:rPr>
        <w:t>. This includes options trading on any of the stock exchanges or futures exchanges, as well as customized derivative or hedging transactions with third parties.</w:t>
      </w:r>
    </w:p>
    <w:p>
      <w:pPr>
        <w:spacing w:after="0" w:line="173" w:lineRule="exact"/>
        <w:rPr>
          <w:rFonts w:ascii="Times New Roman" w:cs="Times New Roman" w:eastAsia="Times New Roman" w:hAnsi="Times New Roman"/>
          <w:sz w:val="22"/>
          <w:szCs w:val="22"/>
          <w:color w:val="auto"/>
        </w:rPr>
      </w:pPr>
    </w:p>
    <w:p>
      <w:pPr>
        <w:ind w:left="1140" w:right="200" w:hanging="383"/>
        <w:spacing w:after="0" w:line="239" w:lineRule="auto"/>
        <w:tabs>
          <w:tab w:leader="none" w:pos="119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Termination Transaction.</w:t>
      </w:r>
      <w:r>
        <w:rPr>
          <w:rFonts w:ascii="Times New Roman" w:cs="Times New Roman" w:eastAsia="Times New Roman" w:hAnsi="Times New Roman"/>
          <w:sz w:val="22"/>
          <w:szCs w:val="22"/>
          <w:color w:val="auto"/>
        </w:rPr>
        <w:t xml:space="preserve"> The Policy, and the Addendum, continue to apply to your transactions in Company securities even after you have terminated service as an employee, officer or director of the Company. If you are in possession of material nonpublic information when your service terminates, you may not trade in Company securities until that information has become public or is no longer material.</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Standing and Limit Orders.</w:t>
      </w:r>
      <w:r>
        <w:rPr>
          <w:rFonts w:ascii="Times New Roman" w:cs="Times New Roman" w:eastAsia="Times New Roman" w:hAnsi="Times New Roman"/>
          <w:sz w:val="22"/>
          <w:szCs w:val="22"/>
          <w:color w:val="auto"/>
        </w:rPr>
        <w:t xml:space="preserve"> You may not place standing or limit orders on Company securities.</w:t>
      </w:r>
    </w:p>
    <w:p>
      <w:pPr>
        <w:spacing w:after="0" w:line="202"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 AND COMMUNICATIONS WITH THE MEDIA</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Unauthorized disclosure of internal information relating to the Company (including information regarding new products,</w:t>
      </w:r>
    </w:p>
    <w:p>
      <w:pPr>
        <w:spacing w:after="0" w:line="26"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22"/>
          <w:szCs w:val="22"/>
          <w:color w:val="auto"/>
        </w:rPr>
        <w:t>the Company’s suppliers, customers or collaborators) could cause competitive harm to the Company and in some cases could result in liability for the Company.</w:t>
      </w:r>
    </w:p>
    <w:p>
      <w:pPr>
        <w:spacing w:after="0" w:line="178" w:lineRule="exact"/>
        <w:rPr>
          <w:sz w:val="20"/>
          <w:szCs w:val="20"/>
          <w:color w:val="auto"/>
        </w:rPr>
      </w:pPr>
    </w:p>
    <w:p>
      <w:pPr>
        <w:ind w:left="1140" w:right="420" w:hanging="383"/>
        <w:spacing w:after="0" w:line="238" w:lineRule="auto"/>
        <w:tabs>
          <w:tab w:leader="none" w:pos="11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Unauthorized disclosure</w:t>
      </w:r>
      <w:r>
        <w:rPr>
          <w:rFonts w:ascii="Times New Roman" w:cs="Times New Roman" w:eastAsia="Times New Roman" w:hAnsi="Times New Roman"/>
          <w:sz w:val="22"/>
          <w:szCs w:val="22"/>
          <w:color w:val="auto"/>
        </w:rPr>
        <w:t>. Company personnel should not disclose internal information about the Company with anyone outside the Company, except as required in the performance of regular duties for the Company. In this regard, Company employees are prohibited from posting internal information about the Company on a “bulletin board” on the Internet or communicating about the Company and its business in Internet-based “chat” rooms or “social networking” forums.</w:t>
      </w:r>
    </w:p>
    <w:p>
      <w:pPr>
        <w:spacing w:after="0" w:line="176" w:lineRule="exact"/>
        <w:rPr>
          <w:rFonts w:ascii="Times New Roman" w:cs="Times New Roman" w:eastAsia="Times New Roman" w:hAnsi="Times New Roman"/>
          <w:sz w:val="22"/>
          <w:szCs w:val="22"/>
          <w:color w:val="auto"/>
        </w:rPr>
      </w:pPr>
    </w:p>
    <w:p>
      <w:pPr>
        <w:ind w:left="1140" w:right="20" w:hanging="383"/>
        <w:spacing w:after="0" w:line="238" w:lineRule="auto"/>
        <w:tabs>
          <w:tab w:leader="none" w:pos="11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Communications with the media, securities analysts and investors</w:t>
      </w:r>
      <w:r>
        <w:rPr>
          <w:rFonts w:ascii="Times New Roman" w:cs="Times New Roman" w:eastAsia="Times New Roman" w:hAnsi="Times New Roman"/>
          <w:sz w:val="22"/>
          <w:szCs w:val="22"/>
          <w:color w:val="auto"/>
        </w:rPr>
        <w:t>. Communications on behalf of the Company with the media, securities analysts and investors must be made only by specifically designated representatives of the Company. Unless you have been expressly authorized to make such communications, if you receive any inquiry relating to the Company from the media, a securities analyst, stockholder or an investor, you should refer the inquiry to the CFO or Chief Legal Officer.</w:t>
      </w:r>
    </w:p>
    <w:p>
      <w:pPr>
        <w:spacing w:after="0" w:line="176" w:lineRule="exact"/>
        <w:rPr>
          <w:rFonts w:ascii="Times New Roman" w:cs="Times New Roman" w:eastAsia="Times New Roman" w:hAnsi="Times New Roman"/>
          <w:sz w:val="22"/>
          <w:szCs w:val="22"/>
          <w:color w:val="auto"/>
        </w:rPr>
      </w:pPr>
    </w:p>
    <w:p>
      <w:pPr>
        <w:ind w:left="1140" w:right="20" w:hanging="383"/>
        <w:spacing w:after="0" w:line="244" w:lineRule="auto"/>
        <w:tabs>
          <w:tab w:leader="none" w:pos="11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Rumors</w:t>
      </w:r>
      <w:r>
        <w:rPr>
          <w:rFonts w:ascii="Times New Roman" w:cs="Times New Roman" w:eastAsia="Times New Roman" w:hAnsi="Times New Roman"/>
          <w:sz w:val="22"/>
          <w:szCs w:val="22"/>
          <w:color w:val="auto"/>
        </w:rPr>
        <w:t>. Rumors concerning the business and affairs of the Company may circulate from time to time. Our general policy is not to comment upon those rumors. Individual employees should not comment on or respond to rumors and should refer any requests for comments or responses to the CFO or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9" w:name="page100"/>
    <w:bookmarkEnd w:id="99"/>
    <w:p>
      <w:pPr>
        <w:ind w:left="1140" w:right="40" w:hanging="383"/>
        <w:spacing w:after="0" w:line="239" w:lineRule="auto"/>
        <w:tabs>
          <w:tab w:leader="none" w:pos="119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Safeguarding confidential information</w:t>
      </w:r>
      <w:r>
        <w:rPr>
          <w:rFonts w:ascii="Times New Roman" w:cs="Times New Roman" w:eastAsia="Times New Roman" w:hAnsi="Times New Roman"/>
          <w:sz w:val="22"/>
          <w:szCs w:val="22"/>
          <w:color w:val="auto"/>
        </w:rPr>
        <w:t>. Care must be taken to safeguard the confidentiality of internal information. For example, take great care in discussing confidential information in places where you may be overheard by people who do not have a valid need to know such information, and do not share your computer or other account IDs and passwords with any other person.</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REPORTING VIOLATIONS / COMPANY ASSISTANCE</w:t>
      </w:r>
    </w:p>
    <w:p>
      <w:pPr>
        <w:spacing w:after="0" w:line="210"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You should refer suspected violations of this Policy to the CFO or Chief Legal Officer, or through the reporting procedures set forth in the Company’s Whistleblower Policy. In addition, if you:</w:t>
      </w:r>
    </w:p>
    <w:p>
      <w:pPr>
        <w:spacing w:after="0" w:line="158" w:lineRule="exact"/>
        <w:rPr>
          <w:sz w:val="20"/>
          <w:szCs w:val="20"/>
          <w:color w:val="auto"/>
        </w:rPr>
      </w:pPr>
    </w:p>
    <w:p>
      <w:pPr>
        <w:ind w:left="1140" w:right="440" w:hanging="383"/>
        <w:spacing w:after="0" w:line="258" w:lineRule="auto"/>
        <w:tabs>
          <w:tab w:leader="none" w:pos="11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material nonpublic information that you are not authorized to receive or that you do not need to know to perform your employment responsibilities; or</w:t>
      </w:r>
    </w:p>
    <w:p>
      <w:pPr>
        <w:spacing w:after="0" w:line="158" w:lineRule="exact"/>
        <w:rPr>
          <w:rFonts w:ascii="Times New Roman" w:cs="Times New Roman" w:eastAsia="Times New Roman" w:hAnsi="Times New Roman"/>
          <w:sz w:val="22"/>
          <w:szCs w:val="22"/>
          <w:color w:val="auto"/>
        </w:rPr>
      </w:pPr>
    </w:p>
    <w:p>
      <w:pPr>
        <w:ind w:left="1140" w:right="420" w:hanging="383"/>
        <w:spacing w:after="0" w:line="258" w:lineRule="auto"/>
        <w:tabs>
          <w:tab w:leader="none" w:pos="11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confidential information and are unsure if it is within the definition of material nonpublic information or whether its release might be contrary to a fiduciary or other duty or obligation,</w:t>
      </w:r>
    </w:p>
    <w:p>
      <w:pPr>
        <w:spacing w:after="0" w:line="158" w:lineRule="exact"/>
        <w:rPr>
          <w:sz w:val="20"/>
          <w:szCs w:val="20"/>
          <w:color w:val="auto"/>
        </w:rPr>
      </w:pPr>
    </w:p>
    <w:p>
      <w:pPr>
        <w:ind w:left="240" w:right="160"/>
        <w:spacing w:after="0" w:line="244" w:lineRule="auto"/>
        <w:rPr>
          <w:sz w:val="20"/>
          <w:szCs w:val="20"/>
          <w:color w:val="auto"/>
        </w:rPr>
      </w:pPr>
      <w:r>
        <w:rPr>
          <w:rFonts w:ascii="Times New Roman" w:cs="Times New Roman" w:eastAsia="Times New Roman" w:hAnsi="Times New Roman"/>
          <w:sz w:val="22"/>
          <w:szCs w:val="22"/>
          <w:color w:val="auto"/>
        </w:rPr>
        <w:t>you should not share it with anyone. To seek advice about what to do under those circumstances, you should contact the CFO or Chief Legal Officer. Consulting your colleagues may have the effect of exacerbating the problem, as containment of the information, until the legal implications of possessing it are determined, is critical.</w:t>
      </w:r>
    </w:p>
    <w:p>
      <w:pPr>
        <w:spacing w:after="0" w:line="173"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22"/>
          <w:szCs w:val="22"/>
          <w:color w:val="auto"/>
        </w:rPr>
        <w:t>Any person who has any questions about specific transactions may obtain additional guidance from the CFO or Chief Legal Officer.</w:t>
      </w:r>
    </w:p>
    <w:p>
      <w:pPr>
        <w:spacing w:after="0" w:line="158"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Remember, however, the ultimate responsibility for adhering to this Policy and avoiding improper transactions rests with you. In this regard, it is imperative that you use your best judgment. Any action on the part of the Company or any other employee pursuant to this policy (or otherwise) does not in any way constitute legal advice or insulate an individual from liability under applicable securities laws.</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RULE 10B5-1 TRADING PLANS</w:t>
      </w:r>
    </w:p>
    <w:p>
      <w:pPr>
        <w:spacing w:after="0" w:line="210"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Notwithstanding the prohibition against insider trading, SEC Rule 10b5-1 provides an affirmative defense against insider trading liability under Rule 10b5-1. A person subject to this Policy can rely on this defense and trade in Company securities, regardless of their awareness of inside information and without the restrictions of windows and blackout periods, if the transaction occurs pursuant to a pre-arranged written trading plan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that was entered into when the person was not in possession of material nonpublic information and that complies with the requirements of Rule 10b5-1.</w:t>
      </w:r>
    </w:p>
    <w:p>
      <w:pPr>
        <w:spacing w:after="0" w:line="17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21"/>
          <w:szCs w:val="21"/>
          <w:color w:val="auto"/>
        </w:rPr>
        <w:t>Employees may adopt Trading Plans with brokers that outline a pre-set plan for trading of the Company’s stock, including the exercise of options. Trading Plans are to be implemented only when the individual is not aware of any material non-public information and are required to be pre-cleared by the Chief Legal Officer or his designee prior to implementing a Trading Plan. The Chief Legal Officer is authorized to establish and update procedures as needed for obtaining pre-clearance of Trading Plans, and employees should contact the Chief Legal Officer to discuss such procedures before establishing a Trading Plan.</w:t>
      </w:r>
    </w:p>
    <w:p>
      <w:pPr>
        <w:spacing w:after="0" w:line="168" w:lineRule="exact"/>
        <w:rPr>
          <w:sz w:val="20"/>
          <w:szCs w:val="20"/>
          <w:color w:val="auto"/>
        </w:rPr>
      </w:pPr>
    </w:p>
    <w:p>
      <w:pPr>
        <w:ind w:right="440" w:firstLine="749"/>
        <w:spacing w:after="0" w:line="258" w:lineRule="auto"/>
        <w:rPr>
          <w:sz w:val="20"/>
          <w:szCs w:val="20"/>
          <w:color w:val="auto"/>
        </w:rPr>
      </w:pPr>
      <w:r>
        <w:rPr>
          <w:rFonts w:ascii="Times New Roman" w:cs="Times New Roman" w:eastAsia="Times New Roman" w:hAnsi="Times New Roman"/>
          <w:sz w:val="22"/>
          <w:szCs w:val="22"/>
          <w:color w:val="auto"/>
        </w:rPr>
        <w:t>The SEC’s rules contain certain requirements for Trading Plans in order to benefit from the Rule 10b5-1 affirmative defense. In general, these requirements include:</w:t>
      </w:r>
    </w:p>
    <w:p>
      <w:pPr>
        <w:spacing w:after="0" w:line="158" w:lineRule="exact"/>
        <w:rPr>
          <w:sz w:val="20"/>
          <w:szCs w:val="20"/>
          <w:color w:val="auto"/>
        </w:rPr>
      </w:pPr>
    </w:p>
    <w:p>
      <w:pPr>
        <w:ind w:left="1140" w:right="80" w:hanging="383"/>
        <w:spacing w:after="0" w:line="239" w:lineRule="auto"/>
        <w:tabs>
          <w:tab w:leader="none" w:pos="11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“cooling off” period between the establishment of a Trading Plan and the commencement of sales under the Trading Plan (the cooling off period is (1) for directors and officers (as defined in the Addendum), the greater of (x) 90 days and (y) two business days after the Form 10-Q or Form 10-K is filed for the quarter in which the plan is adopted (capped at 120 days) and (2) 30 days for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0" w:name="page101"/>
    <w:bookmarkEnd w:id="100"/>
    <w:p>
      <w:pPr>
        <w:ind w:left="1140" w:hanging="383"/>
        <w:spacing w:after="0"/>
        <w:tabs>
          <w:tab w:leader="none" w:pos="11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directors and officers, certain written certifications, including that they are not aware of MNPI;</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on overlapping plans for open market purchases or sales (subject to certain exceptions);</w:t>
      </w:r>
    </w:p>
    <w:p>
      <w:pPr>
        <w:spacing w:after="0" w:line="206" w:lineRule="exact"/>
        <w:rPr>
          <w:rFonts w:ascii="Times New Roman" w:cs="Times New Roman" w:eastAsia="Times New Roman" w:hAnsi="Times New Roman"/>
          <w:sz w:val="22"/>
          <w:szCs w:val="22"/>
          <w:color w:val="auto"/>
        </w:rPr>
      </w:pPr>
    </w:p>
    <w:p>
      <w:pPr>
        <w:ind w:left="1140" w:right="680" w:hanging="383"/>
        <w:spacing w:after="0" w:line="258" w:lineRule="auto"/>
        <w:tabs>
          <w:tab w:leader="none" w:pos="11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on more than one “single trade” plan during any consecutive 12-month period (subject to certain exceptions); and</w:t>
      </w:r>
    </w:p>
    <w:p>
      <w:pPr>
        <w:spacing w:after="0" w:line="158" w:lineRule="exact"/>
        <w:rPr>
          <w:rFonts w:ascii="Times New Roman" w:cs="Times New Roman" w:eastAsia="Times New Roman" w:hAnsi="Times New Roman"/>
          <w:sz w:val="22"/>
          <w:szCs w:val="22"/>
          <w:color w:val="auto"/>
        </w:rPr>
      </w:pPr>
    </w:p>
    <w:p>
      <w:pPr>
        <w:ind w:left="1140" w:right="160" w:hanging="383"/>
        <w:spacing w:after="0" w:line="258" w:lineRule="auto"/>
        <w:tabs>
          <w:tab w:leader="none" w:pos="11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must be entered into in good faith and not as a part of a plan or scheme to evade the SEC’s antifraud rules, and the individual must also act in good faith with respect to the Trading Plan.</w:t>
      </w:r>
    </w:p>
    <w:p>
      <w:pPr>
        <w:spacing w:after="0" w:line="15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In addition, any amendments to plans that involve changes to the amount, price or timing of the purchases or sales under the trading plan are deemed under the SEC rules to be a termination and adoption of a new plan, which triggers a new cooling-off period. All amendments, as well as all plan terminations, must be pre-cleared by the CFO and Chief Legal Officer. Each employee seeking to amend or terminate a Trading Plan must also contact the Chief Legal Officer to discuss the procedures for obtaining such pre-clearance. Regardless of pre-clearance of a Trading Plan, it is the responsibility of the individual to ensure that any Trading Plan (and any amendment or termination) complies with all applicable laws and contractual requirements, and the individual is solely responsible for ensuring that the Trading Plan complies with the requirements of the Rule 10b5-1 affirmative defense. Individuals should also understand that terminations of plans may not be permitted, depending on the circumstances of the termination, and that any plan termination may have an impact on subsequent plans. Also please note that the above is not a complete description of the requirements needed to meet the Rule 10b5-1 affirmative defense.</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VIII.</w:t>
        <w:tab/>
        <w:t>ACKNOWLEDGEMENTS</w:t>
      </w:r>
    </w:p>
    <w:p>
      <w:pPr>
        <w:spacing w:after="0" w:line="210" w:lineRule="exact"/>
        <w:rPr>
          <w:sz w:val="20"/>
          <w:szCs w:val="20"/>
          <w:color w:val="auto"/>
        </w:rPr>
      </w:pPr>
    </w:p>
    <w:p>
      <w:pPr>
        <w:ind w:right="680" w:firstLine="749"/>
        <w:spacing w:after="0" w:line="258" w:lineRule="auto"/>
        <w:rPr>
          <w:sz w:val="20"/>
          <w:szCs w:val="20"/>
          <w:color w:val="auto"/>
        </w:rPr>
      </w:pPr>
      <w:r>
        <w:rPr>
          <w:rFonts w:ascii="Times New Roman" w:cs="Times New Roman" w:eastAsia="Times New Roman" w:hAnsi="Times New Roman"/>
          <w:sz w:val="22"/>
          <w:szCs w:val="22"/>
          <w:color w:val="auto"/>
        </w:rPr>
        <w:t>All directors, officers, employees, and consultants will be required to acknowledge their understanding of, and an agreement to comply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ADEIA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ADDENDUM TO INSIDER TRADING POLICY</w:t>
      </w:r>
    </w:p>
    <w:p>
      <w:pPr>
        <w:spacing w:after="0" w:line="218" w:lineRule="exact"/>
        <w:rPr>
          <w:sz w:val="20"/>
          <w:szCs w:val="20"/>
          <w:color w:val="auto"/>
        </w:rPr>
      </w:pPr>
    </w:p>
    <w:p>
      <w:pPr>
        <w:ind w:right="100" w:firstLine="749"/>
        <w:spacing w:after="0" w:line="228" w:lineRule="auto"/>
        <w:rPr>
          <w:sz w:val="20"/>
          <w:szCs w:val="20"/>
          <w:color w:val="auto"/>
        </w:rPr>
      </w:pPr>
      <w:r>
        <w:rPr>
          <w:rFonts w:ascii="Times New Roman" w:cs="Times New Roman" w:eastAsia="Times New Roman" w:hAnsi="Times New Roman"/>
          <w:sz w:val="22"/>
          <w:szCs w:val="22"/>
          <w:color w:val="auto"/>
        </w:rPr>
        <w:t>This Addendum explains requirements and procedures, which apply to all directors and officers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(collectively, “</w:t>
      </w:r>
      <w:r>
        <w:rPr>
          <w:rFonts w:ascii="Times New Roman" w:cs="Times New Roman" w:eastAsia="Times New Roman" w:hAnsi="Times New Roman"/>
          <w:sz w:val="22"/>
          <w:szCs w:val="22"/>
          <w:b w:val="1"/>
          <w:bCs w:val="1"/>
          <w:i w:val="1"/>
          <w:i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16 Insiders</w:t>
      </w:r>
      <w:r>
        <w:rPr>
          <w:rFonts w:ascii="Times New Roman" w:cs="Times New Roman" w:eastAsia="Times New Roman" w:hAnsi="Times New Roman"/>
          <w:sz w:val="22"/>
          <w:szCs w:val="22"/>
          <w:color w:val="auto"/>
        </w:rPr>
        <w:t>”) subject to Section 16 of the Securities Exchange Act of 1934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as well as certain designated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employees (“</w:t>
      </w:r>
      <w:r>
        <w:rPr>
          <w:rFonts w:ascii="Times New Roman" w:cs="Times New Roman" w:eastAsia="Times New Roman" w:hAnsi="Times New Roman"/>
          <w:sz w:val="22"/>
          <w:szCs w:val="22"/>
          <w:b w:val="1"/>
          <w:bCs w:val="1"/>
          <w:i w:val="1"/>
          <w:iCs w:val="1"/>
          <w:color w:val="auto"/>
        </w:rPr>
        <w:t>Designated Employees</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Adeia Inc.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who have access to material nonpublic information about the Company, and is in addition to and supplements the Insider Trading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Please note that this Addendum applies to all Company securities which you hold or may acquire in the future. Those subject to this Addendum include spouses, minor children, adult family members sharing the same household and any other person or entity over whom the Section 16 Insider or Designated Employee exercises influence or control over his, her or its securities trading decisions (collectively, “</w:t>
      </w:r>
      <w:r>
        <w:rPr>
          <w:rFonts w:ascii="Times New Roman" w:cs="Times New Roman" w:eastAsia="Times New Roman" w:hAnsi="Times New Roman"/>
          <w:sz w:val="22"/>
          <w:szCs w:val="22"/>
          <w:b w:val="1"/>
          <w:bCs w:val="1"/>
          <w:i w:val="1"/>
          <w:iCs w:val="1"/>
          <w:color w:val="auto"/>
        </w:rPr>
        <w:t>Related Insiders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237426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40" w:lineRule="exact"/>
        <w:rPr>
          <w:sz w:val="20"/>
          <w:szCs w:val="20"/>
          <w:color w:val="auto"/>
        </w:rPr>
      </w:pPr>
    </w:p>
    <w:p>
      <w:pPr>
        <w:ind w:left="380" w:right="360" w:hanging="372"/>
        <w:spacing w:after="0" w:line="258"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who are subject to Section 16 include an issuer’s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 Officers of the issuer’s parent(s) or subsidiaries are deemed officers of the issuer if they perform such policy-making functions for the issuer.</w:t>
      </w:r>
    </w:p>
    <w:p>
      <w:pPr>
        <w:spacing w:after="0" w:line="17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Please read this Addendum carefully. When you have completed your review, please sign the attached acknowledgment form and return it to the Company’s Chief Legal Officer.</w:t>
      </w:r>
    </w:p>
    <w:p>
      <w:pPr>
        <w:spacing w:after="0" w:line="154"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PROCEDURES</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Section 16 Insiders (and Related Insiders), may not engage in any transaction involving the Company’s securities (including the exercise of stock options, gifts, loans, contributions to a trust or any other transfers) without first obtaining pre-clearance of the transaction from the Company’s Chief Legal Officer. Each proposed transaction will be evaluated to determine if it raises insider trading concerns or other concerns under federal laws and regulations. Any advice will relate solely to the restraints imposed by law and will not constitute advice regarding the investment aspects of any transaction. Clearance of a transaction must be re-requested if the transaction order is not placed within three trading days of obtaining pre-clearance. If clearance is denied, the fact of such denial must be kept confidential by the person requesting such clearance.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When requesting pre-clearance, the requestor should carefully consider whether he or she may be aware of any material nonpublic information about the Company, and should describe fully those circumstances to the Company’s Chief Legal Officer. The requestor should also indicate whether he or she has effected any non-exempt “opposite-way” transactions within the past six months, and should be prepared to report the proposed transaction on an appropriate</w:t>
      </w:r>
    </w:p>
    <w:p>
      <w:pPr>
        <w:spacing w:after="0" w:line="180"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Form 4 or 5, if applicable. The requestor should also be prepared to comply with SEC Rule 144 and file Form 144, if advisable, at the time of any sale.</w:t>
      </w:r>
    </w:p>
    <w:p>
      <w:pPr>
        <w:spacing w:after="0" w:line="15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21"/>
          <w:szCs w:val="21"/>
          <w:color w:val="auto"/>
        </w:rPr>
        <w:t>Notwithstanding the foregoing, pre-clearance is not required for any trades made pursuant to a pre-arranged Rule 10b5-1 Plan adopted in accordance with the requirements of the Insider Trading Policy. Pre-clearance is also not required for purchases under the employee stock purchase plan, receipt of option grants and the exercise of options unaccompanied by a sale.</w:t>
      </w:r>
    </w:p>
    <w:p>
      <w:pPr>
        <w:spacing w:after="0" w:line="153"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BLACKOUT PERIODS</w:t>
      </w:r>
    </w:p>
    <w:p>
      <w:pPr>
        <w:spacing w:after="0" w:line="210"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Section 16 Insiders and Designated Employees subject to this Addendum (and Related Insiders) are subject to the following blackout periods, during which they may not trade in the Company’s securities (except by means of pre-arranged Rule 10b5-1 Plans established in compliance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02" w:name="page103"/>
    <w:bookmarkEnd w:id="102"/>
    <w:p>
      <w:pPr>
        <w:ind w:right="100" w:firstLine="749"/>
        <w:spacing w:after="0" w:line="221" w:lineRule="auto"/>
        <w:rPr>
          <w:sz w:val="20"/>
          <w:szCs w:val="20"/>
          <w:color w:val="auto"/>
        </w:rPr>
      </w:pPr>
      <w:r>
        <w:rPr>
          <w:rFonts w:ascii="Times New Roman" w:cs="Times New Roman" w:eastAsia="Times New Roman" w:hAnsi="Times New Roman"/>
          <w:sz w:val="22"/>
          <w:szCs w:val="22"/>
          <w:b w:val="1"/>
          <w:bCs w:val="1"/>
          <w:i w:val="1"/>
          <w:iCs w:val="1"/>
          <w:color w:val="auto"/>
        </w:rPr>
        <w:t>Quarterly Blackout</w:t>
      </w:r>
      <w:r>
        <w:rPr>
          <w:rFonts w:ascii="Times New Roman" w:cs="Times New Roman" w:eastAsia="Times New Roman" w:hAnsi="Times New Roman"/>
          <w:sz w:val="22"/>
          <w:szCs w:val="22"/>
          <w:color w:val="auto"/>
        </w:rPr>
        <w:t>. Because the announcement of the Company’s quarterly financial results will almost always have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potential to have a material effect on the market for the Company’s securities, you may not trade in the Company’s securities during the period beginning at 5:00 pm Eastern Time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last month of the quarter (or if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such month falls on a weekend or holiday, after market on the last Trading Day before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and ending one full Trading Day following the release of the Company’s earnings for that quarter. The definition of “Trading Day,” for purposes of this Policy, shall be any day that the New York Stock Exchange is open.</w:t>
      </w:r>
    </w:p>
    <w:p>
      <w:pPr>
        <w:spacing w:after="0" w:line="176"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Interim Earnings Guidance Blackout</w:t>
      </w:r>
      <w:r>
        <w:rPr>
          <w:rFonts w:ascii="Times New Roman" w:cs="Times New Roman" w:eastAsia="Times New Roman" w:hAnsi="Times New Roman"/>
          <w:sz w:val="22"/>
          <w:szCs w:val="22"/>
          <w:color w:val="auto"/>
        </w:rPr>
        <w:t>. The Company may on occasion issue interim earnings guidance or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w:t>
      </w:r>
    </w:p>
    <w:p>
      <w:pPr>
        <w:spacing w:after="0" w:line="171"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Event-Specific Blackout</w:t>
      </w:r>
      <w:r>
        <w:rPr>
          <w:rFonts w:ascii="Times New Roman" w:cs="Times New Roman" w:eastAsia="Times New Roman" w:hAnsi="Times New Roman"/>
          <w:sz w:val="22"/>
          <w:szCs w:val="22"/>
          <w:color w:val="auto"/>
        </w:rPr>
        <w:t>. From time to time, an event may occur that is material to the Company and is known by only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few directors, officers and/or employees. The existence of an event-specific blackout will not be announced. If, however, a person whose trades are subject to pre-clearance requests permission to trade in the Company’s securities during an event-specific blackout, the Chief Legal Officer will inform the requesting person of the existence of a blackout period, without disclosing the reason for the blackout. Any person made aware of the existence of an event-specific blackout should not disclose the existence of the blackout to any other person.</w:t>
      </w:r>
    </w:p>
    <w:p>
      <w:pPr>
        <w:spacing w:after="0" w:line="177" w:lineRule="exact"/>
        <w:rPr>
          <w:sz w:val="20"/>
          <w:szCs w:val="20"/>
          <w:color w:val="auto"/>
        </w:rPr>
      </w:pPr>
    </w:p>
    <w:p>
      <w:pPr>
        <w:ind w:right="560"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 if a blackout period is not in effect, at no time may you trade in Company securities if you are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material nonpublic information about the Company. Do not assume that the Company will notify you when it believes you are in possession of inside information. The law states that you may not trade while in the possession of inside information.</w:t>
      </w:r>
    </w:p>
    <w:p>
      <w:pPr>
        <w:spacing w:after="0" w:line="172"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AND FORM FILING REQUIREMENTS</w:t>
      </w:r>
    </w:p>
    <w:p>
      <w:pPr>
        <w:spacing w:after="0" w:line="21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Under Section 16(a) of the Exchange Act, directors and officers of the Company must file forms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disclosing their direct and indirect pecuniary interest in most transactions involving the Company’s equity securities. In</w:t>
      </w:r>
    </w:p>
    <w:p>
      <w:pPr>
        <w:spacing w:after="0" w:line="167"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this context, “</w:t>
      </w:r>
      <w:r>
        <w:rPr>
          <w:rFonts w:ascii="Times New Roman" w:cs="Times New Roman" w:eastAsia="Times New Roman" w:hAnsi="Times New Roman"/>
          <w:sz w:val="22"/>
          <w:szCs w:val="22"/>
          <w:b w:val="1"/>
          <w:bCs w:val="1"/>
          <w:i w:val="1"/>
          <w:iCs w:val="1"/>
          <w:color w:val="auto"/>
        </w:rPr>
        <w:t>equity securities</w:t>
      </w:r>
      <w:r>
        <w:rPr>
          <w:rFonts w:ascii="Times New Roman" w:cs="Times New Roman" w:eastAsia="Times New Roman" w:hAnsi="Times New Roman"/>
          <w:sz w:val="22"/>
          <w:szCs w:val="22"/>
          <w:color w:val="auto"/>
        </w:rPr>
        <w:t>” of the Company include shares of the classes of equity securities created under the Company’s governing documents, such as common stock, as well as any securities (regardless of whether issued by the Company) that are exchangeable for or convertible into, or that derive their value from, an equity security of the Company. These other securities are known as “</w:t>
      </w:r>
      <w:r>
        <w:rPr>
          <w:rFonts w:ascii="Times New Roman" w:cs="Times New Roman" w:eastAsia="Times New Roman" w:hAnsi="Times New Roman"/>
          <w:sz w:val="22"/>
          <w:szCs w:val="22"/>
          <w:b w:val="1"/>
          <w:bCs w:val="1"/>
          <w:i w:val="1"/>
          <w:iCs w:val="1"/>
          <w:color w:val="auto"/>
        </w:rPr>
        <w:t>derivative securities</w:t>
      </w:r>
      <w:r>
        <w:rPr>
          <w:rFonts w:ascii="Times New Roman" w:cs="Times New Roman" w:eastAsia="Times New Roman" w:hAnsi="Times New Roman"/>
          <w:sz w:val="22"/>
          <w:szCs w:val="22"/>
          <w:color w:val="auto"/>
        </w:rPr>
        <w:t>,” and include options, restricted share units, warrants, convertible securities and stock appreciation rights.</w:t>
      </w:r>
    </w:p>
    <w:p>
      <w:pPr>
        <w:spacing w:after="0" w:line="171" w:lineRule="exact"/>
        <w:rPr>
          <w:sz w:val="20"/>
          <w:szCs w:val="20"/>
          <w:color w:val="auto"/>
        </w:rPr>
      </w:pPr>
    </w:p>
    <w:p>
      <w:pPr>
        <w:ind w:left="1180" w:hanging="423"/>
        <w:spacing w:after="0"/>
        <w:tabs>
          <w:tab w:leader="none" w:pos="118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Forms 3, 4 and 5</w:t>
      </w:r>
    </w:p>
    <w:p>
      <w:pPr>
        <w:spacing w:after="0" w:line="21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Company will assist directors and officers in preparing and filing the following Section 16 reports but each individual director and officer is responsible for the timing and contents of his or her reports:</w:t>
      </w:r>
    </w:p>
    <w:p>
      <w:pPr>
        <w:spacing w:after="0" w:line="152" w:lineRule="exact"/>
        <w:rPr>
          <w:sz w:val="20"/>
          <w:szCs w:val="20"/>
          <w:color w:val="auto"/>
        </w:rPr>
      </w:pPr>
    </w:p>
    <w:p>
      <w:pPr>
        <w:ind w:left="1140" w:right="160" w:hanging="383"/>
        <w:spacing w:after="0" w:line="241" w:lineRule="auto"/>
        <w:tabs>
          <w:tab w:leader="none" w:pos="119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Initial Beneficial Ownership Statement</w:t>
      </w:r>
      <w:r>
        <w:rPr>
          <w:rFonts w:ascii="Times New Roman" w:cs="Times New Roman" w:eastAsia="Times New Roman" w:hAnsi="Times New Roman"/>
          <w:sz w:val="22"/>
          <w:szCs w:val="22"/>
          <w:color w:val="auto"/>
        </w:rPr>
        <w:t>. A person who becomes a director or officer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file a Form 3 within 10 calendar days of becoming a director or officer, even if such person does not own any Company equity securities at the time. The Form 3 must disclose such person’s position and ownership of any Company equity securities as of immediately prior to assuming office.</w:t>
      </w:r>
    </w:p>
    <w:p>
      <w:pPr>
        <w:spacing w:after="0" w:line="171" w:lineRule="exact"/>
        <w:rPr>
          <w:rFonts w:ascii="Times New Roman" w:cs="Times New Roman" w:eastAsia="Times New Roman" w:hAnsi="Times New Roman"/>
          <w:sz w:val="22"/>
          <w:szCs w:val="22"/>
          <w:color w:val="auto"/>
        </w:rPr>
      </w:pPr>
    </w:p>
    <w:p>
      <w:pPr>
        <w:jc w:val="both"/>
        <w:ind w:left="1140" w:right="40" w:hanging="383"/>
        <w:spacing w:after="0" w:line="247" w:lineRule="auto"/>
        <w:tabs>
          <w:tab w:leader="none" w:pos="119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Changes of Beneficial Ownership Statement</w:t>
      </w:r>
      <w:r>
        <w:rPr>
          <w:rFonts w:ascii="Times New Roman" w:cs="Times New Roman" w:eastAsia="Times New Roman" w:hAnsi="Times New Roman"/>
          <w:sz w:val="22"/>
          <w:szCs w:val="22"/>
          <w:color w:val="auto"/>
        </w:rPr>
        <w:t>. As long as a person remains a director or officer, and for 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six months after a person no longer holds such a position with the Company, a Form 4 must be filed with the SEC before 10:00 p.m., Eastern, on the second business day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03" w:name="page104"/>
    <w:bookmarkEnd w:id="103"/>
    <w:p>
      <w:pPr>
        <w:ind w:left="1140" w:right="740"/>
        <w:spacing w:after="0" w:line="258" w:lineRule="auto"/>
        <w:rPr>
          <w:sz w:val="20"/>
          <w:szCs w:val="20"/>
          <w:color w:val="auto"/>
        </w:rPr>
      </w:pPr>
      <w:r>
        <w:rPr>
          <w:rFonts w:ascii="Times New Roman" w:cs="Times New Roman" w:eastAsia="Times New Roman" w:hAnsi="Times New Roman"/>
          <w:sz w:val="22"/>
          <w:szCs w:val="22"/>
          <w:color w:val="auto"/>
        </w:rPr>
        <w:t>any transaction or gift by that person, whether directly or indirectly, in Company equity securities. There are exceptions to this requirement for a very limited class of employee benefit plan transactions.</w:t>
      </w:r>
    </w:p>
    <w:p>
      <w:pPr>
        <w:spacing w:after="0" w:line="152" w:lineRule="exact"/>
        <w:rPr>
          <w:sz w:val="20"/>
          <w:szCs w:val="20"/>
          <w:color w:val="auto"/>
        </w:rPr>
      </w:pPr>
    </w:p>
    <w:p>
      <w:pPr>
        <w:ind w:left="1140" w:right="340" w:hanging="383"/>
        <w:spacing w:after="0" w:line="264" w:lineRule="auto"/>
        <w:tabs>
          <w:tab w:leader="none" w:pos="119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Annual Beneficial Ownership Statement</w:t>
      </w:r>
      <w:r>
        <w:rPr>
          <w:rFonts w:ascii="Times New Roman" w:cs="Times New Roman" w:eastAsia="Times New Roman" w:hAnsi="Times New Roman"/>
          <w:sz w:val="22"/>
          <w:szCs w:val="22"/>
          <w:color w:val="auto"/>
        </w:rPr>
        <w:t>. A Form 5 must be filed with the SEC by any individual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served as a director or officer of the Company during any part of the Company’s fiscal year to report:</w:t>
      </w:r>
    </w:p>
    <w:p>
      <w:pPr>
        <w:spacing w:after="0" w:line="151" w:lineRule="exact"/>
        <w:rPr>
          <w:rFonts w:ascii="Times New Roman" w:cs="Times New Roman" w:eastAsia="Times New Roman" w:hAnsi="Times New Roman"/>
          <w:sz w:val="22"/>
          <w:szCs w:val="22"/>
          <w:color w:val="auto"/>
        </w:rPr>
      </w:pPr>
    </w:p>
    <w:p>
      <w:pPr>
        <w:ind w:left="1500" w:right="120" w:hanging="369"/>
        <w:spacing w:after="0" w:line="258" w:lineRule="auto"/>
        <w:tabs>
          <w:tab w:leader="none" w:pos="15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reportable transactions in Company equity securities that were specifically eligible for deferred reporting on Form 5;</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that should have been reported during the last fiscal year but were not; and</w:t>
      </w:r>
    </w:p>
    <w:p>
      <w:pPr>
        <w:spacing w:after="0" w:line="206" w:lineRule="exact"/>
        <w:rPr>
          <w:rFonts w:ascii="Times New Roman" w:cs="Times New Roman" w:eastAsia="Times New Roman" w:hAnsi="Times New Roman"/>
          <w:sz w:val="22"/>
          <w:szCs w:val="22"/>
          <w:color w:val="auto"/>
        </w:rPr>
      </w:pPr>
    </w:p>
    <w:p>
      <w:pPr>
        <w:ind w:left="1500" w:right="280" w:hanging="369"/>
        <w:spacing w:after="0" w:line="258" w:lineRule="auto"/>
        <w:tabs>
          <w:tab w:leader="none" w:pos="15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individual’s first Form 5, all transactions which should have been reported but were not for the last two fiscal years.</w:t>
      </w:r>
    </w:p>
    <w:p>
      <w:pPr>
        <w:spacing w:after="0" w:line="158" w:lineRule="exact"/>
        <w:rPr>
          <w:sz w:val="20"/>
          <w:szCs w:val="20"/>
          <w:color w:val="auto"/>
        </w:rPr>
      </w:pPr>
    </w:p>
    <w:p>
      <w:pPr>
        <w:jc w:val="both"/>
        <w:ind w:right="360" w:firstLine="749"/>
        <w:spacing w:after="0" w:line="261" w:lineRule="auto"/>
        <w:rPr>
          <w:sz w:val="20"/>
          <w:szCs w:val="20"/>
          <w:color w:val="auto"/>
        </w:rPr>
      </w:pPr>
      <w:r>
        <w:rPr>
          <w:rFonts w:ascii="Times New Roman" w:cs="Times New Roman" w:eastAsia="Times New Roman" w:hAnsi="Times New Roman"/>
          <w:sz w:val="21"/>
          <w:szCs w:val="21"/>
          <w:color w:val="auto"/>
        </w:rPr>
        <w:t xml:space="preserve">A Form 5 need not be filed if all transactions otherwise reportable have been previously reported. If required, Form 5 must be filed within 45 days after the end of the Company’s fiscal year,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February 14 for calendar-year companies, or the first business day thereafter. Common types of transactions reportable on Form 5 include certain acquisitions of less than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$10,000 in any six-month period, which may be reported on a voluntary basis on any Form 4 filed before the Form 5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due.</w:t>
      </w:r>
    </w:p>
    <w:p>
      <w:pPr>
        <w:spacing w:after="0" w:line="176" w:lineRule="exact"/>
        <w:rPr>
          <w:sz w:val="20"/>
          <w:szCs w:val="20"/>
          <w:color w:val="auto"/>
        </w:rPr>
      </w:pPr>
    </w:p>
    <w:p>
      <w:pPr>
        <w:ind w:left="1180" w:hanging="423"/>
        <w:spacing w:after="0"/>
        <w:tabs>
          <w:tab w:leader="none" w:pos="11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Indirect Ownership by Related Insiders</w:t>
      </w:r>
    </w:p>
    <w:p>
      <w:pPr>
        <w:spacing w:after="0" w:line="21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The reports described above must also reflect any indirect ownership by directors and officers, including all holdings and transactions by Related Insiders. This includes changes in ownership by immediate family members living in the director’s officer’s household and any other person or entity over whom the individual exercises influence or control over his, her or its securities trading decisions. For this purpose, “</w:t>
      </w:r>
      <w:r>
        <w:rPr>
          <w:rFonts w:ascii="Times New Roman" w:cs="Times New Roman" w:eastAsia="Times New Roman" w:hAnsi="Times New Roman"/>
          <w:sz w:val="22"/>
          <w:szCs w:val="22"/>
          <w:b w:val="1"/>
          <w:bCs w:val="1"/>
          <w:i w:val="1"/>
          <w:iCs w:val="1"/>
          <w:color w:val="auto"/>
        </w:rPr>
        <w:t>immediate family</w:t>
      </w:r>
      <w:r>
        <w:rPr>
          <w:rFonts w:ascii="Times New Roman" w:cs="Times New Roman" w:eastAsia="Times New Roman" w:hAnsi="Times New Roman"/>
          <w:sz w:val="22"/>
          <w:szCs w:val="22"/>
          <w:color w:val="auto"/>
        </w:rPr>
        <w:t>” includes a spouse, children, stepchildren, grandchildren, parents, grandparents, stepparents and siblings, including in-laws and adoptive relationships.</w:t>
      </w:r>
    </w:p>
    <w:p>
      <w:pPr>
        <w:spacing w:after="0" w:line="173"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Any questions concerning whether a particular transaction will necessitate filing of one of these Forms, or how or when they should be completed should be asked of the Company’s Chief Legal Officer, or, if you prefer, your individual legal counsel. </w:t>
      </w:r>
      <w:r>
        <w:rPr>
          <w:rFonts w:ascii="Times New Roman" w:cs="Times New Roman" w:eastAsia="Times New Roman" w:hAnsi="Times New Roman"/>
          <w:sz w:val="22"/>
          <w:szCs w:val="22"/>
          <w:b w:val="1"/>
          <w:bCs w:val="1"/>
          <w:i w:val="1"/>
          <w:iCs w:val="1"/>
          <w:color w:val="auto"/>
        </w:rPr>
        <w:t>The Company must disclose in its annual report on Form 10-K and in its proxy statement any delinquent filings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of Forms 3, 4 or 5 by directors and officers, and must post on its website, by the end of the business day after filing with the SEC, any Forms 3, 4 and 5 relating to the Company’s securities.</w:t>
      </w:r>
    </w:p>
    <w:p>
      <w:pPr>
        <w:spacing w:after="0" w:line="175" w:lineRule="exact"/>
        <w:rPr>
          <w:sz w:val="20"/>
          <w:szCs w:val="20"/>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Reporting Exemptions for Certain Employee Benefit Plan Transactions</w:t>
      </w:r>
    </w:p>
    <w:p>
      <w:pPr>
        <w:spacing w:after="0" w:line="212"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Rule 16b-3 under the Exchange Act provides exemptions for director and officer reporting of certain employee benefit plan events on Forms 4 and 5, including certain routine transactions under tax-conditioned thrift, stock purchase and excess benefit plans.</w:t>
      </w:r>
    </w:p>
    <w:p>
      <w:pPr>
        <w:spacing w:after="0" w:line="173"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A transaction that results only in a change in the form of a person’s beneficial ownership is also exempt from reporting. An exempt “change in the form of beneficial ownership” would include, for example, a distribution of benefit plan securities to an insider participant where the securities were previously attributable to the insider. Exercises or conversions of derivative securities would not, however, be considered mere changes in beneficial ownership and would be reportable.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4" w:name="page105"/>
    <w:bookmarkEnd w:id="104"/>
    <w:p>
      <w:pPr>
        <w:ind w:right="600" w:firstLine="749"/>
        <w:spacing w:after="0" w:line="282" w:lineRule="auto"/>
        <w:rPr>
          <w:sz w:val="20"/>
          <w:szCs w:val="20"/>
          <w:color w:val="auto"/>
        </w:rPr>
      </w:pPr>
      <w:r>
        <w:rPr>
          <w:rFonts w:ascii="Times New Roman" w:cs="Times New Roman" w:eastAsia="Times New Roman" w:hAnsi="Times New Roman"/>
          <w:sz w:val="21"/>
          <w:szCs w:val="21"/>
          <w:color w:val="auto"/>
        </w:rPr>
        <w:t>The vesting of most stock options, restricted stock and stock appreciation rights is also not subject to the reporting requirements, although related share-withholding transactions, if any, would give rise to Form 4 reporting obligations.</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SHORT-SWING TRADING PROFITS AND SHORT SALES</w:t>
      </w:r>
    </w:p>
    <w:p>
      <w:pPr>
        <w:spacing w:after="0" w:line="204" w:lineRule="exact"/>
        <w:rPr>
          <w:sz w:val="20"/>
          <w:szCs w:val="20"/>
          <w:color w:val="auto"/>
        </w:rPr>
      </w:pPr>
    </w:p>
    <w:p>
      <w:pPr>
        <w:ind w:left="1180" w:hanging="423"/>
        <w:spacing w:after="0"/>
        <w:tabs>
          <w:tab w:leader="none" w:pos="11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Short-Swing Trading Profits</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order to discourage directors and officers from profiting through short-term trading transactions in equity securities of the Company, Section 16(b) of the Exchange Act requires that any “short-swing profits” be disgorged to the Company. (This is in addition to the reporting requirements described above.)</w:t>
      </w:r>
    </w:p>
    <w:p>
      <w:pPr>
        <w:spacing w:after="0" w:line="167"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Short-swing profits</w:t>
      </w:r>
      <w:r>
        <w:rPr>
          <w:rFonts w:ascii="Times New Roman" w:cs="Times New Roman" w:eastAsia="Times New Roman" w:hAnsi="Times New Roman"/>
          <w:sz w:val="21"/>
          <w:szCs w:val="21"/>
          <w:color w:val="auto"/>
        </w:rPr>
        <w:t>” are the profits, whether real or notional, that result from any purchase and sale (or sale and purchase) of the Company’s equity securities within a six-month period, unless there is an applicable exemption for either transaction. It is important to note that this rule applies to any matched transactions in the Company’s securities (including derivative securities), not only a purchase and sale (or sale and purchase) of the same shares, or even of the same class of securities. Furthermore, pursuant to the SEC’s rules, profit is determined so as to maximize the amount that the director or officer must disgorge, and this amount may not be offset by any losses realized. “Short-swing profits” may exceed economic profits.</w:t>
      </w:r>
    </w:p>
    <w:p>
      <w:pPr>
        <w:spacing w:after="0" w:line="165" w:lineRule="exact"/>
        <w:rPr>
          <w:sz w:val="20"/>
          <w:szCs w:val="20"/>
          <w:color w:val="auto"/>
        </w:rPr>
      </w:pPr>
    </w:p>
    <w:p>
      <w:pPr>
        <w:ind w:left="1180" w:hanging="423"/>
        <w:spacing w:after="0"/>
        <w:tabs>
          <w:tab w:leader="none" w:pos="118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Short-Swing Exemptions for Employee Benefit Plan Transactions</w:t>
      </w:r>
    </w:p>
    <w:p>
      <w:pPr>
        <w:spacing w:after="0" w:line="212"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As indicated, to come within the short-swing rules, a purchase and sale (or sale and purchase) within any period of less than six months are matched to determine whether a director or officer has realized profit subject to the short-swing profit rule described above, but Rule 16b- 3 creates an exemption for, or permits the Company’s board of directors or a qualifying committee to exempt, certain transactions between (i) a director or officer and (ii) the Company or certain benefit plans sponsored by the Company.</w:t>
      </w:r>
    </w:p>
    <w:p>
      <w:pPr>
        <w:spacing w:after="0" w:line="177" w:lineRule="exact"/>
        <w:rPr>
          <w:sz w:val="20"/>
          <w:szCs w:val="20"/>
          <w:color w:val="auto"/>
        </w:rPr>
      </w:pPr>
    </w:p>
    <w:p>
      <w:pPr>
        <w:ind w:right="460" w:firstLine="749"/>
        <w:spacing w:after="0" w:line="244" w:lineRule="auto"/>
        <w:rPr>
          <w:sz w:val="20"/>
          <w:szCs w:val="20"/>
          <w:color w:val="auto"/>
        </w:rPr>
      </w:pPr>
      <w:r>
        <w:rPr>
          <w:rFonts w:ascii="Times New Roman" w:cs="Times New Roman" w:eastAsia="Times New Roman" w:hAnsi="Times New Roman"/>
          <w:sz w:val="22"/>
          <w:szCs w:val="22"/>
          <w:color w:val="auto"/>
        </w:rPr>
        <w:t>Under this Rule certain transactions involving acquisitions of equity securities under employee benefit plans are not counted as “purchases” for purposes of the short-swing profit rule, provided that the benefit plan meets various statutory requirements.</w:t>
      </w:r>
    </w:p>
    <w:p>
      <w:pPr>
        <w:spacing w:after="0" w:line="169" w:lineRule="exact"/>
        <w:rPr>
          <w:sz w:val="20"/>
          <w:szCs w:val="20"/>
          <w:color w:val="auto"/>
        </w:rPr>
      </w:pPr>
    </w:p>
    <w:p>
      <w:pPr>
        <w:ind w:left="760" w:hanging="752"/>
        <w:spacing w:after="0"/>
        <w:tabs>
          <w:tab w:leader="none" w:pos="7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LIMITATIONS AND REQUIREMENTS ON RESALES OF THE COMPANY’S SECURITIES</w:t>
      </w: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The Securities Act requires that securities may be sold only pursuant to an effective registration statement or an</w:t>
      </w:r>
    </w:p>
    <w:p>
      <w:pPr>
        <w:spacing w:after="0" w:line="2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exemption from the registration requirements. Directors and certain officers who are (or were within the prior 90 days) affiliates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of the Company and who wish to sell Company securities may seek a “safe harbor” for their sales to establish an exemption from such registration requirements by complying with the conditions of Rule 144 applicable to affiliates.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under Rule 144 are broadly defined to include all securities, not just equity securities. The Rule 144 safe harbor is available not only to sales of common and preferred stock, but also to sales of bonds, debentures and any other form of security. Affiliates and others who seek to sell securities acquired directly from the Company or a Company affiliate in a series of transactions not involving any public offering may avail themselves of the safe harbor of Rule 144 by complying with the provisions applicable to resales of “restricted securities” (which apply, for affiliates, in addition to, and in conjunction with, the provisions of that Rule applicable to resales by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237426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46" w:lineRule="exact"/>
        <w:rPr>
          <w:sz w:val="20"/>
          <w:szCs w:val="20"/>
          <w:color w:val="auto"/>
        </w:rPr>
      </w:pPr>
    </w:p>
    <w:p>
      <w:pPr>
        <w:ind w:left="380" w:right="80" w:hanging="372"/>
        <w:spacing w:after="0" w:line="266"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144 under the Securities Act defines “affiliate” of an issuer as “a person that directly, or indirectly through one or more intermediaries, controls, or is controlled by, or is under common control with, such issuer.” Generally, any director and some or all of a company’s executive officers are presumed to be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105" w:name="page106"/>
    <w:bookmarkEnd w:id="105"/>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The following summarizes relevant provisions of Rule 144, as they apply to resales by directors and officers seeking to take advantage of the safe harbor:</w:t>
      </w:r>
    </w:p>
    <w:p>
      <w:pPr>
        <w:spacing w:after="0" w:line="152" w:lineRule="exact"/>
        <w:rPr>
          <w:sz w:val="20"/>
          <w:szCs w:val="20"/>
          <w:color w:val="auto"/>
        </w:rPr>
      </w:pPr>
    </w:p>
    <w:p>
      <w:pPr>
        <w:ind w:left="1140" w:right="120" w:hanging="383"/>
        <w:spacing w:after="0" w:line="247" w:lineRule="auto"/>
        <w:tabs>
          <w:tab w:leader="none" w:pos="1194"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Current public information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There must be adequate current public information available regarding the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requirement is satisfied only if the Company has filed all reports required by the Exchange Act during the 12 months preceding the sale, other than Form 8-K reports.</w:t>
      </w:r>
    </w:p>
    <w:p>
      <w:pPr>
        <w:spacing w:after="0" w:line="185" w:lineRule="exact"/>
        <w:rPr>
          <w:rFonts w:ascii="Times New Roman" w:cs="Times New Roman" w:eastAsia="Times New Roman" w:hAnsi="Times New Roman"/>
          <w:sz w:val="22"/>
          <w:szCs w:val="22"/>
          <w:b w:val="1"/>
          <w:bCs w:val="1"/>
          <w:color w:val="auto"/>
        </w:rPr>
      </w:pPr>
    </w:p>
    <w:p>
      <w:pPr>
        <w:ind w:left="1140" w:right="760" w:hanging="383"/>
        <w:spacing w:after="0" w:line="224" w:lineRule="auto"/>
        <w:tabs>
          <w:tab w:leader="none" w:pos="1194"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Manner of sale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sale of Company shares by a director or officer must be made in one of the following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manners:</w:t>
      </w:r>
    </w:p>
    <w:p>
      <w:pPr>
        <w:spacing w:after="0" w:line="158"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sale requirements apply only to equity securities. Debt securities are not subject to any manner of sale requirements.</w:t>
      </w:r>
    </w:p>
    <w:p>
      <w:pPr>
        <w:spacing w:after="0" w:line="215" w:lineRule="exact"/>
        <w:rPr>
          <w:rFonts w:ascii="Times New Roman" w:cs="Times New Roman" w:eastAsia="Times New Roman" w:hAnsi="Times New Roman"/>
          <w:sz w:val="18"/>
          <w:szCs w:val="18"/>
          <w:color w:val="auto"/>
        </w:rPr>
      </w:pPr>
    </w:p>
    <w:p>
      <w:pPr>
        <w:ind w:left="2260" w:hanging="755"/>
        <w:spacing w:after="0" w:line="258" w:lineRule="auto"/>
        <w:tabs>
          <w:tab w:leader="none" w:pos="2260" w:val="left"/>
        </w:tabs>
        <w:numPr>
          <w:ilvl w:val="2"/>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an open market transaction through a broker at the prevailing market price for no more than the usual and customary brokerage commission;</w:t>
      </w:r>
    </w:p>
    <w:p>
      <w:pPr>
        <w:spacing w:after="0" w:line="158" w:lineRule="exact"/>
        <w:rPr>
          <w:rFonts w:ascii="Times New Roman" w:cs="Times New Roman" w:eastAsia="Times New Roman" w:hAnsi="Times New Roman"/>
          <w:sz w:val="22"/>
          <w:szCs w:val="22"/>
          <w:color w:val="010000"/>
        </w:rPr>
      </w:pPr>
    </w:p>
    <w:p>
      <w:pPr>
        <w:ind w:left="2260" w:hanging="755"/>
        <w:spacing w:after="0"/>
        <w:tabs>
          <w:tab w:leader="none" w:pos="2260" w:val="left"/>
        </w:tabs>
        <w:numPr>
          <w:ilvl w:val="2"/>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 market maker at the price held out by the market maker; or</w:t>
      </w:r>
    </w:p>
    <w:p>
      <w:pPr>
        <w:spacing w:after="0" w:line="206" w:lineRule="exact"/>
        <w:rPr>
          <w:rFonts w:ascii="Times New Roman" w:cs="Times New Roman" w:eastAsia="Times New Roman" w:hAnsi="Times New Roman"/>
          <w:sz w:val="22"/>
          <w:szCs w:val="22"/>
          <w:color w:val="010000"/>
        </w:rPr>
      </w:pPr>
    </w:p>
    <w:p>
      <w:pPr>
        <w:ind w:left="2260" w:right="440" w:hanging="755"/>
        <w:spacing w:after="0" w:line="276" w:lineRule="auto"/>
        <w:tabs>
          <w:tab w:leader="none" w:pos="2260" w:val="left"/>
        </w:tabs>
        <w:numPr>
          <w:ilvl w:val="2"/>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a riskless principal transaction in which trades are executed at the same price, exclusive of any explicitly disclosed markup or markdown, commission equivalent or other fee, and where the transaction is permitted to be reported as riskless under the rules of a self-regulatory organization.</w:t>
      </w:r>
      <w:r>
        <w:rPr>
          <w:rFonts w:ascii="Times New Roman" w:cs="Times New Roman" w:eastAsia="Times New Roman" w:hAnsi="Times New Roman"/>
          <w:sz w:val="27"/>
          <w:szCs w:val="27"/>
          <w:color w:val="auto"/>
          <w:vertAlign w:val="superscript"/>
        </w:rPr>
        <w:t>4</w:t>
      </w:r>
    </w:p>
    <w:p>
      <w:pPr>
        <w:spacing w:after="0" w:line="1" w:lineRule="exact"/>
        <w:rPr>
          <w:rFonts w:ascii="Times New Roman" w:cs="Times New Roman" w:eastAsia="Times New Roman" w:hAnsi="Times New Roman"/>
          <w:sz w:val="21"/>
          <w:szCs w:val="21"/>
          <w:color w:val="010000"/>
        </w:rPr>
      </w:pPr>
    </w:p>
    <w:p>
      <w:pPr>
        <w:ind w:left="380" w:right="20" w:hanging="372"/>
        <w:spacing w:after="0" w:line="266"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riskless principal transaction is a transaction in which a broker or dealer (i) after having received a customer’s order to buy a security, purchases the security as principal in the market to satisfy the order to buy or (ii) after having received a customer’s order to sell a security, sells the security as principal to the market to satisfy the order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-2044700</wp:posOffset>
            </wp:positionV>
            <wp:extent cx="237426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1">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237426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47"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Furthermore, the broker may not solicit or arrange for the solicitation of customers to purchase the shares. In addition, your broker likely has its own Rule 144 procedures (and must be involved in transmitting Form 144 (see item 4 below)), so it is important to speak with your broker prior to any sale.</w:t>
      </w:r>
    </w:p>
    <w:p>
      <w:pPr>
        <w:spacing w:after="0" w:line="173"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Even if your stock certificates do not contain any restrictive legends, you should inform your broker that you may be considered an affiliate of the Company.</w:t>
      </w:r>
    </w:p>
    <w:p>
      <w:pPr>
        <w:spacing w:after="0" w:line="152" w:lineRule="exact"/>
        <w:rPr>
          <w:sz w:val="20"/>
          <w:szCs w:val="20"/>
          <w:color w:val="auto"/>
        </w:rPr>
      </w:pPr>
    </w:p>
    <w:p>
      <w:pPr>
        <w:ind w:left="1180" w:hanging="423"/>
        <w:spacing w:after="0"/>
        <w:tabs>
          <w:tab w:leader="none" w:pos="118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Number of shares which may be sold.</w:t>
      </w:r>
    </w:p>
    <w:p>
      <w:pPr>
        <w:spacing w:after="0" w:line="206" w:lineRule="exact"/>
        <w:rPr>
          <w:sz w:val="20"/>
          <w:szCs w:val="20"/>
          <w:color w:val="auto"/>
        </w:rPr>
      </w:pPr>
    </w:p>
    <w:p>
      <w:pPr>
        <w:ind w:right="4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Equity Securities. </w:t>
      </w:r>
      <w:r>
        <w:rPr>
          <w:rFonts w:ascii="Times New Roman" w:cs="Times New Roman" w:eastAsia="Times New Roman" w:hAnsi="Times New Roman"/>
          <w:sz w:val="22"/>
          <w:szCs w:val="22"/>
          <w:color w:val="auto"/>
        </w:rPr>
        <w:t>The amount of equity securities that a director or officer may sell in a three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month period is limited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greater of:</w:t>
      </w:r>
    </w:p>
    <w:p>
      <w:pPr>
        <w:spacing w:after="0" w:line="151" w:lineRule="exact"/>
        <w:rPr>
          <w:sz w:val="20"/>
          <w:szCs w:val="20"/>
          <w:color w:val="auto"/>
        </w:rPr>
      </w:pPr>
    </w:p>
    <w:p>
      <w:pPr>
        <w:ind w:left="2260" w:hanging="755"/>
        <w:spacing w:after="0"/>
        <w:tabs>
          <w:tab w:leader="none" w:pos="22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 of the outstanding shares of the same class of the Company; or</w:t>
      </w:r>
    </w:p>
    <w:p>
      <w:pPr>
        <w:spacing w:after="0" w:line="206" w:lineRule="exact"/>
        <w:rPr>
          <w:rFonts w:ascii="Times New Roman" w:cs="Times New Roman" w:eastAsia="Times New Roman" w:hAnsi="Times New Roman"/>
          <w:sz w:val="22"/>
          <w:szCs w:val="22"/>
          <w:color w:val="010000"/>
        </w:rPr>
      </w:pPr>
    </w:p>
    <w:p>
      <w:pPr>
        <w:ind w:left="2260" w:hanging="755"/>
        <w:spacing w:after="0"/>
        <w:tabs>
          <w:tab w:leader="none" w:pos="22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average weekly reported trading volume in the four calendar weeks preceding the transactions.</w:t>
      </w:r>
    </w:p>
    <w:p>
      <w:pPr>
        <w:spacing w:after="0" w:line="200" w:lineRule="exact"/>
        <w:rPr>
          <w:sz w:val="20"/>
          <w:szCs w:val="20"/>
          <w:color w:val="auto"/>
        </w:rPr>
      </w:pPr>
    </w:p>
    <w:p>
      <w:pPr>
        <w:ind w:left="240" w:right="10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Debt Securities. </w:t>
      </w:r>
      <w:r>
        <w:rPr>
          <w:rFonts w:ascii="Times New Roman" w:cs="Times New Roman" w:eastAsia="Times New Roman" w:hAnsi="Times New Roman"/>
          <w:sz w:val="22"/>
          <w:szCs w:val="22"/>
          <w:color w:val="auto"/>
        </w:rPr>
        <w:t>The amount of debt securities that a director or officer may sell in a three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month period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limited to the greater of:</w:t>
      </w:r>
    </w:p>
    <w:p>
      <w:pPr>
        <w:spacing w:after="0" w:line="151" w:lineRule="exact"/>
        <w:rPr>
          <w:sz w:val="20"/>
          <w:szCs w:val="20"/>
          <w:color w:val="auto"/>
        </w:rPr>
      </w:pPr>
    </w:p>
    <w:p>
      <w:pPr>
        <w:ind w:left="2320" w:hanging="695"/>
        <w:spacing w:after="0"/>
        <w:tabs>
          <w:tab w:leader="none" w:pos="232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average weekly reported trading volume in the four calendar weeks preceding the sale; or</w:t>
      </w:r>
    </w:p>
    <w:p>
      <w:pPr>
        <w:spacing w:after="0" w:line="206" w:lineRule="exact"/>
        <w:rPr>
          <w:rFonts w:ascii="Times New Roman" w:cs="Times New Roman" w:eastAsia="Times New Roman" w:hAnsi="Times New Roman"/>
          <w:sz w:val="22"/>
          <w:szCs w:val="22"/>
          <w:color w:val="010000"/>
        </w:rPr>
      </w:pPr>
    </w:p>
    <w:p>
      <w:pPr>
        <w:ind w:left="2360" w:right="1160" w:hanging="735"/>
        <w:spacing w:after="0" w:line="258" w:lineRule="auto"/>
        <w:tabs>
          <w:tab w:leader="none" w:pos="236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10% of the principal amount of the tranche of debt securities (or 10% of the class of non-participatory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0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w w:val="94"/>
              </w:rPr>
              <w:t>Exhibit 21.1</w:t>
            </w:r>
          </w:p>
        </w:tc>
      </w:tr>
      <w:tr>
        <w:trPr>
          <w:trHeight w:val="365"/>
        </w:trPr>
        <w:tc>
          <w:tcPr>
            <w:tcW w:w="3900" w:type="dxa"/>
            <w:vAlign w:val="bottom"/>
          </w:tcPr>
          <w:p>
            <w:pPr>
              <w:spacing w:after="0"/>
              <w:rPr>
                <w:sz w:val="24"/>
                <w:szCs w:val="24"/>
                <w:color w:val="auto"/>
              </w:rPr>
            </w:pPr>
          </w:p>
        </w:tc>
        <w:tc>
          <w:tcPr>
            <w:tcW w:w="7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783"/>
        </w:trPr>
        <w:tc>
          <w:tcPr>
            <w:tcW w:w="39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7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STATE OF INCORPORATION OR OTHER JURISDICTION</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Media Holdings LLC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Imaging LLC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Holdings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Media LLC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Media Solutions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Technologies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Guides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Solutions LLC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Publishing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Euromedia Group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Europe Limited</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0"/>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Global Services S.a.r.l.</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Luxembourg</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Korea Co., Ltd.</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Bonding Technologies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Advanced Technologies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Solutions LLC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Inc.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Intellectual Property LLC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Technologies LLC</w:t>
            </w: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names of other subsidiaries are omitted. Such subsidiaries would not, if considered in the aggregate as a single subsidiary, constitute a significant subsidiary within the meaning of Item 601(b)(21)(ii)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333-279270, 333-264591 and 333-238846) of Adeia Inc. of our report dated February 19, 2025 relating to the financial statements, financial statement schedule and the effectiveness of internal control over financial reporting, which appears in this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Davis, certify that:</w:t>
      </w:r>
    </w:p>
    <w:p>
      <w:pPr>
        <w:spacing w:after="0" w:line="171" w:lineRule="exact"/>
        <w:rPr>
          <w:sz w:val="20"/>
          <w:szCs w:val="20"/>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Adeia Inc.;</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 w:firstLine="8"/>
        <w:spacing w:after="0" w:line="266" w:lineRule="auto"/>
        <w:tabs>
          <w:tab w:leader="none" w:pos="1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100" w:firstLine="8"/>
        <w:spacing w:after="0" w:line="266" w:lineRule="auto"/>
        <w:tabs>
          <w:tab w:leader="none" w:pos="1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80" w:firstLine="8"/>
        <w:spacing w:after="0" w:line="282" w:lineRule="auto"/>
        <w:tabs>
          <w:tab w:leader="none" w:pos="1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1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460" w:firstLine="8"/>
        <w:spacing w:after="0" w:line="282"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160" w:firstLine="8"/>
        <w:spacing w:after="0" w:line="282" w:lineRule="auto"/>
        <w:tabs>
          <w:tab w:leader="none" w:pos="1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360" w:firstLine="8"/>
        <w:spacing w:after="0" w:line="282" w:lineRule="auto"/>
        <w:tabs>
          <w:tab w:leader="none" w:pos="1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tabs>
          <w:tab w:leader="none" w:pos="5920" w:val="left"/>
        </w:tabs>
        <w:rPr>
          <w:sz w:val="20"/>
          <w:szCs w:val="20"/>
          <w:color w:val="auto"/>
        </w:rPr>
      </w:pPr>
      <w:r>
        <w:rPr>
          <w:rFonts w:ascii="Times New Roman" w:cs="Times New Roman" w:eastAsia="Times New Roman" w:hAnsi="Times New Roman"/>
          <w:sz w:val="18"/>
          <w:szCs w:val="18"/>
          <w:color w:val="auto"/>
        </w:rPr>
        <w:t>Date: February 19, 2025</w:t>
      </w:r>
      <w:r>
        <w:rPr>
          <w:sz w:val="20"/>
          <w:szCs w:val="20"/>
          <w:color w:val="auto"/>
        </w:rPr>
        <w:tab/>
      </w:r>
      <w:r>
        <w:rPr>
          <w:rFonts w:ascii="Times New Roman" w:cs="Times New Roman" w:eastAsia="Times New Roman" w:hAnsi="Times New Roman"/>
          <w:sz w:val="17"/>
          <w:szCs w:val="17"/>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43180</wp:posOffset>
            </wp:positionV>
            <wp:extent cx="336042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Paul E. Davis</w:t>
      </w:r>
    </w:p>
    <w:p>
      <w:pPr>
        <w:spacing w:after="0" w:line="1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Jones, certify that:</w:t>
      </w:r>
    </w:p>
    <w:p>
      <w:pPr>
        <w:spacing w:after="0" w:line="171" w:lineRule="exact"/>
        <w:rPr>
          <w:sz w:val="20"/>
          <w:szCs w:val="20"/>
          <w:color w:val="auto"/>
        </w:rPr>
      </w:pPr>
    </w:p>
    <w:p>
      <w:pPr>
        <w:ind w:left="180" w:hanging="172"/>
        <w:spacing w:after="0"/>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Adeia Inc.;</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 w:firstLine="8"/>
        <w:spacing w:after="0" w:line="266" w:lineRule="auto"/>
        <w:tabs>
          <w:tab w:leader="none" w:pos="1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100" w:firstLine="8"/>
        <w:spacing w:after="0" w:line="266" w:lineRule="auto"/>
        <w:tabs>
          <w:tab w:leader="none" w:pos="1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180" w:firstLine="8"/>
        <w:spacing w:after="0" w:line="282" w:lineRule="auto"/>
        <w:tabs>
          <w:tab w:leader="none" w:pos="1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1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460" w:firstLine="8"/>
        <w:spacing w:after="0" w:line="282"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160" w:firstLine="8"/>
        <w:spacing w:after="0" w:line="282" w:lineRule="auto"/>
        <w:tabs>
          <w:tab w:leader="none" w:pos="1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360" w:firstLine="8"/>
        <w:spacing w:after="0" w:line="282" w:lineRule="auto"/>
        <w:tabs>
          <w:tab w:leader="none" w:pos="1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tabs>
          <w:tab w:leader="none" w:pos="720" w:val="left"/>
          <w:tab w:leader="none" w:pos="5460" w:val="left"/>
        </w:tabs>
        <w:rPr>
          <w:sz w:val="20"/>
          <w:szCs w:val="20"/>
          <w:color w:val="auto"/>
        </w:rPr>
      </w:pPr>
      <w:r>
        <w:rPr>
          <w:rFonts w:ascii="Times New Roman" w:cs="Times New Roman" w:eastAsia="Times New Roman" w:hAnsi="Times New Roman"/>
          <w:sz w:val="18"/>
          <w:szCs w:val="18"/>
          <w:color w:val="auto"/>
        </w:rPr>
        <w:t>Date:</w:t>
        <w:tab/>
        <w:t>February 19, 2025</w:t>
      </w:r>
      <w:r>
        <w:rPr>
          <w:sz w:val="20"/>
          <w:szCs w:val="20"/>
          <w:color w:val="auto"/>
        </w:rPr>
        <w:tab/>
      </w:r>
      <w:r>
        <w:rPr>
          <w:rFonts w:ascii="Times New Roman" w:cs="Times New Roman" w:eastAsia="Times New Roman" w:hAnsi="Times New Roman"/>
          <w:sz w:val="17"/>
          <w:szCs w:val="17"/>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26035</wp:posOffset>
            </wp:positionV>
            <wp:extent cx="366014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Keith A. Jones</w:t>
      </w:r>
    </w:p>
    <w:p>
      <w:pPr>
        <w:spacing w:after="0" w:line="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Adeia Inc., a Delaware corporation (the “Company”), on Form 10-K for the year ended December 31, 2024 as filed with the Securities and Exchange Commission (the “Report”), I, Paul E. Davis, Chief Executive Officer and President, certify, pursuant to Rule 13a-14(b) of the Securities Exchange Act of 1934, as amended, and 18 U.S.C. § 1350, as adopted pursuant to § 906 of the Sarbanes-Oxley Act of 2002, that to my knowledge:</w:t>
      </w:r>
    </w:p>
    <w:p>
      <w:pPr>
        <w:spacing w:after="0" w:line="126" w:lineRule="exact"/>
        <w:rPr>
          <w:sz w:val="20"/>
          <w:szCs w:val="20"/>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86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Paul E. Davis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3"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Adeia Inc., a Delaware corporation (the “Company”), on Form 10-K for the year ended December 31, 2024 as filed with the Securities and Exchange Commission (the “Report”), I, Keith A. Jones, Chief Financial Officer of the Company, certify, pursuant to Rule 13a-14(b) of the Securities Exchange Act of 1934, as amended, and 18 U.S.C. § 1350, as adopted pursuant to § 906 of the Sarbanes-Oxley Act of 2002, that to my knowledge:</w:t>
      </w:r>
    </w:p>
    <w:p>
      <w:pPr>
        <w:spacing w:after="0" w:line="126" w:lineRule="exact"/>
        <w:rPr>
          <w:sz w:val="20"/>
          <w:szCs w:val="20"/>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86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Keith A. Jones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3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Rule 13a-14(b) of the Securities Exchange Act of 1934, as amended, and 18 U.S.C. §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&amp; Restated Executive Compensation Clawback Policy</w:t>
      </w: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AS OF OCTOBER 24, 2023</w:t>
      </w:r>
    </w:p>
    <w:p>
      <w:pPr>
        <w:spacing w:after="0" w:line="206" w:lineRule="exact"/>
        <w:rPr>
          <w:sz w:val="20"/>
          <w:szCs w:val="20"/>
          <w:color w:val="auto"/>
        </w:rPr>
      </w:pPr>
    </w:p>
    <w:p>
      <w:pPr>
        <w:ind w:right="60" w:firstLine="1048"/>
        <w:spacing w:after="0" w:line="235" w:lineRule="auto"/>
        <w:rPr>
          <w:sz w:val="20"/>
          <w:szCs w:val="20"/>
          <w:color w:val="auto"/>
        </w:rPr>
      </w:pPr>
      <w:r>
        <w:rPr>
          <w:rFonts w:ascii="Times New Roman" w:cs="Times New Roman" w:eastAsia="Times New Roman" w:hAnsi="Times New Roman"/>
          <w:sz w:val="22"/>
          <w:szCs w:val="22"/>
          <w:b w:val="1"/>
          <w:bCs w:val="1"/>
          <w:color w:val="auto"/>
        </w:rPr>
        <w:t>I. PURPOSE</w:t>
      </w:r>
      <w:r>
        <w:rPr>
          <w:rFonts w:ascii="Times New Roman" w:cs="Times New Roman" w:eastAsia="Times New Roman" w:hAnsi="Times New Roman"/>
          <w:sz w:val="22"/>
          <w:szCs w:val="22"/>
          <w:color w:val="auto"/>
        </w:rPr>
        <w:t>. This Amended and Restated Compensation Recovery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Adeia Inc. (“</w:t>
      </w:r>
      <w:r>
        <w:rPr>
          <w:rFonts w:ascii="Times New Roman" w:cs="Times New Roman" w:eastAsia="Times New Roman" w:hAnsi="Times New Roman"/>
          <w:sz w:val="22"/>
          <w:szCs w:val="22"/>
          <w:u w:val="single" w:color="auto"/>
          <w:color w:val="auto"/>
        </w:rPr>
        <w:t>Adeia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subsidiaries (together with Adeia,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is intended to provide for the recovery of Incentive-Based Compensation in the event of a Recoverable Event (each, as defined below). This Policy, as amended and restated, is intended to comply with, and will be interpreted to be consistent with, the requirements of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Listing Rule 5608 and shall apply to Incentive-Based Compensation “received” on or after October 2, 2023, notwithstanding anything herein to the contrary. For purposes of this Policy, Incentive-Based Compensation shall be deemed “received” in Adeia’s fiscal period during which the Financial Reporting Measure (as defined below) specified in the Incentive-Based Compensation award is attained, even if the payment or grant of the Incentive-Based Compensation occurs after the end of that period.</w:t>
      </w:r>
    </w:p>
    <w:p>
      <w:pPr>
        <w:spacing w:after="0" w:line="178" w:lineRule="exact"/>
        <w:rPr>
          <w:sz w:val="20"/>
          <w:szCs w:val="20"/>
          <w:color w:val="auto"/>
        </w:rPr>
      </w:pPr>
    </w:p>
    <w:p>
      <w:pPr>
        <w:ind w:left="1340" w:hanging="284"/>
        <w:spacing w:after="0"/>
        <w:tabs>
          <w:tab w:leader="none" w:pos="13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w:t>
      </w:r>
      <w:r>
        <w:rPr>
          <w:rFonts w:ascii="Times New Roman" w:cs="Times New Roman" w:eastAsia="Times New Roman" w:hAnsi="Times New Roman"/>
          <w:sz w:val="22"/>
          <w:szCs w:val="22"/>
          <w:color w:val="auto"/>
        </w:rPr>
        <w:t>. This Policy applies to Incentive-Based Compensation received by a person:</w:t>
      </w:r>
    </w:p>
    <w:p>
      <w:pPr>
        <w:spacing w:after="0" w:line="102" w:lineRule="exact"/>
        <w:rPr>
          <w:rFonts w:ascii="Times New Roman" w:cs="Times New Roman" w:eastAsia="Times New Roman" w:hAnsi="Times New Roman"/>
          <w:sz w:val="22"/>
          <w:szCs w:val="22"/>
          <w:b w:val="1"/>
          <w:bCs w:val="1"/>
          <w:color w:val="auto"/>
        </w:rPr>
      </w:pPr>
    </w:p>
    <w:p>
      <w:pPr>
        <w:ind w:left="10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after beginning service as an Executive Officer (as defined below),</w:t>
      </w:r>
    </w:p>
    <w:p>
      <w:pPr>
        <w:spacing w:after="0" w:line="98" w:lineRule="exact"/>
        <w:rPr>
          <w:sz w:val="20"/>
          <w:szCs w:val="20"/>
          <w:color w:val="auto"/>
        </w:rPr>
      </w:pPr>
    </w:p>
    <w:p>
      <w:pPr>
        <w:ind w:left="1360" w:right="960" w:hanging="304"/>
        <w:spacing w:after="0" w:line="258" w:lineRule="auto"/>
        <w:tabs>
          <w:tab w:leader="none" w:pos="13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served as an Executive Officer at any time during the performance period for that Incentive-Based Compensation,</w:t>
      </w:r>
    </w:p>
    <w:p>
      <w:pPr>
        <w:spacing w:after="0" w:line="50" w:lineRule="exact"/>
        <w:rPr>
          <w:rFonts w:ascii="Times New Roman" w:cs="Times New Roman" w:eastAsia="Times New Roman" w:hAnsi="Times New Roman"/>
          <w:sz w:val="22"/>
          <w:szCs w:val="22"/>
          <w:color w:val="auto"/>
        </w:rPr>
      </w:pPr>
    </w:p>
    <w:p>
      <w:pPr>
        <w:ind w:left="1360" w:hanging="304"/>
        <w:spacing w:after="0"/>
        <w:tabs>
          <w:tab w:leader="none" w:pos="13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Corporation has a class of securities listed on a national securities exchange, and</w:t>
      </w:r>
    </w:p>
    <w:p>
      <w:pPr>
        <w:spacing w:after="0" w:line="98" w:lineRule="exact"/>
        <w:rPr>
          <w:rFonts w:ascii="Times New Roman" w:cs="Times New Roman" w:eastAsia="Times New Roman" w:hAnsi="Times New Roman"/>
          <w:sz w:val="22"/>
          <w:szCs w:val="22"/>
          <w:color w:val="auto"/>
        </w:rPr>
      </w:pPr>
    </w:p>
    <w:p>
      <w:pPr>
        <w:ind w:left="1360" w:right="80" w:hanging="304"/>
        <w:spacing w:after="0" w:line="258" w:lineRule="auto"/>
        <w:tabs>
          <w:tab w:leader="none" w:pos="13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three completed fiscal years immediately preceding the date that the Corporation is required to prepare a Restatement (as defined below) (the “Recovery Period”).</w:t>
      </w:r>
    </w:p>
    <w:p>
      <w:pPr>
        <w:spacing w:after="0" w:line="158"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This Policy also applies to Incentive-Based Compensation received during the Recovery Period by such other key employees of the Corporation who may from time to time be determined to be deemed subject to this Policy by the Administrator (as defined below) (together with the Executive Officers, the “</w:t>
      </w:r>
      <w:r>
        <w:rPr>
          <w:rFonts w:ascii="Times New Roman" w:cs="Times New Roman" w:eastAsia="Times New Roman" w:hAnsi="Times New Roman"/>
          <w:sz w:val="22"/>
          <w:szCs w:val="22"/>
          <w:u w:val="single" w:color="auto"/>
          <w:color w:val="auto"/>
        </w:rPr>
        <w:t>Covered Employees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160" w:firstLine="1048"/>
        <w:spacing w:after="0" w:line="248"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shall mean Adeia’s president, principal financial officer, principal accounting officer (or if there is no such accounting officer, the controller), any vice-president of the Adeia in charge of a principal business unit, division, or function (such as sales, administration, or finance), any other officer who performs a policy-making function, or any other person who performs similar policymaking functions for Adeia. Executive officers of Adeia’s subsidiaries, as applicable, are deemed Executive Officers of Adeia if they perform such policy making functions for Adeia. Policy-making function is not intended to include policymaking functions that are not significant. Identification of an Executive Officer for purposes of this Policy will include at a minimum executive officers identified pursuant to 17 CFR 229.401(b).</w:t>
      </w:r>
    </w:p>
    <w:p>
      <w:pPr>
        <w:spacing w:after="0" w:line="170" w:lineRule="exact"/>
        <w:rPr>
          <w:sz w:val="20"/>
          <w:szCs w:val="20"/>
          <w:color w:val="auto"/>
        </w:rPr>
      </w:pPr>
    </w:p>
    <w:p>
      <w:pPr>
        <w:ind w:right="140" w:firstLine="1048"/>
        <w:spacing w:after="0" w:line="238" w:lineRule="auto"/>
        <w:rPr>
          <w:sz w:val="20"/>
          <w:szCs w:val="20"/>
          <w:color w:val="auto"/>
        </w:rPr>
      </w:pPr>
      <w:r>
        <w:rPr>
          <w:rFonts w:ascii="Times New Roman" w:cs="Times New Roman" w:eastAsia="Times New Roman" w:hAnsi="Times New Roman"/>
          <w:sz w:val="22"/>
          <w:szCs w:val="22"/>
          <w:color w:val="auto"/>
        </w:rPr>
        <w:t>In addition to the Recovery Period, this Policy applies to any transition period (that results from a change in Adeia’s fiscal year) within or immediately following the Recovery Period (a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Transition Period between the last day of Adeia’s previous fiscal year end and the first day of Adeia’s new fiscal year that comprises a period of nine to 12 months will be deemed a completed fiscal year. For purposes of determining the relevant Recovery Period, the date that the Corporation is required to prepare the Restatement is the earlier to occur of:</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both"/>
        <w:ind w:left="1360" w:right="220" w:hanging="304"/>
        <w:spacing w:after="0" w:line="244" w:lineRule="auto"/>
        <w:tabs>
          <w:tab w:leader="none" w:pos="13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board of directors of Adeia (the “Board”), a committee of the Board, or the officer or officers of the Corporation authorized to take such action if Board action is not required, concludes, or reasonably should have concluded, that the Corporation is required to prepare a Restatement, and</w:t>
      </w:r>
    </w:p>
    <w:p>
      <w:pPr>
        <w:spacing w:after="0" w:line="65" w:lineRule="exact"/>
        <w:rPr>
          <w:rFonts w:ascii="Times New Roman" w:cs="Times New Roman" w:eastAsia="Times New Roman" w:hAnsi="Times New Roman"/>
          <w:sz w:val="22"/>
          <w:szCs w:val="22"/>
          <w:color w:val="auto"/>
        </w:rPr>
      </w:pPr>
    </w:p>
    <w:p>
      <w:pPr>
        <w:ind w:left="1360" w:hanging="304"/>
        <w:spacing w:after="0"/>
        <w:tabs>
          <w:tab w:leader="none" w:pos="13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Corporation to prepare a Restatement.</w:t>
      </w:r>
    </w:p>
    <w:p>
      <w:pPr>
        <w:spacing w:after="0" w:line="206" w:lineRule="exact"/>
        <w:rPr>
          <w:sz w:val="20"/>
          <w:szCs w:val="20"/>
          <w:color w:val="auto"/>
        </w:rPr>
      </w:pPr>
    </w:p>
    <w:p>
      <w:pPr>
        <w:ind w:right="260" w:firstLine="1048"/>
        <w:spacing w:after="0" w:line="258" w:lineRule="auto"/>
        <w:rPr>
          <w:sz w:val="20"/>
          <w:szCs w:val="20"/>
          <w:color w:val="auto"/>
        </w:rPr>
      </w:pPr>
      <w:r>
        <w:rPr>
          <w:rFonts w:ascii="Times New Roman" w:cs="Times New Roman" w:eastAsia="Times New Roman" w:hAnsi="Times New Roman"/>
          <w:sz w:val="22"/>
          <w:szCs w:val="22"/>
          <w:color w:val="auto"/>
        </w:rPr>
        <w:t>For clarity, the Corporation’s obligation to recover erroneously awarded Incentive-Based Compensation under this Policy is not dependent on if or when a Restatement is filed.</w:t>
      </w:r>
    </w:p>
    <w:p>
      <w:pPr>
        <w:spacing w:after="0" w:line="154" w:lineRule="exact"/>
        <w:rPr>
          <w:sz w:val="20"/>
          <w:szCs w:val="20"/>
          <w:color w:val="auto"/>
        </w:rPr>
      </w:pPr>
    </w:p>
    <w:p>
      <w:pPr>
        <w:ind w:left="1420" w:hanging="364"/>
        <w:spacing w:after="0"/>
        <w:tabs>
          <w:tab w:leader="none" w:pos="14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ADMINISTRATION. </w:t>
      </w:r>
      <w:r>
        <w:rPr>
          <w:rFonts w:ascii="Times New Roman" w:cs="Times New Roman" w:eastAsia="Times New Roman" w:hAnsi="Times New Roman"/>
          <w:sz w:val="22"/>
          <w:szCs w:val="22"/>
          <w:color w:val="auto"/>
        </w:rPr>
        <w:t>This Policy will be administered by the Compensation Committee of the Board (the</w:t>
      </w:r>
    </w:p>
    <w:p>
      <w:pPr>
        <w:spacing w:after="0" w:line="1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unless the Board determines to administer this Policy itself, except with respect to such matters otherwise required to be administered by the Committee (as noted herein) (the Committee or the Board, as applicable, in its role administering this Policy is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All determinations and decisions made by the Administrator pursuant to the provisions of this Policy shall be final, conclusive and binding on all persons, including the Corporation, its affiliates, its stockholders and employees, and need not be uniform with respect to each individual covered by this Policy. The Administrator may amend this Policy from time to time and may terminate this Policy at any time, in each case in its sole discretion and subject to compliance with applicable laws, rules and regulations.</w:t>
      </w:r>
    </w:p>
    <w:p>
      <w:pPr>
        <w:spacing w:after="0" w:line="177" w:lineRule="exact"/>
        <w:rPr>
          <w:sz w:val="20"/>
          <w:szCs w:val="20"/>
          <w:color w:val="auto"/>
        </w:rPr>
      </w:pPr>
    </w:p>
    <w:p>
      <w:pPr>
        <w:ind w:firstLine="1048"/>
        <w:spacing w:after="0" w:line="234" w:lineRule="auto"/>
        <w:rPr>
          <w:sz w:val="20"/>
          <w:szCs w:val="20"/>
          <w:color w:val="auto"/>
        </w:rPr>
      </w:pPr>
      <w:r>
        <w:rPr>
          <w:rFonts w:ascii="Times New Roman" w:cs="Times New Roman" w:eastAsia="Times New Roman" w:hAnsi="Times New Roman"/>
          <w:sz w:val="22"/>
          <w:szCs w:val="22"/>
          <w:b w:val="1"/>
          <w:bCs w:val="1"/>
          <w:color w:val="auto"/>
        </w:rPr>
        <w:t>IV. RECOVERABLE AMOUNTS AND FORFEITURE</w:t>
      </w:r>
      <w:r>
        <w:rPr>
          <w:rFonts w:ascii="Times New Roman" w:cs="Times New Roman" w:eastAsia="Times New Roman" w:hAnsi="Times New Roman"/>
          <w:sz w:val="22"/>
          <w:szCs w:val="22"/>
          <w:color w:val="auto"/>
        </w:rPr>
        <w:t>. In the event of the Corporation being required to prepare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accounting restatement due to its material noncompliance with any financial reporting requirement under United States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and such event, a “</w:t>
      </w:r>
      <w:r>
        <w:rPr>
          <w:rFonts w:ascii="Times New Roman" w:cs="Times New Roman" w:eastAsia="Times New Roman" w:hAnsi="Times New Roman"/>
          <w:sz w:val="22"/>
          <w:szCs w:val="22"/>
          <w:u w:val="single" w:color="auto"/>
          <w:color w:val="auto"/>
        </w:rPr>
        <w:t>Recoverable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the Administrator shall recover reasonably promptly the amount of erroneously awarded Incentive-Based Compensation, except to the extent provided under Section VI below. The amount of Incentive-Based Compensation subject to recovery under this Policy is the amount of Incentive-Based Compensation received that exceeds the amount of Incentive-Based Compensation that would have been received had the financial results been properly reported, without regard to any taxes paid (the “</w:t>
      </w:r>
      <w:r>
        <w:rPr>
          <w:rFonts w:ascii="Times New Roman" w:cs="Times New Roman" w:eastAsia="Times New Roman" w:hAnsi="Times New Roman"/>
          <w:sz w:val="22"/>
          <w:szCs w:val="22"/>
          <w:u w:val="single" w:color="auto"/>
          <w:color w:val="auto"/>
        </w:rPr>
        <w:t>Recoverable Amount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60" w:firstLine="1048"/>
        <w:spacing w:after="0" w:line="236" w:lineRule="auto"/>
        <w:rPr>
          <w:sz w:val="20"/>
          <w:szCs w:val="20"/>
          <w:color w:val="auto"/>
        </w:rPr>
      </w:pPr>
      <w:r>
        <w:rPr>
          <w:rFonts w:ascii="Times New Roman" w:cs="Times New Roman" w:eastAsia="Times New Roman" w:hAnsi="Times New Roman"/>
          <w:sz w:val="22"/>
          <w:szCs w:val="22"/>
          <w:color w:val="auto"/>
        </w:rPr>
        <w:t>For Incentive-Based Compensation based on stock price or total shareholder return (“</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where the amount of erroneously awarded Incentive-Based Compensation is not subject to mathematical recalculation directly from the information in a Restatement, the Recoverable Amount shall be determined by the Administrator based on a reasonable estimate of the effect of the Restatement on the stock price or TSR upon which the Incentive-Based Compensation was received. In such event, the Corporation shall maintain documentation of the determination of that reasonable estimate and provide such documentation to Nasdaq.</w:t>
      </w:r>
    </w:p>
    <w:p>
      <w:pPr>
        <w:spacing w:after="0" w:line="181" w:lineRule="exact"/>
        <w:rPr>
          <w:sz w:val="20"/>
          <w:szCs w:val="20"/>
          <w:color w:val="auto"/>
        </w:rPr>
      </w:pPr>
    </w:p>
    <w:p>
      <w:pPr>
        <w:ind w:right="40" w:firstLine="1048"/>
        <w:spacing w:after="0" w:line="244" w:lineRule="auto"/>
        <w:rPr>
          <w:sz w:val="20"/>
          <w:szCs w:val="20"/>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shall mean any bonus, incentive payment, equity based award or other compensation granted, earned, or vested based wholly or in part on the attainment of a Financial Reporting Measure.</w:t>
      </w:r>
    </w:p>
    <w:p>
      <w:pPr>
        <w:spacing w:after="0" w:line="173" w:lineRule="exact"/>
        <w:rPr>
          <w:sz w:val="20"/>
          <w:szCs w:val="20"/>
          <w:color w:val="auto"/>
        </w:rPr>
      </w:pPr>
    </w:p>
    <w:p>
      <w:pPr>
        <w:ind w:right="140" w:firstLine="1048"/>
        <w:spacing w:after="0" w:line="236" w:lineRule="auto"/>
        <w:rPr>
          <w:sz w:val="20"/>
          <w:szCs w:val="20"/>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shall mean any of the following: (i) measures that are determined and presented in accordance with the accounting principles used in preparing the Corporation’s financial statements, and any measures that are derived wholly or in part from such measures, (ii) stock price and (iii) TSR. A Financial Reporting Measure need not be presented within the Corporation’s financial statements or included in a filing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w:t>
      </w: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3" w:name="page114"/>
    <w:bookmarkEnd w:id="113"/>
    <w:p>
      <w:pPr>
        <w:jc w:val="both"/>
        <w:ind w:right="140" w:firstLine="10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 DETERMINATION IN DISCRETION OF THE ADMINISTRATOR. </w:t>
      </w:r>
      <w:r>
        <w:rPr>
          <w:rFonts w:ascii="Times New Roman" w:cs="Times New Roman" w:eastAsia="Times New Roman" w:hAnsi="Times New Roman"/>
          <w:sz w:val="22"/>
          <w:szCs w:val="22"/>
          <w:color w:val="auto"/>
        </w:rPr>
        <w:t>The Administrator shall determine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sole and absolute discretion the manner of recovery of any Recoverable Amount under this Policy, recognizing that different means of recovery may be appropriate in different circumstances.</w:t>
      </w:r>
    </w:p>
    <w:p>
      <w:pPr>
        <w:spacing w:after="0" w:line="171" w:lineRule="exact"/>
        <w:rPr>
          <w:sz w:val="20"/>
          <w:szCs w:val="20"/>
          <w:color w:val="auto"/>
        </w:rPr>
      </w:pPr>
    </w:p>
    <w:p>
      <w:pPr>
        <w:ind w:right="460" w:firstLine="1048"/>
        <w:spacing w:after="0" w:line="258" w:lineRule="auto"/>
        <w:rPr>
          <w:sz w:val="20"/>
          <w:szCs w:val="20"/>
          <w:color w:val="auto"/>
        </w:rPr>
      </w:pPr>
      <w:r>
        <w:rPr>
          <w:rFonts w:ascii="Times New Roman" w:cs="Times New Roman" w:eastAsia="Times New Roman" w:hAnsi="Times New Roman"/>
          <w:sz w:val="22"/>
          <w:szCs w:val="22"/>
          <w:color w:val="auto"/>
        </w:rPr>
        <w:t>The Administrator may apply this Section V differently to each Covered Employee, in its discretion, taking into account such factors as determined by the Administrator.</w:t>
      </w:r>
    </w:p>
    <w:p>
      <w:pPr>
        <w:spacing w:after="0" w:line="154" w:lineRule="exact"/>
        <w:rPr>
          <w:sz w:val="20"/>
          <w:szCs w:val="20"/>
          <w:color w:val="auto"/>
        </w:rPr>
      </w:pPr>
    </w:p>
    <w:p>
      <w:pPr>
        <w:jc w:val="both"/>
        <w:ind w:right="760" w:firstLine="10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VI. EXCEPTIONS. </w:t>
      </w:r>
      <w:r>
        <w:rPr>
          <w:rFonts w:ascii="Times New Roman" w:cs="Times New Roman" w:eastAsia="Times New Roman" w:hAnsi="Times New Roman"/>
          <w:sz w:val="22"/>
          <w:szCs w:val="22"/>
          <w:color w:val="auto"/>
        </w:rPr>
        <w:t>The Corporation shall recover erroneously awarded Incentive-Based Compensation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with this Policy except to the extent that the conditions set out below are met and the Committee has made a determination that recovery would be impracticable:</w:t>
      </w:r>
    </w:p>
    <w:p>
      <w:pPr>
        <w:spacing w:after="0" w:line="63" w:lineRule="exact"/>
        <w:rPr>
          <w:sz w:val="20"/>
          <w:szCs w:val="20"/>
          <w:color w:val="auto"/>
        </w:rPr>
      </w:pPr>
    </w:p>
    <w:p>
      <w:pPr>
        <w:ind w:left="1360" w:right="120" w:hanging="304"/>
        <w:spacing w:after="0" w:line="238" w:lineRule="auto"/>
        <w:tabs>
          <w:tab w:leader="none" w:pos="13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provided, however, that before concluding it would be impracticable to recover any amount of erroneously awarded Incentive-Based Compensation based on expense of enforcement, the Corporation shall make a reasonable attempt to recover such erroneously awarded Incentive-Based Compensation, document such reasonable attempt(s) to recover, and provide that documentation to Nasdaq.</w:t>
      </w:r>
    </w:p>
    <w:p>
      <w:pPr>
        <w:spacing w:after="0" w:line="68" w:lineRule="exact"/>
        <w:rPr>
          <w:rFonts w:ascii="Times New Roman" w:cs="Times New Roman" w:eastAsia="Times New Roman" w:hAnsi="Times New Roman"/>
          <w:sz w:val="22"/>
          <w:szCs w:val="22"/>
          <w:color w:val="auto"/>
        </w:rPr>
      </w:pPr>
    </w:p>
    <w:p>
      <w:pPr>
        <w:ind w:left="1360" w:right="120" w:hanging="304"/>
        <w:spacing w:after="0" w:line="244" w:lineRule="auto"/>
        <w:tabs>
          <w:tab w:leader="none" w:pos="13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Corporation, to fail to meet the requirements of 26 U.S.C. 401(a)(13) or 26 U.S.C. 411(a) and regulations thereunder.</w:t>
      </w:r>
    </w:p>
    <w:p>
      <w:pPr>
        <w:spacing w:after="0" w:line="169" w:lineRule="exact"/>
        <w:rPr>
          <w:sz w:val="20"/>
          <w:szCs w:val="20"/>
          <w:color w:val="auto"/>
        </w:rPr>
      </w:pPr>
    </w:p>
    <w:p>
      <w:pPr>
        <w:ind w:right="180" w:firstLine="10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VII. PROHIBITION AGAINST INDEMNIFICATION. </w:t>
      </w:r>
      <w:r>
        <w:rPr>
          <w:rFonts w:ascii="Times New Roman" w:cs="Times New Roman" w:eastAsia="Times New Roman" w:hAnsi="Times New Roman"/>
          <w:sz w:val="22"/>
          <w:szCs w:val="22"/>
          <w:color w:val="auto"/>
        </w:rPr>
        <w:t>Notwithstanding the terms of any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or insurance policy with any individual covered by this Policy, the Corporation shall not indemnify any Executive Officer, former Executive Officers or Covered Employees against the loss of erroneously awarded Incentive-Based Compensation, including any payment or reimbursement for the cost of insurance obtained by any such covered individual to fund amounts recoverable under this Policy.</w:t>
      </w:r>
    </w:p>
    <w:p>
      <w:pPr>
        <w:spacing w:after="0" w:line="177" w:lineRule="exact"/>
        <w:rPr>
          <w:sz w:val="20"/>
          <w:szCs w:val="20"/>
          <w:color w:val="auto"/>
        </w:rPr>
      </w:pPr>
    </w:p>
    <w:p>
      <w:pPr>
        <w:jc w:val="both"/>
        <w:ind w:right="60" w:firstLine="10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VIII. DISCLOSURE. </w:t>
      </w:r>
      <w:r>
        <w:rPr>
          <w:rFonts w:ascii="Times New Roman" w:cs="Times New Roman" w:eastAsia="Times New Roman" w:hAnsi="Times New Roman"/>
          <w:sz w:val="22"/>
          <w:szCs w:val="22"/>
          <w:color w:val="auto"/>
        </w:rPr>
        <w:t>The Corporation shall file all disclosures with respect to this Policy and recoveries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in accordance with the requirements of the United States Federal securities laws, including the disclosure required by the applicable SEC filings.</w:t>
      </w:r>
    </w:p>
    <w:p>
      <w:pPr>
        <w:spacing w:after="0" w:line="167" w:lineRule="exact"/>
        <w:rPr>
          <w:sz w:val="20"/>
          <w:szCs w:val="20"/>
          <w:color w:val="auto"/>
        </w:rPr>
      </w:pPr>
    </w:p>
    <w:p>
      <w:pPr>
        <w:ind w:firstLine="10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IX. ENFORCEABILITY. </w:t>
      </w:r>
      <w:r>
        <w:rPr>
          <w:rFonts w:ascii="Times New Roman" w:cs="Times New Roman" w:eastAsia="Times New Roman" w:hAnsi="Times New Roman"/>
          <w:sz w:val="22"/>
          <w:szCs w:val="22"/>
          <w:color w:val="auto"/>
        </w:rPr>
        <w:t>The Administrator may determine that any equity award agreement,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bonus plan or similar agreement or plan entered into or amended on or after the Effective Date shall, as a condition to the grant of any benefit covered by such agreement or plan, require a Covered Employee to contractually agree to abide by the terms of this Policy. Further, the adoption of this Policy does not mitigate, and is intended to enhance, the effect of any recoupment, forfeiture or similar policies in any equity award agreement, employment agreement or similar agreement in effect prior to the Effective Date. The remedy specified in this Policy shall not be exclusive and shall be in addition to every other right or remedy at law or in equity that may be available to the Corporation.</w:t>
      </w:r>
    </w:p>
    <w:p>
      <w:pPr>
        <w:spacing w:after="0" w:line="176" w:lineRule="exact"/>
        <w:rPr>
          <w:sz w:val="20"/>
          <w:szCs w:val="20"/>
          <w:color w:val="auto"/>
        </w:rPr>
      </w:pPr>
    </w:p>
    <w:p>
      <w:pPr>
        <w:ind w:right="220" w:firstLine="10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X. SEVERABILITY. </w:t>
      </w:r>
      <w:r>
        <w:rPr>
          <w:rFonts w:ascii="Times New Roman" w:cs="Times New Roman" w:eastAsia="Times New Roman" w:hAnsi="Times New Roman"/>
          <w:sz w:val="21"/>
          <w:szCs w:val="21"/>
          <w:color w:val="auto"/>
        </w:rPr>
        <w:t>The provisions in this Policy are intended to be applied to the fullest extent of the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58" w:lineRule="exact"/>
        <w:rPr>
          <w:sz w:val="20"/>
          <w:szCs w:val="20"/>
          <w:color w:val="auto"/>
        </w:rPr>
      </w:pPr>
    </w:p>
    <w:p>
      <w:pPr>
        <w:ind w:right="680" w:firstLine="10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XI. EFFECTIVENESS. </w:t>
      </w:r>
      <w:r>
        <w:rPr>
          <w:rFonts w:ascii="Times New Roman" w:cs="Times New Roman" w:eastAsia="Times New Roman" w:hAnsi="Times New Roman"/>
          <w:sz w:val="22"/>
          <w:szCs w:val="22"/>
          <w:color w:val="auto"/>
        </w:rPr>
        <w:t>This Policy, as amended and restated, shall be effective as of October 24, 2023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114" w:name="page115"/>
    <w:bookmarkEnd w:id="1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lvl w:ilvl="1">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1)"/>
      <w:numFmt w:val="lowerRoman"/>
      <w:start w:val="4"/>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lowerRoman"/>
      <w:start w:val="10"/>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lowerRoman"/>
      <w:start w:val="1"/>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upperLetter"/>
      <w:start w:val="9"/>
    </w:lvl>
  </w:abstractNum>
  <w:abstractNum w:abstractNumId="39">
    <w:nsid w:val="7E0C57B1"/>
    <w:multiLevelType w:val="hybridMultilevel"/>
    <w:lvl w:ilvl="0">
      <w:lvlJc w:val="left"/>
      <w:lvlText w:val="%1."/>
      <w:numFmt w:val="upperLetter"/>
      <w:start w:val="35"/>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upperLetter"/>
      <w:start w:val="6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lvl w:ilvl="1">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upperLetter"/>
      <w:start w:val="21"/>
    </w:lvl>
    <w:lvl w:ilvl="1">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upperLetter"/>
      <w:start w:val="9"/>
    </w:lvl>
  </w:abstractNum>
  <w:abstractNum w:abstractNumId="54">
    <w:nsid w:val="5F5E7FD0"/>
    <w:multiLevelType w:val="hybridMultilevel"/>
    <w:lvl w:ilvl="0">
      <w:lvlJc w:val="left"/>
      <w:lvlText w:val="%1."/>
      <w:numFmt w:val="upperLetter"/>
      <w:start w:val="35"/>
    </w:lvl>
  </w:abstractNum>
  <w:abstractNum w:abstractNumId="55">
    <w:nsid w:val="98A3148"/>
    <w:multiLevelType w:val="hybridMultilevel"/>
    <w:lvl w:ilvl="0">
      <w:lvlJc w:val="left"/>
      <w:lvlText w:val="%1."/>
      <w:numFmt w:val="upperLetter"/>
      <w:start w:val="61"/>
    </w:lvl>
  </w:abstractNum>
  <w:abstractNum w:abstractNumId="56">
    <w:nsid w:val="799D0247"/>
    <w:multiLevelType w:val="hybridMultilevel"/>
    <w:lvl w:ilvl="0">
      <w:lvlJc w:val="left"/>
      <w:lvlText w:val="%1."/>
      <w:numFmt w:val="upperLetter"/>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lvl w:ilvl="1">
      <w:lvlJc w:val="left"/>
      <w:lvlText w:val="•"/>
      <w:numFmt w:val="bullet"/>
      <w:start w:val="1"/>
    </w:lvl>
  </w:abstractNum>
  <w:abstractNum w:abstractNumId="59">
    <w:nsid w:val="168E121F"/>
    <w:multiLevelType w:val="hybridMultilevel"/>
    <w:lvl w:ilvl="0">
      <w:lvlJc w:val="left"/>
      <w:lvlText w:val="%1."/>
      <w:numFmt w:val="upperLetter"/>
      <w:start w:val="2"/>
    </w:lvl>
  </w:abstractNum>
  <w:abstractNum w:abstractNumId="60">
    <w:nsid w:val="1EBA5D23"/>
    <w:multiLevelType w:val="hybridMultilevel"/>
    <w:lvl w:ilvl="0">
      <w:lvlJc w:val="left"/>
      <w:lvlText w:val="%1."/>
      <w:numFmt w:val="upperLetter"/>
      <w:start w:val="3"/>
    </w:lvl>
  </w:abstractNum>
  <w:abstractNum w:abstractNumId="61">
    <w:nsid w:val="661E3F1E"/>
    <w:multiLevelType w:val="hybridMultilevel"/>
    <w:lvl w:ilvl="0">
      <w:lvlJc w:val="left"/>
      <w:lvlText w:val="%1."/>
      <w:numFmt w:val="upperLetter"/>
      <w:start w:val="1"/>
    </w:lvl>
  </w:abstractNum>
  <w:abstractNum w:abstractNumId="62">
    <w:nsid w:val="5DC79EA8"/>
    <w:multiLevelType w:val="hybridMultilevel"/>
    <w:lvl w:ilvl="0">
      <w:lvlJc w:val="left"/>
      <w:lvlText w:val="%1."/>
      <w:numFmt w:val="upperLetter"/>
      <w:start w:val="2"/>
    </w:lvl>
  </w:abstractNum>
  <w:abstractNum w:abstractNumId="63">
    <w:nsid w:val="540A471C"/>
    <w:multiLevelType w:val="hybridMultilevel"/>
    <w:lvl w:ilvl="0">
      <w:lvlJc w:val="left"/>
      <w:lvlText w:val="%1."/>
      <w:numFmt w:val="upperLetter"/>
      <w:start w:val="22"/>
    </w:lvl>
  </w:abstractNum>
  <w:abstractNum w:abstractNumId="64">
    <w:nsid w:val="7BD3EE7B"/>
    <w:multiLevelType w:val="hybridMultilevel"/>
    <w:lvl w:ilvl="0">
      <w:lvlJc w:val="left"/>
      <w:lvlText w:val="%1."/>
      <w:numFmt w:val="decimal"/>
      <w:start w:val="2"/>
    </w:lvl>
  </w:abstractNum>
  <w:abstractNum w:abstractNumId="65">
    <w:nsid w:val="51D9C56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6">
    <w:nsid w:val="613EFDC5"/>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67">
    <w:nsid w:val="BF72B14"/>
    <w:multiLevelType w:val="hybridMultilevel"/>
    <w:lvl w:ilvl="0">
      <w:lvlJc w:val="left"/>
      <w:lvlText w:val="%1."/>
      <w:numFmt w:val="upperLetter"/>
      <w:start w:val="2"/>
    </w:lvl>
  </w:abstractNum>
  <w:abstractNum w:abstractNumId="68">
    <w:nsid w:val="11447B73"/>
    <w:multiLevelType w:val="hybridMultilevel"/>
    <w:lvl w:ilvl="0">
      <w:lvlJc w:val="left"/>
      <w:lvlText w:val="(%1)"/>
      <w:numFmt w:val="lowerRoman"/>
      <w:start w:val="4"/>
    </w:lvl>
  </w:abstractNum>
  <w:abstractNum w:abstractNumId="69">
    <w:nsid w:val="42963E5A"/>
    <w:multiLevelType w:val="hybridMultilevel"/>
    <w:lvl w:ilvl="0">
      <w:lvlJc w:val="left"/>
      <w:lvlText w:val="(%1)"/>
      <w:numFmt w:val="lowerRoman"/>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lowerLetter"/>
      <w:start w:val="1"/>
    </w:lvl>
  </w:abstractNum>
  <w:abstractNum w:abstractNumId="72">
    <w:nsid w:val="1A32234B"/>
    <w:multiLevelType w:val="hybridMultilevel"/>
    <w:lvl w:ilvl="0">
      <w:lvlJc w:val="left"/>
      <w:lvlText w:val="%1."/>
      <w:numFmt w:val="decimal"/>
      <w:start w:val="5"/>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decimal"/>
      <w:start w:val="5"/>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upperLetter"/>
      <w:start w:val="35"/>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upperLetter"/>
      <w:start w:val="6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6" Type="http://schemas.openxmlformats.org/officeDocument/2006/relationships/image" Target="media/image521.png"/><Relationship Id="rId547" Type="http://schemas.openxmlformats.org/officeDocument/2006/relationships/image" Target="media/image522.png"/><Relationship Id="rId548"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4" Type="http://schemas.openxmlformats.org/officeDocument/2006/relationships/image" Target="media/image527.png"/><Relationship Id="rId555" Type="http://schemas.openxmlformats.org/officeDocument/2006/relationships/image" Target="media/image528.png"/><Relationship Id="rId557" Type="http://schemas.openxmlformats.org/officeDocument/2006/relationships/image" Target="media/image529.png"/><Relationship Id="rId558" Type="http://schemas.openxmlformats.org/officeDocument/2006/relationships/image" Target="media/image530.png"/><Relationship Id="rId559" Type="http://schemas.openxmlformats.org/officeDocument/2006/relationships/image" Target="media/image531.png"/><Relationship Id="rId561" Type="http://schemas.openxmlformats.org/officeDocument/2006/relationships/image" Target="media/image532.png"/><Relationship Id="rId562" Type="http://schemas.openxmlformats.org/officeDocument/2006/relationships/image" Target="media/image533.png"/><Relationship Id="rId563" Type="http://schemas.openxmlformats.org/officeDocument/2006/relationships/image" Target="media/image534.png"/><Relationship Id="rId565" Type="http://schemas.openxmlformats.org/officeDocument/2006/relationships/image" Target="media/image535.png"/><Relationship Id="rId566" Type="http://schemas.openxmlformats.org/officeDocument/2006/relationships/image" Target="media/image536.png"/><Relationship Id="rId568" Type="http://schemas.openxmlformats.org/officeDocument/2006/relationships/image" Target="media/image537.png"/><Relationship Id="rId569"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3" Type="http://schemas.openxmlformats.org/officeDocument/2006/relationships/image" Target="media/image547.png"/><Relationship Id="rId584" Type="http://schemas.openxmlformats.org/officeDocument/2006/relationships/image" Target="media/image548.png"/><Relationship Id="rId586" Type="http://schemas.openxmlformats.org/officeDocument/2006/relationships/image" Target="media/image549.png"/><Relationship Id="rId587" Type="http://schemas.openxmlformats.org/officeDocument/2006/relationships/image" Target="media/image550.png"/><Relationship Id="rId588" Type="http://schemas.openxmlformats.org/officeDocument/2006/relationships/image" Target="media/image551.png"/><Relationship Id="rId590" Type="http://schemas.openxmlformats.org/officeDocument/2006/relationships/image" Target="media/image552.png"/><Relationship Id="rId591" Type="http://schemas.openxmlformats.org/officeDocument/2006/relationships/image" Target="media/image553.png"/><Relationship Id="rId593" Type="http://schemas.openxmlformats.org/officeDocument/2006/relationships/image" Target="media/image554.png"/><Relationship Id="rId594" Type="http://schemas.openxmlformats.org/officeDocument/2006/relationships/image" Target="media/image555.png"/><Relationship Id="rId596" Type="http://schemas.openxmlformats.org/officeDocument/2006/relationships/image" Target="media/image556.png"/><Relationship Id="rId597" Type="http://schemas.openxmlformats.org/officeDocument/2006/relationships/image" Target="media/image557.png"/><Relationship Id="rId598" Type="http://schemas.openxmlformats.org/officeDocument/2006/relationships/image" Target="media/image558.png"/><Relationship Id="rId600" Type="http://schemas.openxmlformats.org/officeDocument/2006/relationships/image" Target="media/image559.png"/><Relationship Id="rId601" Type="http://schemas.openxmlformats.org/officeDocument/2006/relationships/image" Target="media/image560.png"/><Relationship Id="rId603" Type="http://schemas.openxmlformats.org/officeDocument/2006/relationships/image" Target="media/image561.png"/><Relationship Id="rId604" Type="http://schemas.openxmlformats.org/officeDocument/2006/relationships/image" Target="media/image562.png"/><Relationship Id="rId605" Type="http://schemas.openxmlformats.org/officeDocument/2006/relationships/image" Target="media/image563.png"/><Relationship Id="rId606" Type="http://schemas.openxmlformats.org/officeDocument/2006/relationships/image" Target="media/image564.png"/><Relationship Id="rId607" Type="http://schemas.openxmlformats.org/officeDocument/2006/relationships/image" Target="media/image565.png"/><Relationship Id="rId608" Type="http://schemas.openxmlformats.org/officeDocument/2006/relationships/image" Target="media/image566.png"/><Relationship Id="rId609" Type="http://schemas.openxmlformats.org/officeDocument/2006/relationships/image" Target="media/image567.png"/><Relationship Id="rId610" Type="http://schemas.openxmlformats.org/officeDocument/2006/relationships/image" Target="media/image568.png"/><Relationship Id="rId611" Type="http://schemas.openxmlformats.org/officeDocument/2006/relationships/image" Target="media/image569.png"/><Relationship Id="rId612" Type="http://schemas.openxmlformats.org/officeDocument/2006/relationships/image" Target="media/image570.png"/><Relationship Id="rId613" Type="http://schemas.openxmlformats.org/officeDocument/2006/relationships/image" Target="media/image571.png"/><Relationship Id="rId614" Type="http://schemas.openxmlformats.org/officeDocument/2006/relationships/image" Target="media/image572.png"/><Relationship Id="rId615" Type="http://schemas.openxmlformats.org/officeDocument/2006/relationships/image" Target="media/image573.png"/><Relationship Id="rId616" Type="http://schemas.openxmlformats.org/officeDocument/2006/relationships/image" Target="media/image574.png"/><Relationship Id="rId617" Type="http://schemas.openxmlformats.org/officeDocument/2006/relationships/image" Target="media/image575.png"/><Relationship Id="rId618" Type="http://schemas.openxmlformats.org/officeDocument/2006/relationships/image" Target="media/image576.jpeg"/><Relationship Id="rId619" Type="http://schemas.openxmlformats.org/officeDocument/2006/relationships/image" Target="media/image577.png"/><Relationship Id="rId620" Type="http://schemas.openxmlformats.org/officeDocument/2006/relationships/image" Target="media/image578.png"/><Relationship Id="rId621" Type="http://schemas.openxmlformats.org/officeDocument/2006/relationships/image" Target="media/image579.png"/><Relationship Id="rId622" Type="http://schemas.openxmlformats.org/officeDocument/2006/relationships/image" Target="media/image580.png"/><Relationship Id="rId623" Type="http://schemas.openxmlformats.org/officeDocument/2006/relationships/image" Target="media/image581.png"/><Relationship Id="rId624" Type="http://schemas.openxmlformats.org/officeDocument/2006/relationships/image" Target="media/image582.png"/><Relationship Id="rId625" Type="http://schemas.openxmlformats.org/officeDocument/2006/relationships/image" Target="media/image583.png"/><Relationship Id="rId626" Type="http://schemas.openxmlformats.org/officeDocument/2006/relationships/image" Target="media/image584.png"/><Relationship Id="rId627" Type="http://schemas.openxmlformats.org/officeDocument/2006/relationships/image" Target="media/image585.png"/><Relationship Id="rId628" Type="http://schemas.openxmlformats.org/officeDocument/2006/relationships/image" Target="media/image586.png"/><Relationship Id="rId629" Type="http://schemas.openxmlformats.org/officeDocument/2006/relationships/image" Target="media/image587.png"/><Relationship Id="rId630" Type="http://schemas.openxmlformats.org/officeDocument/2006/relationships/image" Target="media/image588.png"/><Relationship Id="rId631" Type="http://schemas.openxmlformats.org/officeDocument/2006/relationships/image" Target="media/image589.png"/><Relationship Id="rId632" Type="http://schemas.openxmlformats.org/officeDocument/2006/relationships/image" Target="media/image590.png"/><Relationship Id="rId633" Type="http://schemas.openxmlformats.org/officeDocument/2006/relationships/image" Target="media/image591.png"/><Relationship Id="rId634" Type="http://schemas.openxmlformats.org/officeDocument/2006/relationships/image" Target="media/image592.png"/><Relationship Id="rId635" Type="http://schemas.openxmlformats.org/officeDocument/2006/relationships/image" Target="media/image593.png"/><Relationship Id="rId636" Type="http://schemas.openxmlformats.org/officeDocument/2006/relationships/image" Target="media/image594.png"/><Relationship Id="rId637" Type="http://schemas.openxmlformats.org/officeDocument/2006/relationships/image" Target="media/image595.png"/><Relationship Id="rId638" Type="http://schemas.openxmlformats.org/officeDocument/2006/relationships/image" Target="media/image596.png"/><Relationship Id="rId639" Type="http://schemas.openxmlformats.org/officeDocument/2006/relationships/image" Target="media/image597.png"/><Relationship Id="rId640" Type="http://schemas.openxmlformats.org/officeDocument/2006/relationships/image" Target="media/image598.png"/><Relationship Id="rId641" Type="http://schemas.openxmlformats.org/officeDocument/2006/relationships/image" Target="media/image599.png"/><Relationship Id="rId642" Type="http://schemas.openxmlformats.org/officeDocument/2006/relationships/image" Target="media/image600.png"/><Relationship Id="rId643" Type="http://schemas.openxmlformats.org/officeDocument/2006/relationships/image" Target="media/image601.png"/><Relationship Id="rId644" Type="http://schemas.openxmlformats.org/officeDocument/2006/relationships/image" Target="media/image602.png"/><Relationship Id="rId645" Type="http://schemas.openxmlformats.org/officeDocument/2006/relationships/image" Target="media/image603.png"/><Relationship Id="rId526" Type="http://schemas.openxmlformats.org/officeDocument/2006/relationships/hyperlink" Target="https://www.sec.gov/Archives/edgar/data/1803696/000119312522258605/d514385dex21.htm" TargetMode="External"/><Relationship Id="rId527" Type="http://schemas.openxmlformats.org/officeDocument/2006/relationships/hyperlink" Target="https://www.sec.gov/Archives/edgar/data/1803696/000119312520156658/d933307dex31.htm" TargetMode="External"/><Relationship Id="rId528" Type="http://schemas.openxmlformats.org/officeDocument/2006/relationships/hyperlink" Target="https://www.sec.gov/Archives/edgar/data/1803696/000119312522258605/d514385dex31.htm" TargetMode="External"/><Relationship Id="rId529" Type="http://schemas.openxmlformats.org/officeDocument/2006/relationships/hyperlink" Target="https://www.sec.gov/Archives/edgar/data/1803696/000095017023005437/adea-ex3_2.htm" TargetMode="External"/><Relationship Id="rId530" Type="http://schemas.openxmlformats.org/officeDocument/2006/relationships/hyperlink" Target="https://www.sec.gov/Archives/edgar/data/1803696/000095017022023885/adea-ex3_2.htm" TargetMode="External"/><Relationship Id="rId531" Type="http://schemas.openxmlformats.org/officeDocument/2006/relationships/hyperlink" Target="https://www.sec.gov/Archives/edgar/data/1690666/000162828017007884/exhibit10363017.htm" TargetMode="External"/><Relationship Id="rId532" Type="http://schemas.openxmlformats.org/officeDocument/2006/relationships/hyperlink" Target="https://www.sec.gov/Archives/edgar/data/1690666/000119312520002967/d863847dex101.htm" TargetMode="External"/><Relationship Id="rId533" Type="http://schemas.openxmlformats.org/officeDocument/2006/relationships/hyperlink" Target="https://www.sec.gov/Archives/edgar/data/1803696/000119312520156658/d933307dex101.htm" TargetMode="External"/><Relationship Id="rId534" Type="http://schemas.openxmlformats.org/officeDocument/2006/relationships/hyperlink" Target="https://www.sec.gov/Archives/edgar/data/1803696/000119312520156658/d933307dex102.htm" TargetMode="External"/><Relationship Id="rId535" Type="http://schemas.openxmlformats.org/officeDocument/2006/relationships/hyperlink" Target="https://www.sec.gov/Archives/edgar/data/1803696/000119312520156658/d933307dex103.htm" TargetMode="External"/><Relationship Id="rId536" Type="http://schemas.openxmlformats.org/officeDocument/2006/relationships/hyperlink" Target="https://www.sec.gov/ix?doc=/Archives/edgar/data/0001803696/000095017024062378/adea-20240520.htm" TargetMode="External"/><Relationship Id="rId537" Type="http://schemas.openxmlformats.org/officeDocument/2006/relationships/hyperlink" Target="https://www.sec.gov/ix?doc=/Archives/edgar/data/0001803696/000095017025011133/adea-20250130.htm" TargetMode="External"/><Relationship Id="rId538" Type="http://schemas.openxmlformats.org/officeDocument/2006/relationships/hyperlink" Target="https://www.sec.gov/Archives/edgar/data/1803696/000119312520157276/d933348dex410.htm" TargetMode="External"/><Relationship Id="rId539" Type="http://schemas.openxmlformats.org/officeDocument/2006/relationships/hyperlink" Target="https://www.sec.gov/Archives/edgar/data/1803696/000156459022010650/xper-def14a_20211231.htm#Appendix_A_2022" TargetMode="External"/><Relationship Id="rId540" Type="http://schemas.openxmlformats.org/officeDocument/2006/relationships/hyperlink" Target="https://www.sec.gov/Archives/edgar/data/1803696/000119312520157276/d933348dex411.htm" TargetMode="External"/><Relationship Id="rId541" Type="http://schemas.openxmlformats.org/officeDocument/2006/relationships/hyperlink" Target="https://www.sec.gov/Archives/edgar/data/1803696/000156459022010650/xper-def14a_20211231.htm#Appendix_B_2022" TargetMode="External"/><Relationship Id="rId542" Type="http://schemas.openxmlformats.org/officeDocument/2006/relationships/hyperlink" Target="https://www.sec.gov/Archives/edgar/data/1803696/000119312520156658/d933307dex104.htm" TargetMode="External"/><Relationship Id="rId545" Type="http://schemas.openxmlformats.org/officeDocument/2006/relationships/hyperlink" Target="https://www.sec.gov/Archives/edgar/data/1803696/000119312520157322/d933352dex1012.htm" TargetMode="External"/><Relationship Id="rId549" Type="http://schemas.openxmlformats.org/officeDocument/2006/relationships/hyperlink" Target="https://www.sec.gov/Archives/edgar/data/1803696/000119312520157322/d933352dex1013.htm" TargetMode="External"/><Relationship Id="rId553" Type="http://schemas.openxmlformats.org/officeDocument/2006/relationships/hyperlink" Target="https://www.sec.gov/Archives/edgar/data/1675820/000167582019000013/tivodefproxy-2019annualmee.htm" TargetMode="External"/><Relationship Id="rId556" Type="http://schemas.openxmlformats.org/officeDocument/2006/relationships/hyperlink" Target="https://www.sec.gov/Archives/edgar/data/1675820/000119312516706588/d255046ds8.htm" TargetMode="External"/><Relationship Id="rId560" Type="http://schemas.openxmlformats.org/officeDocument/2006/relationships/hyperlink" Target="https://www.sec.gov/Archives/edgar/data/1690666/000119312518120171/d570588ddefa14a.htm" TargetMode="External"/><Relationship Id="rId564" Type="http://schemas.openxmlformats.org/officeDocument/2006/relationships/hyperlink" Target="https://www.sec.gov/Archives/edgar/data/1226308/000110465914062267/a14-19382_1ex10d1.htm" TargetMode="External"/><Relationship Id="rId567" Type="http://schemas.openxmlformats.org/officeDocument/2006/relationships/hyperlink" Target="https://www.sec.gov/Archives/edgar/data/1226308/000110465915058323/a15-17214_1ex99d3.htm" TargetMode="External"/><Relationship Id="rId570" Type="http://schemas.openxmlformats.org/officeDocument/2006/relationships/hyperlink" Target="https://www.sec.gov/Archives/edgar/data/1226308/000110465915077313/a15-22453_1ex99d3.htm" TargetMode="External"/><Relationship Id="rId573" Type="http://schemas.openxmlformats.org/officeDocument/2006/relationships/hyperlink" Target="https://www.sec.gov/Archives/edgar/data/1226308/000130817915000133/ldts2015_def14a.htm" TargetMode="External"/><Relationship Id="rId576" Type="http://schemas.openxmlformats.org/officeDocument/2006/relationships/hyperlink" Target="https://www.sec.gov/Archives/edgar/data/1226308/000110465912057415/a12-18096_1ex4d4.htm" TargetMode="External"/><Relationship Id="rId579" Type="http://schemas.openxmlformats.org/officeDocument/2006/relationships/hyperlink" Target="https://www.sec.gov/Archives/edgar/data/1226308/000104746910009412/a2200716zex-10_1.htm" TargetMode="External"/><Relationship Id="rId582" Type="http://schemas.openxmlformats.org/officeDocument/2006/relationships/hyperlink" Target="https://www.sec.gov/Archives/edgar/data/1803696/000095017023002897/adea-ex10_1.htm" TargetMode="External"/><Relationship Id="rId585" Type="http://schemas.openxmlformats.org/officeDocument/2006/relationships/hyperlink" Target="https://www.sec.gov/Archives/edgar/data/1803696/000095017023002897/adea-ex10_2.htm" TargetMode="External"/><Relationship Id="rId589" Type="http://schemas.openxmlformats.org/officeDocument/2006/relationships/hyperlink" Target="https://www.sec.gov/Archives/edgar/data/1803696/000119312522258605/d514385dex101.htm" TargetMode="External"/><Relationship Id="rId592" Type="http://schemas.openxmlformats.org/officeDocument/2006/relationships/hyperlink" Target="https://www.sec.gov/Archives/edgar/data/1803696/000119312522258605/d514385dex102.htm" TargetMode="External"/><Relationship Id="rId595" Type="http://schemas.openxmlformats.org/officeDocument/2006/relationships/hyperlink" Target="https://www.sec.gov/Archives/edgar/data/1803696/000119312522258605/d514385dex103.htm" TargetMode="External"/><Relationship Id="rId599" Type="http://schemas.openxmlformats.org/officeDocument/2006/relationships/hyperlink" Target="https://www.sec.gov/Archives/edgar/data/1803696/000119312522258605/d514385dex104.htm" TargetMode="External"/><Relationship Id="rId602" Type="http://schemas.openxmlformats.org/officeDocument/2006/relationships/hyperlink" Target="https://www.sec.gov/Archives/edgar/data/1803696/000119312522258605/d514385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2025-02-19T15:25:00Z</dcterms:created>
  <dcterms:modified xsi:type="dcterms:W3CDTF">2025-02-19T15:25:00Z</dcterms:modified>
</cp:coreProperties>
</file>