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172720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156845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ADEIA INC.</w:t>
      </w:r>
    </w:p>
    <w:p>
      <w:pPr>
        <w:spacing w:after="0" w:line="4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tbl>
      <w:tblPr>
        <w:tblLayout w:type="fixed"/>
        <w:tblInd w:w="880" w:type="dxa"/>
        <w:tblCellMar>
          <w:top w:w="0" w:type="dxa"/>
          <w:left w:w="0" w:type="dxa"/>
          <w:bottom w:w="0" w:type="dxa"/>
          <w:right w:w="0" w:type="dxa"/>
        </w:tblCellMar>
      </w:tblPr>
      <w:tr>
        <w:trPr>
          <w:trHeight w:val="222"/>
        </w:trPr>
        <w:tc>
          <w:tcPr>
            <w:tcW w:w="2280" w:type="dxa"/>
            <w:vAlign w:val="bottom"/>
          </w:tcPr>
          <w:p>
            <w:pPr>
              <w:jc w:val="center"/>
              <w:ind w:right="27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80" w:type="dxa"/>
            <w:vAlign w:val="bottom"/>
          </w:tcPr>
          <w:p>
            <w:pPr>
              <w:jc w:val="center"/>
              <w:ind w:right="55"/>
              <w:spacing w:after="0"/>
              <w:rPr>
                <w:sz w:val="20"/>
                <w:szCs w:val="20"/>
                <w:color w:val="auto"/>
              </w:rPr>
            </w:pPr>
            <w:r>
              <w:rPr>
                <w:rFonts w:ascii="Times New Roman" w:cs="Times New Roman" w:eastAsia="Times New Roman" w:hAnsi="Times New Roman"/>
                <w:sz w:val="18"/>
                <w:szCs w:val="18"/>
                <w:b w:val="1"/>
                <w:bCs w:val="1"/>
                <w:color w:val="auto"/>
                <w:w w:val="99"/>
              </w:rPr>
              <w:t>001-39304</w:t>
            </w:r>
          </w:p>
        </w:tc>
        <w:tc>
          <w:tcPr>
            <w:tcW w:w="1820" w:type="dxa"/>
            <w:vAlign w:val="bottom"/>
          </w:tcPr>
          <w:p>
            <w:pPr>
              <w:jc w:val="center"/>
              <w:ind w:left="456"/>
              <w:spacing w:after="0"/>
              <w:rPr>
                <w:sz w:val="20"/>
                <w:szCs w:val="20"/>
                <w:color w:val="auto"/>
              </w:rPr>
            </w:pPr>
            <w:r>
              <w:rPr>
                <w:rFonts w:ascii="Times New Roman" w:cs="Times New Roman" w:eastAsia="Times New Roman" w:hAnsi="Times New Roman"/>
                <w:sz w:val="18"/>
                <w:szCs w:val="18"/>
                <w:b w:val="1"/>
                <w:bCs w:val="1"/>
                <w:color w:val="auto"/>
              </w:rPr>
              <w:t>84-4734590</w:t>
            </w:r>
          </w:p>
        </w:tc>
      </w:tr>
      <w:tr>
        <w:trPr>
          <w:trHeight w:val="203"/>
        </w:trPr>
        <w:tc>
          <w:tcPr>
            <w:tcW w:w="2280" w:type="dxa"/>
            <w:vAlign w:val="bottom"/>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50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1820" w:type="dxa"/>
            <w:vAlign w:val="bottom"/>
          </w:tcPr>
          <w:p>
            <w:pPr>
              <w:jc w:val="center"/>
              <w:ind w:left="456"/>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2280" w:type="dxa"/>
            <w:vAlign w:val="bottom"/>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50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File Number)</w:t>
            </w:r>
          </w:p>
        </w:tc>
        <w:tc>
          <w:tcPr>
            <w:tcW w:w="1820" w:type="dxa"/>
            <w:vAlign w:val="bottom"/>
          </w:tcPr>
          <w:p>
            <w:pPr>
              <w:jc w:val="center"/>
              <w:ind w:left="456"/>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416"/>
        </w:trPr>
        <w:tc>
          <w:tcPr>
            <w:tcW w:w="2280" w:type="dxa"/>
            <w:vAlign w:val="bottom"/>
          </w:tcPr>
          <w:p>
            <w:pPr>
              <w:spacing w:after="0"/>
              <w:rPr>
                <w:sz w:val="24"/>
                <w:szCs w:val="24"/>
                <w:color w:val="auto"/>
              </w:rPr>
            </w:pPr>
          </w:p>
        </w:tc>
        <w:tc>
          <w:tcPr>
            <w:tcW w:w="508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3025 Orchard Parkway</w:t>
            </w:r>
          </w:p>
        </w:tc>
        <w:tc>
          <w:tcPr>
            <w:tcW w:w="1820" w:type="dxa"/>
            <w:vAlign w:val="bottom"/>
          </w:tcPr>
          <w:p>
            <w:pPr>
              <w:spacing w:after="0"/>
              <w:rPr>
                <w:sz w:val="24"/>
                <w:szCs w:val="24"/>
                <w:color w:val="auto"/>
              </w:rPr>
            </w:pPr>
          </w:p>
        </w:tc>
      </w:tr>
      <w:tr>
        <w:trPr>
          <w:trHeight w:val="222"/>
        </w:trPr>
        <w:tc>
          <w:tcPr>
            <w:tcW w:w="2280" w:type="dxa"/>
            <w:vAlign w:val="bottom"/>
          </w:tcPr>
          <w:p>
            <w:pPr>
              <w:spacing w:after="0"/>
              <w:rPr>
                <w:sz w:val="19"/>
                <w:szCs w:val="19"/>
                <w:color w:val="auto"/>
              </w:rPr>
            </w:pPr>
          </w:p>
        </w:tc>
        <w:tc>
          <w:tcPr>
            <w:tcW w:w="508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San Jose, California 95134</w:t>
            </w:r>
          </w:p>
        </w:tc>
        <w:tc>
          <w:tcPr>
            <w:tcW w:w="1820" w:type="dxa"/>
            <w:vAlign w:val="bottom"/>
          </w:tcPr>
          <w:p>
            <w:pPr>
              <w:spacing w:after="0"/>
              <w:rPr>
                <w:sz w:val="19"/>
                <w:szCs w:val="19"/>
                <w:color w:val="auto"/>
              </w:rPr>
            </w:pPr>
          </w:p>
        </w:tc>
      </w:tr>
      <w:tr>
        <w:trPr>
          <w:trHeight w:val="212"/>
        </w:trPr>
        <w:tc>
          <w:tcPr>
            <w:tcW w:w="2280" w:type="dxa"/>
            <w:vAlign w:val="bottom"/>
          </w:tcPr>
          <w:p>
            <w:pPr>
              <w:spacing w:after="0"/>
              <w:rPr>
                <w:sz w:val="18"/>
                <w:szCs w:val="18"/>
                <w:color w:val="auto"/>
              </w:rPr>
            </w:pPr>
          </w:p>
        </w:tc>
        <w:tc>
          <w:tcPr>
            <w:tcW w:w="50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tc>
        <w:tc>
          <w:tcPr>
            <w:tcW w:w="1820" w:type="dxa"/>
            <w:vAlign w:val="bottom"/>
          </w:tcPr>
          <w:p>
            <w:pPr>
              <w:spacing w:after="0"/>
              <w:rPr>
                <w:sz w:val="18"/>
                <w:szCs w:val="18"/>
                <w:color w:val="auto"/>
              </w:rPr>
            </w:pPr>
          </w:p>
        </w:tc>
      </w:tr>
      <w:tr>
        <w:trPr>
          <w:trHeight w:val="422"/>
        </w:trPr>
        <w:tc>
          <w:tcPr>
            <w:tcW w:w="2280" w:type="dxa"/>
            <w:vAlign w:val="bottom"/>
          </w:tcPr>
          <w:p>
            <w:pPr>
              <w:spacing w:after="0"/>
              <w:rPr>
                <w:sz w:val="24"/>
                <w:szCs w:val="24"/>
                <w:color w:val="auto"/>
              </w:rPr>
            </w:pPr>
          </w:p>
        </w:tc>
        <w:tc>
          <w:tcPr>
            <w:tcW w:w="508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(408) 473-2500</w:t>
            </w:r>
          </w:p>
        </w:tc>
        <w:tc>
          <w:tcPr>
            <w:tcW w:w="1820" w:type="dxa"/>
            <w:vAlign w:val="bottom"/>
          </w:tcPr>
          <w:p>
            <w:pPr>
              <w:spacing w:after="0"/>
              <w:rPr>
                <w:sz w:val="24"/>
                <w:szCs w:val="24"/>
                <w:color w:val="auto"/>
              </w:rPr>
            </w:pPr>
          </w:p>
        </w:tc>
      </w:tr>
      <w:tr>
        <w:trPr>
          <w:trHeight w:val="212"/>
        </w:trPr>
        <w:tc>
          <w:tcPr>
            <w:tcW w:w="2280" w:type="dxa"/>
            <w:vAlign w:val="bottom"/>
          </w:tcPr>
          <w:p>
            <w:pPr>
              <w:spacing w:after="0"/>
              <w:rPr>
                <w:sz w:val="18"/>
                <w:szCs w:val="18"/>
                <w:color w:val="auto"/>
              </w:rPr>
            </w:pPr>
          </w:p>
        </w:tc>
        <w:tc>
          <w:tcPr>
            <w:tcW w:w="50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8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6"/>
          <w:szCs w:val="16"/>
          <w:color w:val="auto"/>
        </w:rPr>
      </w:pPr>
    </w:p>
    <w:p>
      <w:pPr>
        <w:ind w:left="560" w:hanging="455"/>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560" w:hanging="455"/>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560" w:hanging="455"/>
        <w:spacing w:after="0"/>
        <w:tabs>
          <w:tab w:leader="none" w:pos="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Securities </w:t>
            </w:r>
            <w:r>
              <w:rPr>
                <w:rFonts w:ascii="Times New Roman" w:cs="Times New Roman" w:eastAsia="Times New Roman" w:hAnsi="Times New Roman"/>
                <w:sz w:val="17"/>
                <w:szCs w:val="17"/>
                <w:color w:val="auto"/>
              </w:rPr>
              <w:t>registered pursuant to Section 12(b) of the Act:</w:t>
            </w:r>
          </w:p>
        </w:tc>
        <w:tc>
          <w:tcPr>
            <w:tcW w:w="110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239"/>
        </w:trPr>
        <w:tc>
          <w:tcPr>
            <w:tcW w:w="5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r>
      <w:tr>
        <w:trPr>
          <w:trHeight w:val="150"/>
        </w:trPr>
        <w:tc>
          <w:tcPr>
            <w:tcW w:w="5100" w:type="dxa"/>
            <w:vAlign w:val="bottom"/>
            <w:tcBorders>
              <w:left w:val="single" w:sz="8" w:color="auto"/>
              <w:right w:val="single" w:sz="8" w:color="auto"/>
            </w:tcBorders>
          </w:tcPr>
          <w:p>
            <w:pPr>
              <w:spacing w:after="0"/>
              <w:rPr>
                <w:sz w:val="13"/>
                <w:szCs w:val="13"/>
                <w:color w:val="auto"/>
              </w:rPr>
            </w:pPr>
          </w:p>
        </w:tc>
        <w:tc>
          <w:tcPr>
            <w:tcW w:w="1100" w:type="dxa"/>
            <w:vAlign w:val="bottom"/>
            <w:tcBorders>
              <w:right w:val="single" w:sz="8" w:color="auto"/>
            </w:tcBorders>
          </w:tcPr>
          <w:p>
            <w:pPr>
              <w:jc w:val="center"/>
              <w:spacing w:after="0" w:line="150" w:lineRule="exact"/>
              <w:rPr>
                <w:sz w:val="20"/>
                <w:szCs w:val="20"/>
                <w:color w:val="auto"/>
              </w:rPr>
            </w:pPr>
            <w:r>
              <w:rPr>
                <w:rFonts w:ascii="Times New Roman" w:cs="Times New Roman" w:eastAsia="Times New Roman" w:hAnsi="Times New Roman"/>
                <w:sz w:val="17"/>
                <w:szCs w:val="17"/>
                <w:b w:val="1"/>
                <w:bCs w:val="1"/>
                <w:color w:val="auto"/>
              </w:rPr>
              <w:t>Trading</w:t>
            </w:r>
          </w:p>
        </w:tc>
        <w:tc>
          <w:tcPr>
            <w:tcW w:w="5040" w:type="dxa"/>
            <w:vAlign w:val="bottom"/>
            <w:tcBorders>
              <w:right w:val="single" w:sz="8" w:color="auto"/>
            </w:tcBorders>
          </w:tcPr>
          <w:p>
            <w:pPr>
              <w:spacing w:after="0"/>
              <w:rPr>
                <w:sz w:val="13"/>
                <w:szCs w:val="13"/>
                <w:color w:val="auto"/>
              </w:rPr>
            </w:pPr>
          </w:p>
        </w:tc>
      </w:tr>
      <w:tr>
        <w:trPr>
          <w:trHeight w:val="235"/>
        </w:trPr>
        <w:tc>
          <w:tcPr>
            <w:tcW w:w="5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94"/>
        </w:trPr>
        <w:tc>
          <w:tcPr>
            <w:tcW w:w="5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ADEA</w:t>
            </w:r>
          </w:p>
        </w:tc>
        <w:tc>
          <w:tcPr>
            <w:tcW w:w="5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231F1F"/>
        </w:rPr>
        <w:t>Indicate by check mark whether the registrant is an emerging growth company as defined in Rule 405 of the Securities Act of 1933 (§230.405 of this chapter) or Rule 12b-2 of the Securities Exchange Act of 1934 (§240.12b-2 of this chapter).</w:t>
      </w:r>
    </w:p>
    <w:p>
      <w:pPr>
        <w:spacing w:after="0" w:line="14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1F"/>
        </w:rPr>
        <w:t xml:space="preserve">Emerging growth company </w:t>
      </w:r>
      <w:r>
        <w:rPr>
          <w:rFonts w:ascii="MS PGothic" w:cs="MS PGothic" w:eastAsia="MS PGothic" w:hAnsi="MS PGothic"/>
          <w:sz w:val="16"/>
          <w:szCs w:val="16"/>
          <w:color w:val="231F1F"/>
        </w:rPr>
        <w:t>☐</w:t>
      </w:r>
    </w:p>
    <w:p>
      <w:pPr>
        <w:spacing w:after="0" w:line="24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231F1F"/>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231F1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129"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On May 4, 2026, Adeia Inc. (the “Company” or “Adeia”) announced its financial results for the first quarter ended March 31, 2026. A copy of the Company’s press release announcing these financial results and other information regarding its financial condition is attached hereto as Exhibit 99.1 to this Form 8-K.</w:t>
      </w:r>
    </w:p>
    <w:p>
      <w:pPr>
        <w:spacing w:after="0" w:line="56" w:lineRule="exact"/>
        <w:rPr>
          <w:sz w:val="20"/>
          <w:szCs w:val="20"/>
          <w:color w:val="auto"/>
        </w:rPr>
      </w:pPr>
    </w:p>
    <w:p>
      <w:pPr>
        <w:jc w:val="both"/>
        <w:ind w:right="500"/>
        <w:spacing w:after="0" w:line="281" w:lineRule="auto"/>
        <w:rPr>
          <w:sz w:val="20"/>
          <w:szCs w:val="20"/>
          <w:color w:val="auto"/>
        </w:rPr>
      </w:pPr>
      <w:r>
        <w:rPr>
          <w:rFonts w:ascii="Times New Roman" w:cs="Times New Roman" w:eastAsia="Times New Roman" w:hAnsi="Times New Roman"/>
          <w:sz w:val="16"/>
          <w:szCs w:val="16"/>
          <w:color w:val="auto"/>
        </w:rPr>
        <w:t>The information in Item 2.02 of this report,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the Exchange Act.</w:t>
      </w:r>
    </w:p>
    <w:p>
      <w:pPr>
        <w:spacing w:after="0" w:line="2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2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(d)</w:t>
        <w:tab/>
        <w:t>Exhibits.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7520" w:type="dxa"/>
            <w:vAlign w:val="bottom"/>
            <w:shd w:val="clear" w:color="auto" w:fill="000000"/>
          </w:tcPr>
          <w:p>
            <w:pPr>
              <w:spacing w:after="0" w:line="20" w:lineRule="exact"/>
              <w:rPr>
                <w:sz w:val="1"/>
                <w:szCs w:val="1"/>
                <w:color w:val="auto"/>
              </w:rPr>
            </w:pPr>
          </w:p>
        </w:tc>
      </w:tr>
      <w:tr>
        <w:trPr>
          <w:trHeight w:val="277"/>
        </w:trPr>
        <w:tc>
          <w:tcPr>
            <w:tcW w:w="1480" w:type="dxa"/>
            <w:vAlign w:val="bottom"/>
          </w:tcPr>
          <w:p>
            <w:pPr>
              <w:jc w:val="right"/>
              <w:ind w:right="516"/>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Press Release dated May 4, 2026</w:t>
            </w:r>
          </w:p>
        </w:tc>
      </w:tr>
      <w:tr>
        <w:trPr>
          <w:trHeight w:val="20"/>
        </w:trPr>
        <w:tc>
          <w:tcPr>
            <w:tcW w:w="14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366"/>
        </w:trPr>
        <w:tc>
          <w:tcPr>
            <w:tcW w:w="1480" w:type="dxa"/>
            <w:vAlign w:val="bottom"/>
          </w:tcPr>
          <w:p>
            <w:pPr>
              <w:jc w:val="right"/>
              <w:ind w:right="536"/>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985"/>
        </w:trPr>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37"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6"/>
          <w:szCs w:val="16"/>
          <w:color w:val="auto"/>
        </w:rPr>
        <w:t>Date: May 4, 2026</w:t>
      </w:r>
      <w:r>
        <w:rPr>
          <w:sz w:val="20"/>
          <w:szCs w:val="20"/>
          <w:color w:val="auto"/>
        </w:rPr>
        <w:tab/>
      </w:r>
      <w:r>
        <w:rPr>
          <w:rFonts w:ascii="Times New Roman" w:cs="Times New Roman" w:eastAsia="Times New Roman" w:hAnsi="Times New Roman"/>
          <w:sz w:val="16"/>
          <w:szCs w:val="16"/>
          <w:b w:val="1"/>
          <w:bCs w:val="1"/>
          <w:color w:val="auto"/>
        </w:rPr>
        <w:t>ADEIA INC.</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Keith A. Jones</w:t>
            </w:r>
          </w:p>
        </w:tc>
      </w:tr>
      <w:tr>
        <w:trPr>
          <w:trHeight w:val="204"/>
        </w:trPr>
        <w:tc>
          <w:tcPr>
            <w:tcW w:w="628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Name:</w:t>
            </w:r>
          </w:p>
        </w:tc>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Keith A. Jones</w:t>
            </w:r>
          </w:p>
        </w:tc>
      </w:tr>
      <w:tr>
        <w:trPr>
          <w:trHeight w:val="391"/>
        </w:trPr>
        <w:tc>
          <w:tcPr>
            <w:tcW w:w="6280" w:type="dxa"/>
            <w:vAlign w:val="bottom"/>
          </w:tcPr>
          <w:p>
            <w:pPr>
              <w:ind w:left="5620"/>
              <w:spacing w:after="0"/>
              <w:rPr>
                <w:sz w:val="20"/>
                <w:szCs w:val="20"/>
                <w:color w:val="auto"/>
              </w:rPr>
            </w:pPr>
            <w:r>
              <w:rPr>
                <w:rFonts w:ascii="Times New Roman" w:cs="Times New Roman" w:eastAsia="Times New Roman" w:hAnsi="Times New Roman"/>
                <w:sz w:val="16"/>
                <w:szCs w:val="16"/>
                <w:color w:val="auto"/>
              </w:rPr>
              <w:t>Title:</w:t>
            </w:r>
          </w:p>
        </w:tc>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985"/>
        </w:trPr>
        <w:tc>
          <w:tcPr>
            <w:tcW w:w="62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9525</wp:posOffset>
            </wp:positionV>
            <wp:extent cx="1482725"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827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ADEIA ANNOUNCES FIRST QUARTER 2026 FINANCIAL RESULTS</w:t>
      </w:r>
    </w:p>
    <w:p>
      <w:pPr>
        <w:spacing w:after="0" w:line="242" w:lineRule="exact"/>
        <w:rPr>
          <w:sz w:val="20"/>
          <w:szCs w:val="20"/>
          <w:color w:val="auto"/>
        </w:rPr>
      </w:pPr>
    </w:p>
    <w:p>
      <w:pPr>
        <w:jc w:val="center"/>
        <w:ind w:left="340" w:right="2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Signed new license agreements with AMD and Microsoft Generated $58 million in cash from operations and achieved 60% adjusted EBITDA margin Paid down debt by $28 million bringing our outstanding balance to less than $400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SAN JOSE, Calif. – May 4, 2026 – </w:t>
      </w:r>
      <w:r>
        <w:rPr>
          <w:rFonts w:ascii="Times New Roman" w:cs="Times New Roman" w:eastAsia="Times New Roman" w:hAnsi="Times New Roman"/>
          <w:sz w:val="16"/>
          <w:szCs w:val="16"/>
          <w:color w:val="auto"/>
        </w:rPr>
        <w:t>Adeia Inc. (Nasdaq: ADEA) (the “Company” or “Adeia”) today announced financial results for the first quarter ended March 31, 2026.</w:t>
      </w:r>
    </w:p>
    <w:p>
      <w:pPr>
        <w:spacing w:after="0" w:line="23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“We had a strong start to 2026, delivering first quarter revenue of $105 million, generating $58 million in operating cash flow, and maintaining strong profitability with a 60% adjusted EBITDA margin,” said Paul E. Davis, chief executive officer of Adeia. “We closed eight license agreements during the quarter, three of which were with new customers, including multi-year agreements with AMD and Microsoft. We believe our deal execution year-to-date highlights both the strength of our IP portfolio in our core markets, like Pay-TV, consumer electronics and social media, and our ability to expand our business with new customers in growth markets like semiconductors and e-commerce. Our non–Pay-TV recurring revenue continued to grow, with an impressive 28% year-over-year increase in the quarter, reflecting progress in diversifying our business. We are excited to see our foundational innovations gaining broad market adoption. Most importantly, hybrid bonding is rapidly being designed into products for the logic and memory markets that are supporting the AI ecosystem. We also remained disciplined in our capital allocation, reducing debt to less than $400 million while continuing to return capital to shareholders and invest in our patent portfolios, including tuck-in acquisitions.”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First Quarter Financial Highlights</w:t>
      </w:r>
    </w:p>
    <w:p>
      <w:pPr>
        <w:spacing w:after="0" w:line="129"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was $104.8 million as compared to $182.6 million in the fourth quarter of 2025</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diluted earnings per share (EPS) was $0.21 and non-GAAP diluted EPS was $0.38</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income was $22.8 million and adjusted EBITDA was $62.3 million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flow from operations was $58.5 million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Paid down $28.1 million on our term loan</w:t>
      </w:r>
    </w:p>
    <w:p>
      <w:pPr>
        <w:spacing w:after="0" w:line="12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Repurchased $10.0 million of our common stock</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Highlights</w:t>
      </w:r>
    </w:p>
    <w:p>
      <w:pPr>
        <w:spacing w:after="0" w:line="129" w:lineRule="exact"/>
        <w:rPr>
          <w:sz w:val="20"/>
          <w:szCs w:val="20"/>
          <w:color w:val="auto"/>
        </w:rPr>
      </w:pPr>
    </w:p>
    <w:p>
      <w:pPr>
        <w:ind w:left="1020" w:right="220" w:hanging="503"/>
        <w:spacing w:after="0" w:line="298"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Signed a new multi-year license agreement with AMD, a leading semiconductor company, for access to our semiconductor portfolio, including our hybrid bonding technology</w:t>
      </w:r>
    </w:p>
    <w:p>
      <w:pPr>
        <w:spacing w:after="0" w:line="56" w:lineRule="exact"/>
        <w:rPr>
          <w:rFonts w:ascii="Times New Roman" w:cs="Times New Roman" w:eastAsia="Times New Roman" w:hAnsi="Times New Roman"/>
          <w:sz w:val="16"/>
          <w:szCs w:val="16"/>
          <w:color w:val="auto"/>
        </w:rPr>
      </w:pPr>
    </w:p>
    <w:p>
      <w:pPr>
        <w:ind w:left="1020" w:right="120" w:hanging="503"/>
        <w:spacing w:after="0" w:line="298"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Signed a new multi-year license agreement with Microsoft, a leading technology company with a broad array of businesses, including consumer electronics and social media, for access to our media portfolio</w:t>
      </w:r>
    </w:p>
    <w:p>
      <w:pPr>
        <w:spacing w:after="0" w:line="5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Signed 8 deals, 5 in media and 3 in semiconductors, including 3 with new customers</w:t>
      </w:r>
    </w:p>
    <w:p>
      <w:pPr>
        <w:spacing w:after="0" w:line="126" w:lineRule="exact"/>
        <w:rPr>
          <w:rFonts w:ascii="Times New Roman" w:cs="Times New Roman" w:eastAsia="Times New Roman" w:hAnsi="Times New Roman"/>
          <w:sz w:val="16"/>
          <w:szCs w:val="16"/>
          <w:color w:val="auto"/>
        </w:rPr>
      </w:pPr>
    </w:p>
    <w:p>
      <w:pPr>
        <w:ind w:left="1020" w:right="100" w:hanging="503"/>
        <w:spacing w:after="0" w:line="298" w:lineRule="auto"/>
        <w:tabs>
          <w:tab w:leader="none" w:pos="10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early Q2, signed a new multi-year license agreement with leading cosmetics and beauty retailer L’Oréal, for access to our media portfolio, expanding our presence in e-commerce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Allocation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During the quarter, the Company made $28.1 million in principal payments towards its term loan, bringing the outstanding balance to $398.6 million as of March 31, 2026.</w:t>
      </w:r>
    </w:p>
    <w:p>
      <w:pPr>
        <w:spacing w:after="0" w:line="127"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During the quarter, the Company repurchased $10.0 million of its common stock, representing 0.4 million shares and bringing the remaining amount available under its stock repurchase plan to $150.0 million as of March 31, 2026.</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March 30, 2026, the Company distributed $5.5 million to stockholders of record on March 16, 2026, for a quarterly cash dividend of $0.05 per share of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 declared a dividend of $0.05 per share, payable on June 15, 2026, to stockholders of record on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2"/>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Outlook</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19"/>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The Company is reiterating its full year 2026 outlook as follows: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6"/>
        </w:trPr>
        <w:tc>
          <w:tcPr>
            <w:tcW w:w="548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8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8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Pr>
          <w:p>
            <w:pPr>
              <w:spacing w:after="0"/>
              <w:rPr>
                <w:sz w:val="24"/>
                <w:szCs w:val="24"/>
                <w:color w:val="auto"/>
              </w:rPr>
            </w:pPr>
          </w:p>
        </w:tc>
      </w:tr>
      <w:tr>
        <w:trPr>
          <w:trHeight w:val="238"/>
        </w:trPr>
        <w:tc>
          <w:tcPr>
            <w:tcW w:w="548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(in millions, except for tax rate)</w:t>
            </w:r>
          </w:p>
        </w:tc>
        <w:tc>
          <w:tcPr>
            <w:tcW w:w="140" w:type="dxa"/>
            <w:vAlign w:val="bottom"/>
          </w:tcPr>
          <w:p>
            <w:pPr>
              <w:spacing w:after="0"/>
              <w:rPr>
                <w:sz w:val="20"/>
                <w:szCs w:val="20"/>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GAAP Outlook</w:t>
            </w:r>
          </w:p>
        </w:tc>
        <w:tc>
          <w:tcPr>
            <w:tcW w:w="120" w:type="dxa"/>
            <w:vAlign w:val="bottom"/>
          </w:tcPr>
          <w:p>
            <w:pPr>
              <w:spacing w:after="0"/>
              <w:rPr>
                <w:sz w:val="20"/>
                <w:szCs w:val="20"/>
                <w:color w:val="auto"/>
              </w:rPr>
            </w:pPr>
          </w:p>
        </w:tc>
        <w:tc>
          <w:tcPr>
            <w:tcW w:w="27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Non-GAAP Outlook</w:t>
            </w:r>
          </w:p>
        </w:tc>
        <w:tc>
          <w:tcPr>
            <w:tcW w:w="120" w:type="dxa"/>
            <w:vAlign w:val="bottom"/>
          </w:tcPr>
          <w:p>
            <w:pPr>
              <w:spacing w:after="0"/>
              <w:rPr>
                <w:sz w:val="20"/>
                <w:szCs w:val="20"/>
                <w:color w:val="auto"/>
              </w:rPr>
            </w:pPr>
          </w:p>
        </w:tc>
      </w:tr>
      <w:tr>
        <w:trPr>
          <w:trHeight w:val="209"/>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− 435.0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w:t>
            </w:r>
          </w:p>
        </w:tc>
        <w:tc>
          <w:tcPr>
            <w:tcW w:w="1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− 435.0</w:t>
            </w:r>
          </w:p>
        </w:tc>
      </w:tr>
      <w:tr>
        <w:trPr>
          <w:trHeight w:val="216"/>
        </w:trPr>
        <w:tc>
          <w:tcPr>
            <w:tcW w:w="54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24"/>
                <w:szCs w:val="24"/>
                <w:color w:val="auto"/>
                <w:vertAlign w:val="superscript"/>
              </w:rPr>
              <w:t>(1)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− 305.0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− 192.0</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− 36.0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− 36.0</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− 6.5</w:t>
            </w:r>
          </w:p>
        </w:tc>
      </w:tr>
      <w:tr>
        <w:trPr>
          <w:trHeight w:val="216"/>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rate</w:t>
            </w:r>
          </w:p>
        </w:tc>
        <w:tc>
          <w:tcPr>
            <w:tcW w:w="2820" w:type="dxa"/>
            <w:vAlign w:val="bottom"/>
            <w:gridSpan w:val="3"/>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rPr>
              <w:t>20%</w:t>
            </w:r>
          </w:p>
        </w:tc>
        <w:tc>
          <w:tcPr>
            <w:tcW w:w="2820" w:type="dxa"/>
            <w:vAlign w:val="bottom"/>
            <w:gridSpan w:val="3"/>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6"/>
              </w:rPr>
              <w:t>21%</w:t>
            </w:r>
          </w:p>
        </w:tc>
        <w:tc>
          <w:tcPr>
            <w:tcW w:w="120" w:type="dxa"/>
            <w:vAlign w:val="bottom"/>
            <w:shd w:val="clear" w:color="auto" w:fill="CFF0FC"/>
          </w:tcPr>
          <w:p>
            <w:pPr>
              <w:spacing w:after="0"/>
              <w:rPr>
                <w:sz w:val="18"/>
                <w:szCs w:val="18"/>
                <w:color w:val="auto"/>
              </w:rPr>
            </w:pPr>
          </w:p>
        </w:tc>
      </w:tr>
      <w:tr>
        <w:trPr>
          <w:trHeight w:val="216"/>
        </w:trPr>
        <w:tc>
          <w:tcPr>
            <w:tcW w:w="54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4"/>
                <w:szCs w:val="24"/>
                <w:color w:val="auto"/>
                <w:vertAlign w:val="superscript"/>
              </w:rPr>
              <w:t>(2)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− 80.4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− 168.7</w:t>
            </w:r>
          </w:p>
        </w:tc>
      </w:tr>
      <w:tr>
        <w:trPr>
          <w:trHeight w:val="216"/>
        </w:trPr>
        <w:tc>
          <w:tcPr>
            <w:tcW w:w="54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4"/>
                <w:szCs w:val="24"/>
                <w:color w:val="auto"/>
                <w:vertAlign w:val="superscript"/>
              </w:rPr>
              <w:t>(2)</w:t>
            </w:r>
          </w:p>
        </w:tc>
        <w:tc>
          <w:tcPr>
            <w:tcW w:w="140" w:type="dxa"/>
            <w:vAlign w:val="bottom"/>
            <w:shd w:val="clear" w:color="auto" w:fill="CFF0FC"/>
          </w:tcPr>
          <w:p>
            <w:pPr>
              <w:spacing w:after="0"/>
              <w:rPr>
                <w:sz w:val="18"/>
                <w:szCs w:val="18"/>
                <w:color w:val="auto"/>
              </w:rPr>
            </w:pPr>
          </w:p>
        </w:tc>
        <w:tc>
          <w:tcPr>
            <w:tcW w:w="26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− 245.4</w:t>
            </w:r>
          </w:p>
        </w:tc>
      </w:tr>
      <w:tr>
        <w:trPr>
          <w:trHeight w:val="234"/>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140" w:type="dxa"/>
            <w:vAlign w:val="bottom"/>
          </w:tcPr>
          <w:p>
            <w:pPr>
              <w:spacing w:after="0"/>
              <w:rPr>
                <w:sz w:val="20"/>
                <w:szCs w:val="20"/>
                <w:color w:val="auto"/>
              </w:rPr>
            </w:pP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114.0 − 115.0</w:t>
            </w:r>
          </w:p>
        </w:tc>
        <w:tc>
          <w:tcPr>
            <w:tcW w:w="120" w:type="dxa"/>
            <w:vAlign w:val="bottom"/>
          </w:tcPr>
          <w:p>
            <w:pPr>
              <w:spacing w:after="0"/>
              <w:rPr>
                <w:sz w:val="20"/>
                <w:szCs w:val="20"/>
                <w:color w:val="auto"/>
              </w:rPr>
            </w:pPr>
          </w:p>
        </w:tc>
        <w:tc>
          <w:tcPr>
            <w:tcW w:w="28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114.0 − 115.0</w:t>
            </w:r>
          </w:p>
        </w:tc>
      </w:tr>
    </w:tbl>
    <w:p>
      <w:pPr>
        <w:spacing w:after="0" w:line="89"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tables for reconciliation of GAAP to non-GAAP operating expenses.</w:t>
      </w:r>
    </w:p>
    <w:p>
      <w:pPr>
        <w:spacing w:after="0" w:line="117" w:lineRule="exact"/>
        <w:rPr>
          <w:rFonts w:ascii="Times New Roman" w:cs="Times New Roman" w:eastAsia="Times New Roman" w:hAnsi="Times New Roman"/>
          <w:sz w:val="18"/>
          <w:szCs w:val="18"/>
          <w:color w:val="auto"/>
          <w:vertAlign w:val="superscript"/>
        </w:rPr>
      </w:pPr>
    </w:p>
    <w:p>
      <w:pPr>
        <w:ind w:right="660" w:firstLine="8"/>
        <w:spacing w:after="0" w:line="306" w:lineRule="auto"/>
        <w:tabs>
          <w:tab w:leader="none" w:pos="153"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tables for reconciliation of GAAP net income to (i) non-GAAP net income and (ii) adjusted earnings before interest expense, income taxes, depreciation and amortization (adjusted EBITDA).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Information</w:t>
      </w:r>
    </w:p>
    <w:p>
      <w:pPr>
        <w:spacing w:after="0" w:line="23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color w:val="auto"/>
        </w:rPr>
        <w:t>The Company will hold its first quarter 2026 earnings conference call at 2:00 PM Pacific Time (5:00 PM Eastern Time) on Monday, May 4, 2026. To access the call in the U.S., please dial +1 (888) 660-6411, and for international callers, dial +1 (929) 203-0849. All participants should dial in 15 minutes prior to the start of the conference call. The Company also suggests utilizing the webcast link to access the live call and the replay at Q1 2026 Earnings Call Webcast. A live and replay webcast will be available on the Adeia Investor Relations website at https://investors.adeia.com.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Safe Harbor Statement</w:t>
      </w:r>
    </w:p>
    <w:p>
      <w:pPr>
        <w:spacing w:after="0" w:line="23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federal securities laws, including Section 27A of the Securities Act of 1933, as amended, and Section 21E of the Securities Exchange Act of 1934, as amended. These forward-looking statements are based on information available to the Company as of the date hereof, as well as the Company’s current expectations, assumptions, estimates and projections that involve risks and uncertainties. In this context, forward-looking statements often address expected future business, financial performance and financial condition, and often contain words such as “expect,” “anticipate,” “intend,” “plan,” “believe,” “could,” “seek,” “see,” “will,” “may,” “would,” “might,” “potentially,” “estimate,” “continue,” “target,” similar expressions or the negatives of these words or other comparable terminology that convey uncertainty of future events or outcomes. All forward-looking statements by their nature address matters that involve risks and uncertainties, many of which are beyond the Company’s control, and are not guarantees of future results.</w:t>
      </w:r>
    </w:p>
    <w:p>
      <w:pPr>
        <w:spacing w:after="0" w:line="1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6"/>
          <w:szCs w:val="16"/>
          <w:color w:val="auto"/>
        </w:rPr>
        <w:t>Forward-looking statements are subject to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Company’s ability to implement its business strategy; the Company’s ability to enter into new and renewal license agreements with customers on favorable terms; the Company’s ability to retain and hire key personnel; uncertainty as to the long-term value of the Company’s common stock; legislative, regulatory and economic developments affecting the Company’s business; general economic and market developments and conditions; the Company’s ability to grow and expand its patent portfolios; changes in technology and development of new technology in the industries in which in which the Company operates; the evolving legal, regulatory and tax regimes under which the Company operates; unforeseen liabilities and expenses; risks associated with the Company’s indebtedness; unpredictability and severity of catastrophic events, including, but not limited to, acts of terrorism or outbreak of war or hostilities, natural disasters and global health pandemics, each of which may have an adverse impact on the Company’s business, results of operations, and financial condition. These risks, as well as other risks associated with the Company’s business, are more fully discussed in the Company’s filings with the U.S. Securities and Exchange Commission (“SEC”), including the Company’s Annual Report on Form 10-K and Quarterly Reports on Form 10-Q. While the list of factors presented here is, and the list of factors presented in the Company’s filings with the SEC are, considered representative, no such list should be considered to be a complete statement of all potential risks and uncertainties. Unlisted factors may present significant additional obstacles to the realization of forward-looking statements.</w:t>
      </w:r>
    </w:p>
    <w:p>
      <w:pPr>
        <w:spacing w:after="0" w:line="19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color w:val="auto"/>
        </w:rPr>
        <w:t>Causes of material differences in results as compared with those anticipated in the forward-looking statements could include, among other things, business disruption, operational problems, failure to complete licensing arrangements on anticipated terms and timeline, failure to prevail in litigation we may bring against third parties, financial loss, legal liability to third parties and similar risks, and failure to attract or retain employees, any of which could have a material adverse effect on the Company’s consolidated financial condition, results of operations, liquidity or trading price of common stock. The Company does not assume any obligation to publicly provide revisions or updates to any forward-looking statements, whether as a result of new information, future developments or otherwise, should circumstances change, except as otherwise required by securities and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About Adeia Inc.</w:t>
      </w:r>
    </w:p>
    <w:p>
      <w:pPr>
        <w:spacing w:after="0" w:line="23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Adeia is a leading R&amp;D and intellectual property (IP) licensing company that accelerates the adoption of innovative technologies in the media and semiconductor industries. Adeia’s fundamental innovations underpin technology solutions that are shaping and elevating the future of digital entertainment and electronics. Adeia’s IP portfolios power the connected devices that touch the lives of millions of people around the world every day as they live, work and play. For more, please visit www.adeia.com.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3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In addition to disclosing financial results calculated in accordance with U.S. Generally Accepted Accounting Principles (GAAP), the Company’s earnings release contains non-GAAP financial measures adjusted, where applicable, for either one-time or ongoing non-cash acquired intangibles amortization charges, costs related to actual or planned business combinations including transaction fees, integration costs, severance, facility closures, and retention bonuses, separation costs, all forms of stock-based compensation, loss on debt extinguishment, expensed debt refinancing costs, impairment of intangible assets, impact of certain foreign currency adjustments, discontinued operations and related tax effects. In addition, adjusted EBITDA adjusts for recurring charges of interest expense, income taxes, depreciation and amortization. Management believes that the non-GAAP measures used in this release provide investors with important perspectives on the Company’s ongoing business and financial performance and are helpful to provide investors with an understanding of our core operating results reflecting our normal business operations. The non-GAAP financial measures disclosed by the Company should not be considered a substitute for, or superior to, financial measures calculated in accordance with GAAP. Our use of non-GAAP financial measures has certain limitations in that the non-GAAP financial measures we use may not be directly comparable to those reported by other companies. For example, the terms used in this press release, such as EBITDA margin, which is defined as EBITDA as a percentage of revenue, adjusted EBITDA, non-GAAP operating expenses, non-GAAP net income and non-GAAP diluted earnings per share (EPS) do not have a standardized meaning. Other companies may use the same or similarly named measures, but exclude different items, which may not provide investors with a comparable view of our performance in relation to other companies. We seek to compensate for the limitation of our non-GAAP presentation by providing a detailed reconciliation of the non-GAAP financial measures to the most directly comparable GAAP measures in the tables attached hereto. Investors are encouraged to review the related GAAP financial measures and the reconciliation of these non-GAAP financial measures to their most directly comparable GAAP financial measures. All financial data is presented on a GAAP basis except where the Company indicates its presentation is on a non-GAAP basis.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are reconciliations of the Company’s reported and forecasted GAAP to non-GAAP financial metrics.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Chris Chaney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President, Investor Relations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IR@adeia.com</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Tables Follow –</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SOURCE: ADEIA INC.</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ADEA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757555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6"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380" w:type="dxa"/>
            <w:vAlign w:val="bottom"/>
            <w:gridSpan w:val="2"/>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104,772</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87,670</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18,202</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16,467</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29,834</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28,432</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9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expense</w:t>
            </w:r>
          </w:p>
        </w:tc>
        <w:tc>
          <w:tcPr>
            <w:tcW w:w="9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5,973</w:t>
            </w:r>
          </w:p>
        </w:tc>
        <w:tc>
          <w:tcPr>
            <w:tcW w:w="3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tcPr>
          <w:p>
            <w:pPr>
              <w:spacing w:after="0"/>
              <w:rPr>
                <w:sz w:val="18"/>
                <w:szCs w:val="18"/>
                <w:color w:val="auto"/>
              </w:rPr>
            </w:pPr>
          </w:p>
        </w:tc>
      </w:tr>
      <w:tr>
        <w:trPr>
          <w:trHeight w:val="209"/>
        </w:trPr>
        <w:tc>
          <w:tcPr>
            <w:tcW w:w="57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69,940</w:t>
            </w:r>
          </w:p>
        </w:tc>
        <w:tc>
          <w:tcPr>
            <w:tcW w:w="34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34,832</w:t>
            </w: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22,835</w:t>
            </w: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(8,546)</w:t>
            </w:r>
          </w:p>
        </w:tc>
        <w:tc>
          <w:tcPr>
            <w:tcW w:w="14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(10,649)</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9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3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18"/>
                <w:szCs w:val="18"/>
                <w:color w:val="auto"/>
              </w:rPr>
            </w:pPr>
          </w:p>
        </w:tc>
      </w:tr>
      <w:tr>
        <w:trPr>
          <w:trHeight w:val="209"/>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27,979</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13,898</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3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Pr>
          <w:p>
            <w:pPr>
              <w:spacing w:after="0"/>
              <w:rPr>
                <w:sz w:val="18"/>
                <w:szCs w:val="18"/>
                <w:color w:val="auto"/>
              </w:rPr>
            </w:pPr>
          </w:p>
        </w:tc>
      </w:tr>
      <w:tr>
        <w:trPr>
          <w:trHeight w:val="24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380" w:type="dxa"/>
            <w:vAlign w:val="bottom"/>
            <w:gridSpan w:val="2"/>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22,773</w:t>
            </w:r>
          </w:p>
        </w:tc>
        <w:tc>
          <w:tcPr>
            <w:tcW w:w="34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100" w:type="dxa"/>
            <w:vAlign w:val="bottom"/>
            <w:shd w:val="clear" w:color="auto" w:fill="CFF0FC"/>
          </w:tcPr>
          <w:p>
            <w:pPr>
              <w:spacing w:after="0"/>
              <w:rPr>
                <w:sz w:val="21"/>
                <w:szCs w:val="21"/>
                <w:color w:val="auto"/>
              </w:rPr>
            </w:pPr>
          </w:p>
        </w:tc>
      </w:tr>
      <w:tr>
        <w:trPr>
          <w:trHeight w:val="197"/>
        </w:trPr>
        <w:tc>
          <w:tcPr>
            <w:tcW w:w="5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per share:</w:t>
            </w:r>
          </w:p>
        </w:tc>
        <w:tc>
          <w:tcPr>
            <w:tcW w:w="920" w:type="dxa"/>
            <w:vAlign w:val="bottom"/>
            <w:tcBorders>
              <w:top w:val="single" w:sz="8" w:color="CFF0FC"/>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5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34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574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380" w:type="dxa"/>
            <w:vAlign w:val="bottom"/>
            <w:gridSpan w:val="2"/>
          </w:tcPr>
          <w:p>
            <w:pPr>
              <w:jc w:val="right"/>
              <w:ind w:right="12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340" w:type="dxa"/>
            <w:vAlign w:val="bottom"/>
          </w:tcPr>
          <w:p>
            <w:pPr>
              <w:spacing w:after="0"/>
              <w:rPr>
                <w:sz w:val="17"/>
                <w:szCs w:val="17"/>
                <w:color w:val="auto"/>
              </w:rPr>
            </w:pPr>
          </w:p>
        </w:tc>
        <w:tc>
          <w:tcPr>
            <w:tcW w:w="1440" w:type="dxa"/>
            <w:vAlign w:val="bottom"/>
          </w:tcPr>
          <w:p>
            <w:pPr>
              <w:jc w:val="right"/>
              <w:ind w:right="1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used in per share calculations:</w:t>
            </w:r>
          </w:p>
        </w:tc>
        <w:tc>
          <w:tcPr>
            <w:tcW w:w="9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20" w:type="dxa"/>
            <w:vAlign w:val="bottom"/>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109,503</w:t>
            </w:r>
          </w:p>
        </w:tc>
        <w:tc>
          <w:tcPr>
            <w:tcW w:w="3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107,948</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4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920" w:type="dxa"/>
            <w:vAlign w:val="bottom"/>
            <w:tcBorders>
              <w:bottom w:val="single" w:sz="8" w:color="CFF0FC"/>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114,203</w:t>
            </w:r>
          </w:p>
        </w:tc>
        <w:tc>
          <w:tcPr>
            <w:tcW w:w="3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113,021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580"/>
        </w:trPr>
        <w:tc>
          <w:tcPr>
            <w:tcW w:w="57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-2828290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-1979295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-1962785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-1962785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-1679575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-1662430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-1053465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-1036320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53,325</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73,136</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1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63,597</w:t>
            </w:r>
          </w:p>
        </w:tc>
        <w:tc>
          <w:tcPr>
            <w:tcW w:w="120" w:type="dxa"/>
            <w:vAlign w:val="bottom"/>
          </w:tcPr>
          <w:p>
            <w:pPr>
              <w:spacing w:after="0"/>
              <w:rPr>
                <w:sz w:val="18"/>
                <w:szCs w:val="18"/>
                <w:color w:val="auto"/>
              </w:rPr>
            </w:pPr>
          </w:p>
        </w:tc>
      </w:tr>
      <w:tr>
        <w:trPr>
          <w:trHeight w:val="210"/>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115,762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136,733</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28,631</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124,419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129,829</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120" w:type="dxa"/>
            <w:vAlign w:val="bottom"/>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6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281,323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303,958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Long-term unbilled contracts receivable</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49,499</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8,177</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293,500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303,456</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313,660</w:t>
            </w:r>
          </w:p>
        </w:tc>
        <w:tc>
          <w:tcPr>
            <w:tcW w:w="12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6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56,454</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54,440</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1,002,390</w:t>
            </w:r>
          </w:p>
        </w:tc>
        <w:tc>
          <w:tcPr>
            <w:tcW w:w="18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1,039,303</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8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34,250</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20,975</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19,726</w:t>
            </w:r>
          </w:p>
        </w:tc>
        <w:tc>
          <w:tcPr>
            <w:tcW w:w="120" w:type="dxa"/>
            <w:vAlign w:val="bottom"/>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81,675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79,778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less current portion</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49,975</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370,276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397,479</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income tax payable</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15,523</w:t>
            </w:r>
          </w:p>
        </w:tc>
        <w:tc>
          <w:tcPr>
            <w:tcW w:w="120" w:type="dxa"/>
            <w:vAlign w:val="bottom"/>
          </w:tcPr>
          <w:p>
            <w:pPr>
              <w:spacing w:after="0"/>
              <w:rPr>
                <w:sz w:val="18"/>
                <w:szCs w:val="18"/>
                <w:color w:val="auto"/>
              </w:rPr>
            </w:pPr>
          </w:p>
        </w:tc>
      </w:tr>
      <w:tr>
        <w:trPr>
          <w:trHeight w:val="209"/>
        </w:trPr>
        <w:tc>
          <w:tcPr>
            <w:tcW w:w="58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6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535,823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558,762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685,992</w:t>
            </w: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Treasury stock at cost</w:t>
            </w:r>
          </w:p>
        </w:tc>
        <w:tc>
          <w:tcPr>
            <w:tcW w:w="16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(337,565)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(297,778)</w:t>
            </w:r>
          </w:p>
        </w:tc>
      </w:tr>
      <w:tr>
        <w:trPr>
          <w:trHeight w:val="216"/>
        </w:trPr>
        <w:tc>
          <w:tcPr>
            <w:tcW w:w="5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6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109,377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92,139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480,541</w:t>
            </w:r>
          </w:p>
        </w:tc>
        <w:tc>
          <w:tcPr>
            <w:tcW w:w="120" w:type="dxa"/>
            <w:vAlign w:val="bottom"/>
          </w:tcPr>
          <w:p>
            <w:pPr>
              <w:spacing w:after="0"/>
              <w:rPr>
                <w:sz w:val="18"/>
                <w:szCs w:val="18"/>
                <w:color w:val="auto"/>
              </w:rPr>
            </w:pPr>
          </w:p>
        </w:tc>
      </w:tr>
      <w:tr>
        <w:trPr>
          <w:trHeight w:val="250"/>
        </w:trPr>
        <w:tc>
          <w:tcPr>
            <w:tcW w:w="58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1,002,390</w:t>
            </w:r>
          </w:p>
        </w:tc>
        <w:tc>
          <w:tcPr>
            <w:tcW w:w="18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1,039,303</w:t>
            </w:r>
          </w:p>
        </w:tc>
        <w:tc>
          <w:tcPr>
            <w:tcW w:w="120" w:type="dxa"/>
            <w:vAlign w:val="bottom"/>
            <w:shd w:val="clear" w:color="auto" w:fill="CFF0FC"/>
          </w:tcPr>
          <w:p>
            <w:pPr>
              <w:spacing w:after="0"/>
              <w:rPr>
                <w:sz w:val="21"/>
                <w:szCs w:val="21"/>
                <w:color w:val="auto"/>
              </w:rPr>
            </w:pPr>
          </w:p>
        </w:tc>
      </w:tr>
      <w:tr>
        <w:trPr>
          <w:trHeight w:val="1175"/>
        </w:trPr>
        <w:tc>
          <w:tcPr>
            <w:tcW w:w="5820" w:type="dxa"/>
            <w:vAlign w:val="bottom"/>
            <w:tcBorders>
              <w:top w:val="single" w:sz="8" w:color="CFF0FC"/>
              <w:bottom w:val="single" w:sz="8" w:color="9A9A9A"/>
            </w:tcBorders>
          </w:tcPr>
          <w:p>
            <w:pPr>
              <w:spacing w:after="0"/>
              <w:rPr>
                <w:sz w:val="24"/>
                <w:szCs w:val="24"/>
                <w:color w:val="auto"/>
              </w:rPr>
            </w:pPr>
          </w:p>
        </w:tc>
        <w:tc>
          <w:tcPr>
            <w:tcW w:w="168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3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4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-5005705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-5005705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-4173855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-4173855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-3034030</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-3034030</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-2193925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-2193925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-1087755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-1087755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-796290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-779145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-779145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87"/>
        </w:trPr>
        <w:tc>
          <w:tcPr>
            <w:tcW w:w="76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2"/>
          </w:tcPr>
          <w:p>
            <w:pPr>
              <w:jc w:val="right"/>
              <w:ind w:right="68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38"/>
        </w:trPr>
        <w:tc>
          <w:tcPr>
            <w:tcW w:w="7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22,773</w:t>
            </w:r>
          </w:p>
        </w:tc>
        <w:tc>
          <w:tcPr>
            <w:tcW w:w="28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from operating activities: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8,244</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income tax and other</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(2,154)</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(4,043)</w:t>
            </w:r>
          </w:p>
        </w:tc>
      </w:tr>
      <w:tr>
        <w:trPr>
          <w:trHeight w:val="216"/>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(3,957)</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Unbilled contracts receivable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(2,375)</w:t>
            </w: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(2,216)</w:t>
            </w:r>
          </w:p>
        </w:tc>
      </w:tr>
      <w:tr>
        <w:trPr>
          <w:trHeight w:val="216"/>
        </w:trPr>
        <w:tc>
          <w:tcPr>
            <w:tcW w:w="76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(13,012)</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(8,106)</w:t>
            </w:r>
          </w:p>
        </w:tc>
      </w:tr>
      <w:tr>
        <w:trPr>
          <w:trHeight w:val="216"/>
        </w:trPr>
        <w:tc>
          <w:tcPr>
            <w:tcW w:w="7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16,281</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24,867</w:t>
            </w:r>
          </w:p>
        </w:tc>
        <w:tc>
          <w:tcPr>
            <w:tcW w:w="100" w:type="dxa"/>
            <w:vAlign w:val="bottom"/>
          </w:tcPr>
          <w:p>
            <w:pPr>
              <w:spacing w:after="0"/>
              <w:rPr>
                <w:sz w:val="18"/>
                <w:szCs w:val="18"/>
                <w:color w:val="auto"/>
              </w:rPr>
            </w:pPr>
          </w:p>
        </w:tc>
      </w:tr>
      <w:tr>
        <w:trPr>
          <w:trHeight w:val="210"/>
        </w:trPr>
        <w:tc>
          <w:tcPr>
            <w:tcW w:w="76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58,488</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intangible assets</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(5,475)</w:t>
            </w: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(5,350)</w:t>
            </w: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(9,029)</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(7,194)</w:t>
            </w: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Pr>
          <w:p>
            <w:pPr>
              <w:spacing w:after="0"/>
              <w:rPr>
                <w:sz w:val="18"/>
                <w:szCs w:val="18"/>
                <w:color w:val="auto"/>
              </w:rPr>
            </w:pPr>
          </w:p>
        </w:tc>
      </w:tr>
      <w:tr>
        <w:trPr>
          <w:trHeight w:val="210"/>
        </w:trPr>
        <w:tc>
          <w:tcPr>
            <w:tcW w:w="768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(4,888)</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(6,172)</w:t>
            </w:r>
          </w:p>
        </w:tc>
      </w:tr>
      <w:tr>
        <w:trPr>
          <w:trHeight w:val="210"/>
        </w:trPr>
        <w:tc>
          <w:tcPr>
            <w:tcW w:w="7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Principal payments on debt agreements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(28,089)</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(17,089)</w:t>
            </w: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dividends</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(5,535)</w:t>
            </w: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(5,422)</w:t>
            </w: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employee stock purchase program and exercise of stock options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(10,006)</w:t>
            </w: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(11,326)</w:t>
            </w: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Repurchases of common stock for tax withholdings on equity awards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(29,781)</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(11,957)</w:t>
            </w:r>
          </w:p>
        </w:tc>
      </w:tr>
      <w:tr>
        <w:trPr>
          <w:trHeight w:val="20"/>
        </w:trPr>
        <w:tc>
          <w:tcPr>
            <w:tcW w:w="76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6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(73,411)</w:t>
            </w:r>
          </w:p>
        </w:tc>
        <w:tc>
          <w:tcPr>
            <w:tcW w:w="24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(45,608)</w:t>
            </w:r>
          </w:p>
        </w:tc>
      </w:tr>
      <w:tr>
        <w:trPr>
          <w:trHeight w:val="20"/>
        </w:trPr>
        <w:tc>
          <w:tcPr>
            <w:tcW w:w="7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(19,811)</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73,136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78,825</w:t>
            </w:r>
          </w:p>
        </w:tc>
        <w:tc>
          <w:tcPr>
            <w:tcW w:w="100" w:type="dxa"/>
            <w:vAlign w:val="bottom"/>
          </w:tcPr>
          <w:p>
            <w:pPr>
              <w:spacing w:after="0"/>
              <w:rPr>
                <w:sz w:val="18"/>
                <w:szCs w:val="18"/>
                <w:color w:val="auto"/>
              </w:rPr>
            </w:pPr>
          </w:p>
        </w:tc>
      </w:tr>
      <w:tr>
        <w:trPr>
          <w:trHeight w:val="249"/>
        </w:trPr>
        <w:tc>
          <w:tcPr>
            <w:tcW w:w="7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53,325</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93"/>
        </w:trPr>
        <w:tc>
          <w:tcPr>
            <w:tcW w:w="7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-3942715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-3102610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-2270760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-1696720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-1679575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RECONCILIATIONS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800" w:type="dxa"/>
            <w:vAlign w:val="bottom"/>
            <w:gridSpan w:val="4"/>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tcPr>
          <w:p>
            <w:pPr>
              <w:spacing w:after="0"/>
              <w:rPr>
                <w:sz w:val="19"/>
                <w:szCs w:val="19"/>
                <w:color w:val="auto"/>
              </w:rPr>
            </w:pPr>
          </w:p>
        </w:tc>
        <w:tc>
          <w:tcPr>
            <w:tcW w:w="3800" w:type="dxa"/>
            <w:vAlign w:val="bottom"/>
            <w:tcBorders>
              <w:bottom w:val="single" w:sz="8" w:color="auto"/>
            </w:tcBorders>
            <w:gridSpan w:val="4"/>
            <w:vMerge w:val="continue"/>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6760" w:type="dxa"/>
            <w:vAlign w:val="bottom"/>
          </w:tcPr>
          <w:p>
            <w:pPr>
              <w:spacing w:after="0"/>
              <w:rPr>
                <w:sz w:val="16"/>
                <w:szCs w:val="16"/>
                <w:color w:val="auto"/>
              </w:rPr>
            </w:pPr>
          </w:p>
        </w:tc>
        <w:tc>
          <w:tcPr>
            <w:tcW w:w="1500" w:type="dxa"/>
            <w:vAlign w:val="bottom"/>
          </w:tcPr>
          <w:p>
            <w:pPr>
              <w:jc w:val="center"/>
              <w:ind w:left="492"/>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p>
        </w:tc>
        <w:tc>
          <w:tcPr>
            <w:tcW w:w="150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500" w:type="dxa"/>
            <w:vAlign w:val="bottom"/>
            <w:shd w:val="clear" w:color="auto" w:fill="CFF0FC"/>
          </w:tcPr>
          <w:p>
            <w:pPr>
              <w:jc w:val="right"/>
              <w:ind w:right="133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22,773</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GAAP net income:</w:t>
            </w:r>
          </w:p>
        </w:tc>
        <w:tc>
          <w:tcPr>
            <w:tcW w:w="1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expense</w:t>
            </w:r>
          </w:p>
        </w:tc>
        <w:tc>
          <w:tcPr>
            <w:tcW w:w="1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costs recorded in selling, general and administrative</w:t>
            </w:r>
          </w:p>
        </w:tc>
        <w:tc>
          <w:tcPr>
            <w:tcW w:w="15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Separation and other related costs recorded in selling, general and administrative </w:t>
            </w:r>
            <w:r>
              <w:rPr>
                <w:rFonts w:ascii="Times New Roman" w:cs="Times New Roman" w:eastAsia="Times New Roman" w:hAnsi="Times New Roman"/>
                <w:sz w:val="24"/>
                <w:szCs w:val="24"/>
                <w:color w:val="auto"/>
                <w:vertAlign w:val="superscript"/>
              </w:rPr>
              <w:t>(1)</w:t>
            </w:r>
          </w:p>
        </w:tc>
        <w:tc>
          <w:tcPr>
            <w:tcW w:w="15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operating expenses adjustments</w:t>
            </w:r>
          </w:p>
        </w:tc>
        <w:tc>
          <w:tcPr>
            <w:tcW w:w="1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27,017</w:t>
            </w:r>
          </w:p>
        </w:tc>
        <w:tc>
          <w:tcPr>
            <w:tcW w:w="2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Non-GAAP tax adjustment </w:t>
            </w:r>
            <w:r>
              <w:rPr>
                <w:rFonts w:ascii="Times New Roman" w:cs="Times New Roman" w:eastAsia="Times New Roman" w:hAnsi="Times New Roman"/>
                <w:sz w:val="24"/>
                <w:szCs w:val="24"/>
                <w:color w:val="auto"/>
                <w:vertAlign w:val="superscript"/>
              </w:rPr>
              <w:t>(2)</w:t>
            </w:r>
          </w:p>
        </w:tc>
        <w:tc>
          <w:tcPr>
            <w:tcW w:w="15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(6,343)</w:t>
            </w:r>
          </w:p>
        </w:tc>
        <w:tc>
          <w:tcPr>
            <w:tcW w:w="14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(6,625)</w:t>
            </w:r>
          </w:p>
        </w:tc>
        <w:tc>
          <w:tcPr>
            <w:tcW w:w="0" w:type="dxa"/>
            <w:vAlign w:val="bottom"/>
          </w:tcPr>
          <w:p>
            <w:pPr>
              <w:spacing w:after="0"/>
              <w:rPr>
                <w:sz w:val="1"/>
                <w:szCs w:val="1"/>
                <w:color w:val="auto"/>
              </w:rPr>
            </w:pPr>
          </w:p>
        </w:tc>
      </w:tr>
      <w:tr>
        <w:trPr>
          <w:trHeight w:val="210"/>
        </w:trPr>
        <w:tc>
          <w:tcPr>
            <w:tcW w:w="6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500" w:type="dxa"/>
            <w:vAlign w:val="bottom"/>
            <w:tcBorders>
              <w:top w:val="single" w:sz="8" w:color="auto"/>
              <w:bottom w:val="single" w:sz="8" w:color="auto"/>
            </w:tcBorders>
          </w:tcPr>
          <w:p>
            <w:pPr>
              <w:jc w:val="right"/>
              <w:ind w:right="133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43,447</w:t>
            </w:r>
          </w:p>
        </w:tc>
        <w:tc>
          <w:tcPr>
            <w:tcW w:w="220" w:type="dxa"/>
            <w:vAlign w:val="bottom"/>
            <w:tcBorders>
              <w:top w:val="single" w:sz="8" w:color="CFF0FC"/>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760" w:type="dxa"/>
            <w:vAlign w:val="bottom"/>
            <w:vMerge w:val="continue"/>
          </w:tcPr>
          <w:p>
            <w:pPr>
              <w:spacing w:after="0"/>
              <w:rPr>
                <w:sz w:val="24"/>
                <w:szCs w:val="24"/>
                <w:color w:val="auto"/>
              </w:rPr>
            </w:pPr>
          </w:p>
        </w:tc>
        <w:tc>
          <w:tcPr>
            <w:tcW w:w="3800" w:type="dxa"/>
            <w:vAlign w:val="bottom"/>
            <w:gridSpan w:val="4"/>
            <w:vMerge w:val="restart"/>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3800" w:type="dxa"/>
            <w:vAlign w:val="bottom"/>
            <w:tcBorders>
              <w:bottom w:val="single" w:sz="8" w:color="auto"/>
            </w:tcBorders>
            <w:gridSpan w:val="4"/>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6760" w:type="dxa"/>
            <w:vAlign w:val="bottom"/>
          </w:tcPr>
          <w:p>
            <w:pPr>
              <w:spacing w:after="0"/>
              <w:rPr>
                <w:sz w:val="16"/>
                <w:szCs w:val="16"/>
                <w:color w:val="auto"/>
              </w:rPr>
            </w:pPr>
          </w:p>
        </w:tc>
        <w:tc>
          <w:tcPr>
            <w:tcW w:w="1500" w:type="dxa"/>
            <w:vAlign w:val="bottom"/>
          </w:tcPr>
          <w:p>
            <w:pPr>
              <w:jc w:val="center"/>
              <w:ind w:left="492"/>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p>
        </w:tc>
        <w:tc>
          <w:tcPr>
            <w:tcW w:w="1500" w:type="dxa"/>
            <w:vAlign w:val="bottom"/>
            <w:tcBorders>
              <w:bottom w:val="single" w:sz="8" w:color="auto"/>
            </w:tcBorders>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diluted earnings per share</w:t>
            </w:r>
          </w:p>
        </w:tc>
        <w:tc>
          <w:tcPr>
            <w:tcW w:w="1500" w:type="dxa"/>
            <w:vAlign w:val="bottom"/>
            <w:shd w:val="clear" w:color="auto" w:fill="CFF0FC"/>
          </w:tcPr>
          <w:p>
            <w:pPr>
              <w:jc w:val="right"/>
              <w:ind w:right="133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GAAP diluted earnings per share:</w:t>
            </w:r>
          </w:p>
        </w:tc>
        <w:tc>
          <w:tcPr>
            <w:tcW w:w="15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expense</w:t>
            </w:r>
          </w:p>
        </w:tc>
        <w:tc>
          <w:tcPr>
            <w:tcW w:w="15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costs recorded in selling, general and administrative</w:t>
            </w:r>
          </w:p>
        </w:tc>
        <w:tc>
          <w:tcPr>
            <w:tcW w:w="15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Separation and other related costs recorded in selling, general and administrative </w:t>
            </w:r>
            <w:r>
              <w:rPr>
                <w:rFonts w:ascii="Times New Roman" w:cs="Times New Roman" w:eastAsia="Times New Roman" w:hAnsi="Times New Roman"/>
                <w:sz w:val="24"/>
                <w:szCs w:val="24"/>
                <w:color w:val="auto"/>
                <w:vertAlign w:val="superscript"/>
              </w:rPr>
              <w:t>(1)</w:t>
            </w:r>
          </w:p>
        </w:tc>
        <w:tc>
          <w:tcPr>
            <w:tcW w:w="15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operating expenses adjustments</w:t>
            </w:r>
          </w:p>
        </w:tc>
        <w:tc>
          <w:tcPr>
            <w:tcW w:w="1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Non-GAAP tax adjustment </w:t>
            </w:r>
            <w:r>
              <w:rPr>
                <w:rFonts w:ascii="Times New Roman" w:cs="Times New Roman" w:eastAsia="Times New Roman" w:hAnsi="Times New Roman"/>
                <w:sz w:val="24"/>
                <w:szCs w:val="24"/>
                <w:color w:val="auto"/>
                <w:vertAlign w:val="superscript"/>
              </w:rPr>
              <w:t>(2)</w:t>
            </w:r>
          </w:p>
        </w:tc>
        <w:tc>
          <w:tcPr>
            <w:tcW w:w="15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14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0"/>
        </w:trPr>
        <w:tc>
          <w:tcPr>
            <w:tcW w:w="6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1500" w:type="dxa"/>
            <w:vAlign w:val="bottom"/>
            <w:tcBorders>
              <w:top w:val="single" w:sz="8" w:color="auto"/>
              <w:bottom w:val="single" w:sz="8" w:color="auto"/>
            </w:tcBorders>
          </w:tcPr>
          <w:p>
            <w:pPr>
              <w:jc w:val="right"/>
              <w:ind w:right="133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Borders>
              <w:top w:val="single" w:sz="8" w:color="CFF0FC"/>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-2819400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-2528570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-2528570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-462280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-170815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ind w:right="300" w:firstLine="8"/>
        <w:spacing w:after="0" w:line="219" w:lineRule="auto"/>
        <w:tabs>
          <w:tab w:leader="none" w:pos="148"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separation and related costs that were incurred subsequent to the separation on October 1, 2022, including expenses incurred on a transitional basis under a contract shared with Xperi Inc.</w:t>
      </w:r>
    </w:p>
    <w:p>
      <w:pPr>
        <w:spacing w:after="0" w:line="65" w:lineRule="exact"/>
        <w:rPr>
          <w:rFonts w:ascii="Times New Roman" w:cs="Times New Roman" w:eastAsia="Times New Roman" w:hAnsi="Times New Roman"/>
          <w:sz w:val="18"/>
          <w:szCs w:val="18"/>
          <w:color w:val="auto"/>
          <w:vertAlign w:val="superscript"/>
        </w:rPr>
      </w:pPr>
    </w:p>
    <w:p>
      <w:pPr>
        <w:ind w:left="160" w:hanging="152"/>
        <w:spacing w:after="0"/>
        <w:tabs>
          <w:tab w:leader="none" w:pos="1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provision for income taxes is adjusted to reflect the net income tax effects of the various non-GAAP pretax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GAAP NET INCOME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gridSpan w:val="2"/>
          </w:tcPr>
          <w:p>
            <w:pPr>
              <w:jc w:val="right"/>
              <w:ind w:right="860"/>
              <w:spacing w:after="0" w:line="188"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00" w:type="dxa"/>
            <w:vAlign w:val="bottom"/>
          </w:tcPr>
          <w:p>
            <w:pPr>
              <w:jc w:val="right"/>
              <w:ind w:right="6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6"/>
                <w:szCs w:val="16"/>
                <w:color w:val="auto"/>
              </w:rPr>
            </w:pPr>
          </w:p>
        </w:tc>
      </w:tr>
      <w:tr>
        <w:trPr>
          <w:trHeight w:val="238"/>
        </w:trPr>
        <w:tc>
          <w:tcPr>
            <w:tcW w:w="65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22,773</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GAAP net income:</w:t>
            </w:r>
          </w:p>
        </w:tc>
        <w:tc>
          <w:tcPr>
            <w:tcW w:w="4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Transaction costs recorded in selling, general and administrative</w:t>
            </w:r>
          </w:p>
        </w:tc>
        <w:tc>
          <w:tcPr>
            <w:tcW w:w="40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Separation and other related costs recorded in selling, general and administrative </w:t>
            </w:r>
            <w:r>
              <w:rPr>
                <w:rFonts w:ascii="Times New Roman" w:cs="Times New Roman" w:eastAsia="Times New Roman" w:hAnsi="Times New Roman"/>
                <w:sz w:val="24"/>
                <w:szCs w:val="24"/>
                <w:color w:val="auto"/>
                <w:vertAlign w:val="superscript"/>
              </w:rPr>
              <w:t>(1)</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4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15,931</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4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and expense, net</w:t>
            </w:r>
          </w:p>
        </w:tc>
        <w:tc>
          <w:tcPr>
            <w:tcW w:w="4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(1,693)</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(1,712)</w:t>
            </w:r>
          </w:p>
        </w:tc>
      </w:tr>
      <w:tr>
        <w:trPr>
          <w:trHeight w:val="216"/>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0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62,341</w:t>
            </w:r>
          </w:p>
        </w:tc>
        <w:tc>
          <w:tcPr>
            <w:tcW w:w="160" w:type="dxa"/>
            <w:vAlign w:val="bottom"/>
          </w:tcPr>
          <w:p>
            <w:pPr>
              <w:spacing w:after="0"/>
              <w:rPr>
                <w:sz w:val="18"/>
                <w:szCs w:val="18"/>
                <w:color w:val="auto"/>
              </w:rPr>
            </w:pPr>
          </w:p>
        </w:tc>
        <w:tc>
          <w:tcPr>
            <w:tcW w:w="7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47,312</w:t>
            </w:r>
          </w:p>
        </w:tc>
        <w:tc>
          <w:tcPr>
            <w:tcW w:w="10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-170815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ind w:right="300" w:firstLine="8"/>
        <w:spacing w:after="0" w:line="237" w:lineRule="auto"/>
        <w:tabs>
          <w:tab w:leader="none" w:pos="148"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separation and related costs that were incurred subsequent to the separation on October 1, 2022, including expenses incurred on a transitional basis under a contract shared with Xperi Inc.</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ADEIA INC.</w:t>
      </w:r>
    </w:p>
    <w:p>
      <w:pPr>
        <w:spacing w:after="0" w:line="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7"/>
          <w:szCs w:val="17"/>
          <w:b w:val="1"/>
          <w:bCs w:val="1"/>
          <w:color w:val="auto"/>
        </w:rPr>
        <w:t>RECONCILIATION FOR GUIDANCE</w:t>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ON OPERATING EXPENSES</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328"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5715</wp:posOffset>
            </wp:positionV>
            <wp:extent cx="23399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ind w:left="8100"/>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Low</w:t>
      </w:r>
      <w:r>
        <w:rPr>
          <w:sz w:val="20"/>
          <w:szCs w:val="20"/>
          <w:color w:val="auto"/>
        </w:rPr>
        <w:tab/>
      </w:r>
      <w:r>
        <w:rPr>
          <w:rFonts w:ascii="Times New Roman" w:cs="Times New Roman" w:eastAsia="Times New Roman" w:hAnsi="Times New Roman"/>
          <w:sz w:val="18"/>
          <w:szCs w:val="18"/>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14605</wp:posOffset>
            </wp:positionV>
            <wp:extent cx="233997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operating expenses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Stock-based compensation expense</w:t>
      </w:r>
    </w:p>
    <w:p>
      <w:pPr>
        <w:ind w:left="80"/>
        <w:spacing w:after="0" w:line="230" w:lineRule="auto"/>
        <w:rPr>
          <w:sz w:val="20"/>
          <w:szCs w:val="20"/>
          <w:color w:val="auto"/>
        </w:rPr>
      </w:pPr>
      <w:r>
        <w:rPr>
          <w:rFonts w:ascii="Times New Roman" w:cs="Times New Roman" w:eastAsia="Times New Roman" w:hAnsi="Times New Roman"/>
          <w:sz w:val="18"/>
          <w:szCs w:val="18"/>
          <w:color w:val="auto"/>
        </w:rPr>
        <w:t xml:space="preserve">Separation and related costs </w:t>
      </w:r>
      <w:r>
        <w:rPr>
          <w:rFonts w:ascii="Times New Roman" w:cs="Times New Roman" w:eastAsia="Times New Roman" w:hAnsi="Times New Roman"/>
          <w:sz w:val="24"/>
          <w:szCs w:val="24"/>
          <w:color w:val="auto"/>
          <w:vertAlign w:val="superscript"/>
        </w:rPr>
        <w:t>(1)</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of non-GAAP adjustments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operating expenses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234" w:hanging="1234"/>
        <w:spacing w:after="0"/>
        <w:tabs>
          <w:tab w:leader="none" w:pos="12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295.0</w:t>
      </w:r>
    </w:p>
    <w:p>
      <w:pPr>
        <w:spacing w:after="0" w:line="22"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w:t>
      </w:r>
    </w:p>
    <w:p>
      <w:pPr>
        <w:spacing w:after="0" w:line="22"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w:t>
      </w:r>
    </w:p>
    <w:p>
      <w:pPr>
        <w:spacing w:after="0" w:line="9" w:lineRule="exact"/>
        <w:rPr>
          <w:rFonts w:ascii="Times New Roman" w:cs="Times New Roman" w:eastAsia="Times New Roman" w:hAnsi="Times New Roman"/>
          <w:sz w:val="18"/>
          <w:szCs w:val="18"/>
          <w:color w:val="auto"/>
        </w:rPr>
      </w:pPr>
    </w:p>
    <w:p>
      <w:pPr>
        <w:ind w:left="141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-267970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-550545</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10541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ind w:left="1234"/>
        <w:spacing w:after="0"/>
        <w:rPr>
          <w:sz w:val="20"/>
          <w:szCs w:val="20"/>
          <w:color w:val="auto"/>
        </w:rPr>
      </w:pPr>
      <w:r>
        <w:rPr>
          <w:rFonts w:ascii="Times New Roman" w:cs="Times New Roman" w:eastAsia="Times New Roman" w:hAnsi="Times New Roman"/>
          <w:sz w:val="18"/>
          <w:szCs w:val="18"/>
          <w:color w:val="auto"/>
        </w:rPr>
        <w:t>111.0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-121920</wp:posOffset>
            </wp:positionV>
            <wp:extent cx="713232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234" w:hanging="1234"/>
        <w:spacing w:after="0"/>
        <w:tabs>
          <w:tab w:leader="none" w:pos="12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541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541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541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222" w:hanging="1222"/>
        <w:spacing w:after="0"/>
        <w:tabs>
          <w:tab w:leader="none" w:pos="1222"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305.0</w:t>
      </w:r>
    </w:p>
    <w:p>
      <w:pPr>
        <w:spacing w:after="0" w:line="34" w:lineRule="exact"/>
        <w:rPr>
          <w:rFonts w:ascii="Times New Roman" w:cs="Times New Roman" w:eastAsia="Times New Roman" w:hAnsi="Times New Roman"/>
          <w:sz w:val="17"/>
          <w:szCs w:val="17"/>
          <w:color w:val="auto"/>
        </w:rPr>
      </w:pPr>
    </w:p>
    <w:p>
      <w:pPr>
        <w:ind w:left="130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65.0</w:t>
      </w:r>
    </w:p>
    <w:p>
      <w:pPr>
        <w:spacing w:after="0" w:line="22" w:lineRule="exact"/>
        <w:rPr>
          <w:rFonts w:ascii="Times New Roman" w:cs="Times New Roman" w:eastAsia="Times New Roman" w:hAnsi="Times New Roman"/>
          <w:sz w:val="17"/>
          <w:szCs w:val="17"/>
          <w:color w:val="auto"/>
        </w:rPr>
      </w:pPr>
    </w:p>
    <w:p>
      <w:pPr>
        <w:ind w:left="130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40.0</w:t>
      </w:r>
    </w:p>
    <w:p>
      <w:pPr>
        <w:spacing w:after="0" w:line="9" w:lineRule="exact"/>
        <w:rPr>
          <w:rFonts w:ascii="Times New Roman" w:cs="Times New Roman" w:eastAsia="Times New Roman" w:hAnsi="Times New Roman"/>
          <w:sz w:val="17"/>
          <w:szCs w:val="17"/>
          <w:color w:val="auto"/>
        </w:rPr>
      </w:pPr>
    </w:p>
    <w:p>
      <w:pPr>
        <w:ind w:left="1402"/>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10369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 w:lineRule="exact"/>
        <w:rPr>
          <w:sz w:val="20"/>
          <w:szCs w:val="20"/>
          <w:color w:val="auto"/>
        </w:rPr>
      </w:pPr>
    </w:p>
    <w:p>
      <w:pPr>
        <w:ind w:left="1222"/>
        <w:spacing w:after="0"/>
        <w:rPr>
          <w:sz w:val="20"/>
          <w:szCs w:val="20"/>
          <w:color w:val="auto"/>
        </w:rPr>
      </w:pPr>
      <w:r>
        <w:rPr>
          <w:rFonts w:ascii="Times New Roman" w:cs="Times New Roman" w:eastAsia="Times New Roman" w:hAnsi="Times New Roman"/>
          <w:sz w:val="17"/>
          <w:szCs w:val="17"/>
          <w:color w:val="auto"/>
        </w:rPr>
        <w:t>113.0</w:t>
      </w:r>
    </w:p>
    <w:p>
      <w:pPr>
        <w:spacing w:after="0" w:line="34" w:lineRule="exact"/>
        <w:rPr>
          <w:sz w:val="20"/>
          <w:szCs w:val="20"/>
          <w:color w:val="auto"/>
        </w:rPr>
      </w:pPr>
    </w:p>
    <w:p>
      <w:pPr>
        <w:ind w:left="1222" w:hanging="1222"/>
        <w:spacing w:after="0"/>
        <w:tabs>
          <w:tab w:leader="none" w:pos="122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0369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38735</wp:posOffset>
            </wp:positionV>
            <wp:extent cx="10369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3">
            <w:col w:w="6726" w:space="720"/>
            <w:col w:w="1654" w:space="398"/>
            <w:col w:w="1742"/>
          </w:cols>
          <w:pgMar w:left="320" w:top="1184" w:right="339" w:bottom="1440" w:gutter="0" w:footer="0" w:header="0"/>
          <w:type w:val="continuous"/>
        </w:sectPr>
      </w:pPr>
    </w:p>
    <w:p>
      <w:pPr>
        <w:spacing w:after="0" w:line="48" w:lineRule="exact"/>
        <w:rPr>
          <w:sz w:val="20"/>
          <w:szCs w:val="20"/>
          <w:color w:val="auto"/>
        </w:rPr>
      </w:pPr>
    </w:p>
    <w:p>
      <w:pPr>
        <w:ind w:right="300" w:firstLine="8"/>
        <w:spacing w:after="0" w:line="219" w:lineRule="auto"/>
        <w:tabs>
          <w:tab w:leader="none" w:pos="148" w:val="left"/>
        </w:tabs>
        <w:numPr>
          <w:ilvl w:val="0"/>
          <w:numId w:val="1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separation and related costs that were incurred subsequent to the separation on October 1, 2022, including expenses incurred on a transitional basis under a contract shared with Xperi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type w:val="continuous"/>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ADEIA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RECONCILIATION FOR GUIDANCE</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 NET INCOME</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7"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5715</wp:posOffset>
            </wp:positionV>
            <wp:extent cx="233997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jc w:val="both"/>
        <w:ind w:left="8100"/>
        <w:spacing w:after="0"/>
        <w:tabs>
          <w:tab w:leader="none" w:pos="10100" w:val="left"/>
        </w:tabs>
        <w:rPr>
          <w:sz w:val="20"/>
          <w:szCs w:val="20"/>
          <w:color w:val="auto"/>
        </w:rPr>
      </w:pPr>
      <w:r>
        <w:rPr>
          <w:rFonts w:ascii="Times New Roman" w:cs="Times New Roman" w:eastAsia="Times New Roman" w:hAnsi="Times New Roman"/>
          <w:sz w:val="18"/>
          <w:szCs w:val="18"/>
          <w:b w:val="1"/>
          <w:bCs w:val="1"/>
          <w:color w:val="auto"/>
        </w:rPr>
        <w:t>Low</w:t>
      </w:r>
      <w:r>
        <w:rPr>
          <w:sz w:val="20"/>
          <w:szCs w:val="20"/>
          <w:color w:val="auto"/>
        </w:rPr>
        <w:tab/>
      </w:r>
      <w:r>
        <w:rPr>
          <w:rFonts w:ascii="Times New Roman" w:cs="Times New Roman" w:eastAsia="Times New Roman" w:hAnsi="Times New Roman"/>
          <w:sz w:val="18"/>
          <w:szCs w:val="18"/>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14605</wp:posOffset>
            </wp:positionV>
            <wp:extent cx="233997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Stock-based compensation expense</w:t>
      </w:r>
    </w:p>
    <w:p>
      <w:pPr>
        <w:ind w:left="80"/>
        <w:spacing w:after="0" w:line="220" w:lineRule="auto"/>
        <w:rPr>
          <w:sz w:val="20"/>
          <w:szCs w:val="20"/>
          <w:color w:val="auto"/>
        </w:rPr>
      </w:pPr>
      <w:r>
        <w:rPr>
          <w:rFonts w:ascii="Times New Roman" w:cs="Times New Roman" w:eastAsia="Times New Roman" w:hAnsi="Times New Roman"/>
          <w:sz w:val="18"/>
          <w:szCs w:val="18"/>
          <w:color w:val="auto"/>
        </w:rPr>
        <w:t xml:space="preserve">Separation and related costs </w:t>
      </w:r>
      <w:r>
        <w:rPr>
          <w:rFonts w:ascii="Times New Roman" w:cs="Times New Roman" w:eastAsia="Times New Roman" w:hAnsi="Times New Roman"/>
          <w:sz w:val="24"/>
          <w:szCs w:val="24"/>
          <w:color w:val="auto"/>
          <w:vertAlign w:val="superscript"/>
        </w:rPr>
        <w:t>(1)</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of non-GAAP operating expenses</w:t>
      </w:r>
    </w:p>
    <w:p>
      <w:pPr>
        <w:ind w:left="80"/>
        <w:spacing w:after="0" w:line="223" w:lineRule="auto"/>
        <w:rPr>
          <w:sz w:val="20"/>
          <w:szCs w:val="20"/>
          <w:color w:val="auto"/>
        </w:rPr>
      </w:pPr>
      <w:r>
        <w:rPr>
          <w:rFonts w:ascii="Times New Roman" w:cs="Times New Roman" w:eastAsia="Times New Roman" w:hAnsi="Times New Roman"/>
          <w:sz w:val="18"/>
          <w:szCs w:val="18"/>
          <w:color w:val="auto"/>
        </w:rPr>
        <w:t xml:space="preserve">Non-GAAP tax adjustment </w:t>
      </w:r>
      <w:r>
        <w:rPr>
          <w:rFonts w:ascii="Times New Roman" w:cs="Times New Roman" w:eastAsia="Times New Roman" w:hAnsi="Times New Roman"/>
          <w:sz w:val="24"/>
          <w:szCs w:val="24"/>
          <w:color w:val="auto"/>
          <w:vertAlign w:val="superscript"/>
        </w:rPr>
        <w:t>(2)</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net income</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334" w:hanging="1334"/>
        <w:spacing w:after="0"/>
        <w:tabs>
          <w:tab w:leader="none" w:pos="1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57.2</w:t>
      </w:r>
    </w:p>
    <w:p>
      <w:pPr>
        <w:spacing w:after="0" w:line="22"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w:t>
      </w:r>
    </w:p>
    <w:p>
      <w:pPr>
        <w:spacing w:after="0" w:line="22"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w:t>
      </w:r>
    </w:p>
    <w:p>
      <w:pPr>
        <w:spacing w:after="0" w:line="9" w:lineRule="exact"/>
        <w:rPr>
          <w:rFonts w:ascii="Times New Roman" w:cs="Times New Roman" w:eastAsia="Times New Roman" w:hAnsi="Times New Roman"/>
          <w:sz w:val="18"/>
          <w:szCs w:val="18"/>
          <w:color w:val="auto"/>
        </w:rPr>
      </w:pPr>
    </w:p>
    <w:p>
      <w:pPr>
        <w:ind w:left="141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-267970</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-550545</wp:posOffset>
            </wp:positionV>
            <wp:extent cx="713232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10541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ind w:left="1234"/>
        <w:spacing w:after="0"/>
        <w:rPr>
          <w:sz w:val="20"/>
          <w:szCs w:val="20"/>
          <w:color w:val="auto"/>
        </w:rPr>
      </w:pPr>
      <w:r>
        <w:rPr>
          <w:rFonts w:ascii="Times New Roman" w:cs="Times New Roman" w:eastAsia="Times New Roman" w:hAnsi="Times New Roman"/>
          <w:sz w:val="18"/>
          <w:szCs w:val="18"/>
          <w:color w:val="auto"/>
        </w:rPr>
        <w:t>111.0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-121920</wp:posOffset>
            </wp:positionV>
            <wp:extent cx="7132320" cy="145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274"/>
        <w:spacing w:after="0"/>
        <w:rPr>
          <w:sz w:val="20"/>
          <w:szCs w:val="20"/>
          <w:color w:val="auto"/>
        </w:rPr>
      </w:pPr>
      <w:r>
        <w:rPr>
          <w:rFonts w:ascii="Times New Roman" w:cs="Times New Roman" w:eastAsia="Times New Roman" w:hAnsi="Times New Roman"/>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541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3" w:lineRule="exact"/>
        <w:rPr>
          <w:sz w:val="20"/>
          <w:szCs w:val="20"/>
          <w:color w:val="auto"/>
        </w:rPr>
      </w:pPr>
    </w:p>
    <w:p>
      <w:pPr>
        <w:ind w:left="1234" w:hanging="1234"/>
        <w:spacing w:after="0"/>
        <w:tabs>
          <w:tab w:leader="none" w:pos="12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-121920</wp:posOffset>
            </wp:positionV>
            <wp:extent cx="713232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1302" w:hanging="1302"/>
        <w:spacing w:after="0"/>
        <w:tabs>
          <w:tab w:leader="none" w:pos="13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80.4</w:t>
      </w:r>
    </w:p>
    <w:p>
      <w:pPr>
        <w:spacing w:after="0" w:line="22" w:lineRule="exact"/>
        <w:rPr>
          <w:rFonts w:ascii="Times New Roman" w:cs="Times New Roman" w:eastAsia="Times New Roman" w:hAnsi="Times New Roman"/>
          <w:sz w:val="18"/>
          <w:szCs w:val="18"/>
          <w:color w:val="auto"/>
        </w:rPr>
      </w:pPr>
    </w:p>
    <w:p>
      <w:pPr>
        <w:ind w:left="1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w:t>
      </w:r>
    </w:p>
    <w:p>
      <w:pPr>
        <w:spacing w:after="0" w:line="22" w:lineRule="exact"/>
        <w:rPr>
          <w:rFonts w:ascii="Times New Roman" w:cs="Times New Roman" w:eastAsia="Times New Roman" w:hAnsi="Times New Roman"/>
          <w:sz w:val="18"/>
          <w:szCs w:val="18"/>
          <w:color w:val="auto"/>
        </w:rPr>
      </w:pPr>
    </w:p>
    <w:p>
      <w:pPr>
        <w:ind w:left="1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w:t>
      </w:r>
    </w:p>
    <w:p>
      <w:pPr>
        <w:spacing w:after="0" w:line="9" w:lineRule="exact"/>
        <w:rPr>
          <w:rFonts w:ascii="Times New Roman" w:cs="Times New Roman" w:eastAsia="Times New Roman" w:hAnsi="Times New Roman"/>
          <w:sz w:val="18"/>
          <w:szCs w:val="18"/>
          <w:color w:val="auto"/>
        </w:rPr>
      </w:pPr>
    </w:p>
    <w:p>
      <w:pPr>
        <w:ind w:left="14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0369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ind w:left="1222"/>
        <w:spacing w:after="0"/>
        <w:rPr>
          <w:sz w:val="20"/>
          <w:szCs w:val="20"/>
          <w:color w:val="auto"/>
        </w:rPr>
      </w:pPr>
      <w:r>
        <w:rPr>
          <w:rFonts w:ascii="Times New Roman" w:cs="Times New Roman" w:eastAsia="Times New Roman" w:hAnsi="Times New Roman"/>
          <w:sz w:val="18"/>
          <w:szCs w:val="18"/>
          <w:color w:val="auto"/>
        </w:rPr>
        <w:t>113.0</w:t>
      </w:r>
    </w:p>
    <w:p>
      <w:pPr>
        <w:spacing w:after="0" w:line="23" w:lineRule="exact"/>
        <w:rPr>
          <w:sz w:val="20"/>
          <w:szCs w:val="20"/>
          <w:color w:val="auto"/>
        </w:rPr>
      </w:pPr>
    </w:p>
    <w:p>
      <w:pPr>
        <w:ind w:left="1242"/>
        <w:spacing w:after="0"/>
        <w:rPr>
          <w:sz w:val="20"/>
          <w:szCs w:val="20"/>
          <w:color w:val="auto"/>
        </w:rPr>
      </w:pPr>
      <w:r>
        <w:rPr>
          <w:rFonts w:ascii="Times New Roman" w:cs="Times New Roman" w:eastAsia="Times New Roman" w:hAnsi="Times New Roman"/>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369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 w:lineRule="exact"/>
        <w:rPr>
          <w:sz w:val="20"/>
          <w:szCs w:val="20"/>
          <w:color w:val="auto"/>
        </w:rPr>
      </w:pPr>
    </w:p>
    <w:p>
      <w:pPr>
        <w:ind w:left="1222" w:hanging="1222"/>
        <w:spacing w:after="0"/>
        <w:tabs>
          <w:tab w:leader="none" w:pos="122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168.7</w:t>
      </w:r>
    </w:p>
    <w:p>
      <w:pPr>
        <w:spacing w:after="0" w:line="235" w:lineRule="exact"/>
        <w:rPr>
          <w:sz w:val="20"/>
          <w:szCs w:val="20"/>
          <w:color w:val="auto"/>
        </w:rPr>
      </w:pPr>
    </w:p>
    <w:p>
      <w:pPr>
        <w:sectPr>
          <w:pgSz w:w="11900" w:h="16838" w:orient="portrait"/>
          <w:cols w:equalWidth="0" w:num="3">
            <w:col w:w="6726" w:space="720"/>
            <w:col w:w="1714" w:space="338"/>
            <w:col w:w="1702"/>
          </w:cols>
          <w:pgMar w:left="320" w:top="1292" w:right="379" w:bottom="1440" w:gutter="0" w:footer="0" w:header="0"/>
          <w:type w:val="continuous"/>
        </w:sectPr>
      </w:pPr>
    </w:p>
    <w:p>
      <w:pPr>
        <w:spacing w:after="0" w:line="48" w:lineRule="exact"/>
        <w:rPr>
          <w:sz w:val="20"/>
          <w:szCs w:val="20"/>
          <w:color w:val="auto"/>
        </w:rPr>
      </w:pPr>
    </w:p>
    <w:p>
      <w:pPr>
        <w:ind w:right="260" w:firstLine="8"/>
        <w:spacing w:after="0" w:line="237" w:lineRule="auto"/>
        <w:tabs>
          <w:tab w:leader="none" w:pos="148" w:val="left"/>
        </w:tabs>
        <w:numPr>
          <w:ilvl w:val="0"/>
          <w:numId w:val="1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separation and related costs that were incurred subsequent to the separation on October 1, 2022, including expenses incurred on a transitional basis under a contract shared with Xperi Inc.</w:t>
      </w:r>
    </w:p>
    <w:p>
      <w:pPr>
        <w:spacing w:after="0" w:line="203" w:lineRule="exact"/>
        <w:rPr>
          <w:rFonts w:ascii="Times New Roman" w:cs="Times New Roman" w:eastAsia="Times New Roman" w:hAnsi="Times New Roman"/>
          <w:sz w:val="18"/>
          <w:szCs w:val="18"/>
          <w:color w:val="auto"/>
          <w:vertAlign w:val="superscript"/>
        </w:rPr>
      </w:pPr>
    </w:p>
    <w:p>
      <w:pPr>
        <w:ind w:left="140" w:hanging="132"/>
        <w:spacing w:after="0"/>
        <w:tabs>
          <w:tab w:leader="none" w:pos="14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The provision for income taxes is adjusted to reflect the net income tax effects of the various non-GAAP pretax adjustments.</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ADEIA INC.</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RECONCILIATION FOR GUIDANCE ON</w:t>
      </w:r>
    </w:p>
    <w:p>
      <w:pPr>
        <w:spacing w:after="0" w:line="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ADJUSTED EBITDA</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(in millions)</w:t>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20"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8"/>
          <w:szCs w:val="18"/>
          <w:b w:val="1"/>
          <w:bCs w:val="1"/>
          <w:color w:val="auto"/>
        </w:rPr>
        <w:t>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5715</wp:posOffset>
            </wp:positionV>
            <wp:extent cx="23399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type w:val="continuous"/>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Stock-based compensation expense</w:t>
      </w:r>
    </w:p>
    <w:p>
      <w:pPr>
        <w:ind w:left="80"/>
        <w:spacing w:after="0" w:line="207" w:lineRule="auto"/>
        <w:rPr>
          <w:sz w:val="20"/>
          <w:szCs w:val="20"/>
          <w:color w:val="auto"/>
        </w:rPr>
      </w:pPr>
      <w:r>
        <w:rPr>
          <w:rFonts w:ascii="Times New Roman" w:cs="Times New Roman" w:eastAsia="Times New Roman" w:hAnsi="Times New Roman"/>
          <w:sz w:val="18"/>
          <w:szCs w:val="18"/>
          <w:color w:val="auto"/>
        </w:rPr>
        <w:t xml:space="preserve">Separation and related costs </w:t>
      </w:r>
      <w:r>
        <w:rPr>
          <w:rFonts w:ascii="Times New Roman" w:cs="Times New Roman" w:eastAsia="Times New Roman" w:hAnsi="Times New Roman"/>
          <w:sz w:val="24"/>
          <w:szCs w:val="24"/>
          <w:color w:val="auto"/>
          <w:vertAlign w:val="superscript"/>
        </w:rPr>
        <w:t>(1)</w:t>
      </w:r>
    </w:p>
    <w:p>
      <w:pPr>
        <w:ind w:left="80"/>
        <w:spacing w:after="0"/>
        <w:rPr>
          <w:sz w:val="20"/>
          <w:szCs w:val="20"/>
          <w:color w:val="auto"/>
        </w:rPr>
      </w:pPr>
      <w:r>
        <w:rPr>
          <w:rFonts w:ascii="Times New Roman" w:cs="Times New Roman" w:eastAsia="Times New Roman" w:hAnsi="Times New Roman"/>
          <w:sz w:val="18"/>
          <w:szCs w:val="18"/>
          <w:color w:val="auto"/>
        </w:rPr>
        <w:t>Amortization expense</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Depreciation expense</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Other income</w:t>
      </w:r>
    </w:p>
    <w:p>
      <w:pPr>
        <w:spacing w:after="0" w:line="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of non-GAAP adjustments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br w:type="column"/>
      </w:r>
    </w:p>
    <w:p>
      <w:pPr>
        <w:ind w:left="654"/>
        <w:spacing w:after="0"/>
        <w:rPr>
          <w:sz w:val="20"/>
          <w:szCs w:val="20"/>
          <w:color w:val="auto"/>
        </w:rPr>
      </w:pPr>
      <w:r>
        <w:rPr>
          <w:rFonts w:ascii="Times New Roman" w:cs="Times New Roman" w:eastAsia="Times New Roman" w:hAnsi="Times New Roman"/>
          <w:sz w:val="18"/>
          <w:szCs w:val="18"/>
          <w:b w:val="1"/>
          <w:bCs w:val="1"/>
          <w:color w:val="auto"/>
        </w:rPr>
        <w: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541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3" w:lineRule="exact"/>
        <w:rPr>
          <w:sz w:val="20"/>
          <w:szCs w:val="20"/>
          <w:color w:val="auto"/>
        </w:rPr>
      </w:pPr>
    </w:p>
    <w:p>
      <w:pPr>
        <w:ind w:left="1334" w:hanging="1334"/>
        <w:spacing w:after="0"/>
        <w:tabs>
          <w:tab w:leader="none" w:pos="1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57.2</w:t>
      </w:r>
    </w:p>
    <w:p>
      <w:pPr>
        <w:spacing w:after="0" w:line="22"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w:t>
      </w:r>
    </w:p>
    <w:p>
      <w:pPr>
        <w:spacing w:after="0" w:line="22" w:lineRule="exact"/>
        <w:rPr>
          <w:rFonts w:ascii="Times New Roman" w:cs="Times New Roman" w:eastAsia="Times New Roman" w:hAnsi="Times New Roman"/>
          <w:sz w:val="18"/>
          <w:szCs w:val="18"/>
          <w:color w:val="auto"/>
        </w:rPr>
      </w:pPr>
    </w:p>
    <w:p>
      <w:pPr>
        <w:ind w:left="141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w:t>
      </w:r>
    </w:p>
    <w:p>
      <w:pPr>
        <w:spacing w:after="0" w:line="9"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w:t>
      </w:r>
    </w:p>
    <w:p>
      <w:pPr>
        <w:spacing w:after="0" w:line="9" w:lineRule="exact"/>
        <w:rPr>
          <w:rFonts w:ascii="Times New Roman" w:cs="Times New Roman" w:eastAsia="Times New Roman" w:hAnsi="Times New Roman"/>
          <w:sz w:val="18"/>
          <w:szCs w:val="18"/>
          <w:color w:val="auto"/>
        </w:rPr>
      </w:pPr>
    </w:p>
    <w:p>
      <w:pPr>
        <w:ind w:left="141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9"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w:t>
      </w:r>
    </w:p>
    <w:p>
      <w:pPr>
        <w:spacing w:after="0" w:line="9" w:lineRule="exact"/>
        <w:rPr>
          <w:rFonts w:ascii="Times New Roman" w:cs="Times New Roman" w:eastAsia="Times New Roman" w:hAnsi="Times New Roman"/>
          <w:sz w:val="18"/>
          <w:szCs w:val="18"/>
          <w:color w:val="auto"/>
        </w:rPr>
      </w:pPr>
    </w:p>
    <w:p>
      <w:pPr>
        <w:ind w:left="135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pacing w:after="0" w:line="9" w:lineRule="exact"/>
        <w:rPr>
          <w:rFonts w:ascii="Times New Roman" w:cs="Times New Roman" w:eastAsia="Times New Roman" w:hAnsi="Times New Roman"/>
          <w:sz w:val="18"/>
          <w:szCs w:val="18"/>
          <w:color w:val="auto"/>
        </w:rPr>
      </w:pPr>
    </w:p>
    <w:p>
      <w:pPr>
        <w:ind w:left="133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-816610</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-542290</wp:posOffset>
            </wp:positionV>
            <wp:extent cx="713232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-267970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-4722495</wp:posOffset>
            </wp:positionH>
            <wp:positionV relativeFrom="paragraph">
              <wp:posOffset>-1099185</wp:posOffset>
            </wp:positionV>
            <wp:extent cx="7132320"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wp:posOffset>
            </wp:positionV>
            <wp:extent cx="10541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ind w:left="1234"/>
        <w:spacing w:after="0"/>
        <w:rPr>
          <w:sz w:val="20"/>
          <w:szCs w:val="20"/>
          <w:color w:val="auto"/>
        </w:rPr>
      </w:pPr>
      <w:r>
        <w:rPr>
          <w:rFonts w:ascii="Times New Roman" w:cs="Times New Roman" w:eastAsia="Times New Roman" w:hAnsi="Times New Roman"/>
          <w:sz w:val="18"/>
          <w:szCs w:val="18"/>
          <w:color w:val="auto"/>
        </w:rPr>
        <w:t>156.2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-121920</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234" w:hanging="1234"/>
        <w:spacing w:after="0"/>
        <w:tabs>
          <w:tab w:leader="none" w:pos="12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541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541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541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22"/>
        <w:spacing w:after="0"/>
        <w:rPr>
          <w:sz w:val="20"/>
          <w:szCs w:val="20"/>
          <w:color w:val="auto"/>
        </w:rPr>
      </w:pPr>
      <w:r>
        <w:rPr>
          <w:rFonts w:ascii="Times New Roman" w:cs="Times New Roman" w:eastAsia="Times New Roman" w:hAnsi="Times New Roman"/>
          <w:sz w:val="18"/>
          <w:szCs w:val="18"/>
          <w:b w:val="1"/>
          <w:bCs w:val="1"/>
          <w:color w:val="auto"/>
        </w:rPr>
        <w:t>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369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3" w:lineRule="exact"/>
        <w:rPr>
          <w:sz w:val="20"/>
          <w:szCs w:val="20"/>
          <w:color w:val="auto"/>
        </w:rPr>
      </w:pPr>
    </w:p>
    <w:p>
      <w:pPr>
        <w:ind w:left="1302" w:hanging="1302"/>
        <w:spacing w:after="0"/>
        <w:tabs>
          <w:tab w:leader="none" w:pos="13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80.4</w:t>
      </w:r>
    </w:p>
    <w:p>
      <w:pPr>
        <w:spacing w:after="0" w:line="22" w:lineRule="exact"/>
        <w:rPr>
          <w:rFonts w:ascii="Times New Roman" w:cs="Times New Roman" w:eastAsia="Times New Roman" w:hAnsi="Times New Roman"/>
          <w:sz w:val="18"/>
          <w:szCs w:val="18"/>
          <w:color w:val="auto"/>
        </w:rPr>
      </w:pPr>
    </w:p>
    <w:p>
      <w:pPr>
        <w:ind w:left="1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w:t>
      </w:r>
    </w:p>
    <w:p>
      <w:pPr>
        <w:spacing w:after="0" w:line="22" w:lineRule="exact"/>
        <w:rPr>
          <w:rFonts w:ascii="Times New Roman" w:cs="Times New Roman" w:eastAsia="Times New Roman" w:hAnsi="Times New Roman"/>
          <w:sz w:val="18"/>
          <w:szCs w:val="18"/>
          <w:color w:val="auto"/>
        </w:rPr>
      </w:pPr>
    </w:p>
    <w:p>
      <w:pPr>
        <w:ind w:left="14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w:t>
      </w:r>
    </w:p>
    <w:p>
      <w:pPr>
        <w:spacing w:after="0" w:line="9" w:lineRule="exact"/>
        <w:rPr>
          <w:rFonts w:ascii="Times New Roman" w:cs="Times New Roman" w:eastAsia="Times New Roman" w:hAnsi="Times New Roman"/>
          <w:sz w:val="18"/>
          <w:szCs w:val="18"/>
          <w:color w:val="auto"/>
        </w:rPr>
      </w:pPr>
    </w:p>
    <w:p>
      <w:pPr>
        <w:ind w:left="1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65.0</w:t>
      </w:r>
    </w:p>
    <w:p>
      <w:pPr>
        <w:spacing w:after="0" w:line="9" w:lineRule="exact"/>
        <w:rPr>
          <w:rFonts w:ascii="Times New Roman" w:cs="Times New Roman" w:eastAsia="Times New Roman" w:hAnsi="Times New Roman"/>
          <w:sz w:val="18"/>
          <w:szCs w:val="18"/>
          <w:color w:val="auto"/>
        </w:rPr>
      </w:pPr>
    </w:p>
    <w:p>
      <w:pPr>
        <w:ind w:left="14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9" w:lineRule="exact"/>
        <w:rPr>
          <w:rFonts w:ascii="Times New Roman" w:cs="Times New Roman" w:eastAsia="Times New Roman" w:hAnsi="Times New Roman"/>
          <w:sz w:val="18"/>
          <w:szCs w:val="18"/>
          <w:color w:val="auto"/>
        </w:rPr>
      </w:pPr>
    </w:p>
    <w:p>
      <w:pPr>
        <w:ind w:left="1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36.0</w:t>
      </w:r>
    </w:p>
    <w:p>
      <w:pPr>
        <w:spacing w:after="0" w:line="9" w:lineRule="exact"/>
        <w:rPr>
          <w:rFonts w:ascii="Times New Roman" w:cs="Times New Roman" w:eastAsia="Times New Roman" w:hAnsi="Times New Roman"/>
          <w:sz w:val="18"/>
          <w:szCs w:val="18"/>
          <w:color w:val="auto"/>
        </w:rPr>
      </w:pPr>
    </w:p>
    <w:p>
      <w:pPr>
        <w:ind w:left="134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p>
    <w:p>
      <w:pPr>
        <w:spacing w:after="0" w:line="9" w:lineRule="exact"/>
        <w:rPr>
          <w:rFonts w:ascii="Times New Roman" w:cs="Times New Roman" w:eastAsia="Times New Roman" w:hAnsi="Times New Roman"/>
          <w:sz w:val="18"/>
          <w:szCs w:val="18"/>
          <w:color w:val="auto"/>
        </w:rPr>
      </w:pPr>
    </w:p>
    <w:p>
      <w:pPr>
        <w:ind w:left="130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0369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1222"/>
        <w:spacing w:after="0"/>
        <w:rPr>
          <w:sz w:val="20"/>
          <w:szCs w:val="20"/>
          <w:color w:val="auto"/>
        </w:rPr>
      </w:pPr>
      <w:r>
        <w:rPr>
          <w:rFonts w:ascii="Times New Roman" w:cs="Times New Roman" w:eastAsia="Times New Roman" w:hAnsi="Times New Roman"/>
          <w:sz w:val="18"/>
          <w:szCs w:val="18"/>
          <w:color w:val="auto"/>
        </w:rPr>
        <w:t>165.0</w:t>
      </w:r>
    </w:p>
    <w:p>
      <w:pPr>
        <w:spacing w:after="0" w:line="23" w:lineRule="exact"/>
        <w:rPr>
          <w:sz w:val="20"/>
          <w:szCs w:val="20"/>
          <w:color w:val="auto"/>
        </w:rPr>
      </w:pPr>
    </w:p>
    <w:p>
      <w:pPr>
        <w:ind w:left="1222" w:hanging="1222"/>
        <w:spacing w:after="0"/>
        <w:tabs>
          <w:tab w:leader="none" w:pos="12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0369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369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103695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3">
            <w:col w:w="6726" w:space="720"/>
            <w:col w:w="1714" w:space="338"/>
            <w:col w:w="1702"/>
          </w:cols>
          <w:pgMar w:left="320" w:top="1292" w:right="379" w:bottom="1440" w:gutter="0" w:footer="0" w:header="0"/>
          <w:type w:val="continuous"/>
        </w:sectPr>
      </w:pPr>
    </w:p>
    <w:p>
      <w:pPr>
        <w:spacing w:after="0" w:line="48" w:lineRule="exact"/>
        <w:rPr>
          <w:sz w:val="20"/>
          <w:szCs w:val="20"/>
          <w:color w:val="auto"/>
        </w:rPr>
      </w:pPr>
    </w:p>
    <w:p>
      <w:pPr>
        <w:ind w:right="260" w:firstLine="8"/>
        <w:spacing w:after="0" w:line="219" w:lineRule="auto"/>
        <w:tabs>
          <w:tab w:leader="none" w:pos="148" w:val="left"/>
        </w:tabs>
        <w:numPr>
          <w:ilvl w:val="0"/>
          <w:numId w:val="21"/>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Represents separation and related costs that were incurred subsequent to the separation on October 1, 2022, including expenses incurred on a transitional basis under a contract shared with Xperi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594360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2" w:right="379" w:bottom="1440" w:gutter="0" w:footer="0" w:header="0"/>
          <w:type w:val="continuous"/>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2026-05-04T15:14:50Z</dcterms:created>
  <dcterms:modified xsi:type="dcterms:W3CDTF">2026-05-04T15:14:50Z</dcterms:modified>
</cp:coreProperties>
</file>