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dea-20230630.htm"/>
      <w:bookmarkStart w:id="1" w:name="ksadea20230630"/>
      <w:bookmarkEnd w:id="0"/>
      <w:bookmarkEnd w:id="1"/>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16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60" w:after="0"/>
        <w:jc w:val="center"/>
        <w:rPr>
          <w:rFonts w:ascii="Times New Roman;serif" w:hAnsi="Times New Roman;serif"/>
          <w:b/>
          <w:sz w:val="20"/>
        </w:rPr>
      </w:pPr>
      <w:r>
        <w:rPr>
          <w:rFonts w:ascii="Times New Roman;serif" w:hAnsi="Times New Roman;serif"/>
          <w:b/>
          <w:sz w:val="20"/>
        </w:rPr>
        <w:t>OR</w:t>
      </w:r>
    </w:p>
    <w:p>
      <w:pPr>
        <w:pStyle w:val="TextBody"/>
        <w:bidi w:val="0"/>
        <w:spacing w:before="16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160" w:after="0"/>
        <w:jc w:val="center"/>
        <w:rPr>
          <w:rFonts w:ascii="Times New Roman;serif" w:hAnsi="Times New Roman;serif"/>
          <w:b/>
          <w:sz w:val="20"/>
        </w:rPr>
      </w:pPr>
      <w:r>
        <w:rPr>
          <w:rFonts w:ascii="Times New Roman;serif" w:hAnsi="Times New Roman;serif"/>
          <w:b/>
          <w:sz w:val="20"/>
        </w:rPr>
        <w:t>Commission File Number: 001-39304</w:t>
      </w:r>
    </w:p>
    <w:p>
      <w:pPr>
        <w:pStyle w:val="TextBody"/>
        <w:pBdr>
          <w:bottom w:val="single" w:sz="4" w:space="1" w:color="000000"/>
        </w:pBdr>
        <w:bidi w:val="0"/>
        <w:spacing w:before="0" w:after="0"/>
        <w:jc w:val="center"/>
        <w:rPr/>
      </w:pPr>
      <w:r>
        <w:rPr/>
        <w:t> </w:t>
      </w:r>
    </w:p>
    <w:p>
      <w:pPr>
        <w:pStyle w:val="TextBody"/>
        <w:bidi w:val="0"/>
        <w:spacing w:before="160" w:after="0"/>
        <w:jc w:val="center"/>
        <w:rPr>
          <w:rFonts w:ascii="Times New Roman;serif" w:hAnsi="Times New Roman;serif"/>
          <w:b/>
          <w:sz w:val="48"/>
        </w:rPr>
      </w:pPr>
      <w:r>
        <w:rPr>
          <w:rFonts w:ascii="Times New Roman;serif" w:hAnsi="Times New Roman;serif"/>
          <w:b/>
          <w:sz w:val="48"/>
        </w:rPr>
        <w:t>ADEIA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5638" w:type="dxa"/>
        <w:jc w:val="left"/>
        <w:tblInd w:w="0" w:type="dxa"/>
        <w:tblLayout w:type="fixed"/>
        <w:tblCellMar>
          <w:top w:w="28" w:type="dxa"/>
          <w:left w:w="28" w:type="dxa"/>
          <w:bottom w:w="28" w:type="dxa"/>
          <w:right w:w="28" w:type="dxa"/>
        </w:tblCellMar>
      </w:tblPr>
      <w:tblGrid>
        <w:gridCol w:w="3931"/>
        <w:gridCol w:w="146"/>
        <w:gridCol w:w="156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5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84-4734590</w:t>
            </w:r>
          </w:p>
        </w:tc>
      </w:tr>
      <w:tr>
        <w:trPr/>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(State or Other Jurisdiction of</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Incorporation or Organization)</w:t>
            </w:r>
          </w:p>
        </w:tc>
        <w:tc>
          <w:tcPr>
            <w:tcW w:w="146" w:type="dxa"/>
            <w:tcBorders/>
            <w:vAlign w:val="center"/>
          </w:tcPr>
          <w:p>
            <w:pPr>
              <w:pStyle w:val="TableContents"/>
              <w:bidi w:val="0"/>
              <w:spacing w:before="0" w:after="0"/>
              <w:ind w:left="0" w:right="0" w:hanging="0"/>
              <w:jc w:val="left"/>
              <w:rPr/>
            </w:pPr>
            <w:r>
              <w:rPr/>
              <w:t> </w:t>
            </w:r>
          </w:p>
        </w:tc>
        <w:tc>
          <w:tcPr>
            <w:tcW w:w="15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(I.R.S. Employer</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Identification No.)</w:t>
            </w:r>
          </w:p>
        </w:tc>
      </w:tr>
      <w:tr>
        <w:trPr/>
        <w:tc>
          <w:tcPr>
            <w:tcW w:w="3931" w:type="dxa"/>
            <w:tcBorders/>
            <w:vAlign w:val="center"/>
          </w:tcPr>
          <w:p>
            <w:pPr>
              <w:pStyle w:val="TableContents"/>
              <w:bidi w:val="0"/>
              <w:spacing w:before="0" w:after="0"/>
              <w:ind w:left="0" w:right="0" w:hanging="0"/>
              <w:jc w:val="center"/>
              <w:rPr/>
            </w:pPr>
            <w:r>
              <w:rPr/>
              <w:t> </w:t>
            </w:r>
          </w:p>
        </w:tc>
        <w:tc>
          <w:tcPr>
            <w:tcW w:w="1707" w:type="dxa"/>
            <w:gridSpan w:val="2"/>
            <w:tcBorders/>
            <w:vAlign w:val="center"/>
          </w:tcPr>
          <w:p>
            <w:pPr>
              <w:pStyle w:val="TableContents"/>
              <w:bidi w:val="0"/>
              <w:spacing w:before="0" w:after="0"/>
              <w:ind w:left="0" w:right="0" w:hanging="0"/>
              <w:jc w:val="center"/>
              <w:rPr/>
            </w:pPr>
            <w:r>
              <w:rPr/>
              <w:t> </w:t>
            </w:r>
          </w:p>
        </w:tc>
      </w:tr>
      <w:tr>
        <w:trPr/>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3025 Orchard Parkway, San Jose, California</w:t>
            </w:r>
          </w:p>
        </w:tc>
        <w:tc>
          <w:tcPr>
            <w:tcW w:w="146" w:type="dxa"/>
            <w:tcBorders/>
            <w:vAlign w:val="center"/>
          </w:tcPr>
          <w:p>
            <w:pPr>
              <w:pStyle w:val="TableContents"/>
              <w:bidi w:val="0"/>
              <w:spacing w:before="0" w:after="0"/>
              <w:ind w:left="0" w:right="0" w:hanging="0"/>
              <w:jc w:val="left"/>
              <w:rPr/>
            </w:pPr>
            <w:r>
              <w:rPr/>
              <w:t> </w:t>
            </w:r>
          </w:p>
        </w:tc>
        <w:tc>
          <w:tcPr>
            <w:tcW w:w="15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95134</w:t>
            </w:r>
          </w:p>
        </w:tc>
      </w:tr>
      <w:tr>
        <w:trPr/>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5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(Zip Code)</w:t>
            </w:r>
          </w:p>
        </w:tc>
      </w:tr>
    </w:tbl>
    <w:p>
      <w:pPr>
        <w:pStyle w:val="TextBody"/>
        <w:bidi w:val="0"/>
        <w:spacing w:before="160" w:after="0"/>
        <w:jc w:val="center"/>
        <w:rPr>
          <w:rFonts w:ascii="Times New Roman;serif" w:hAnsi="Times New Roman;serif"/>
          <w:b/>
          <w:sz w:val="20"/>
        </w:rPr>
      </w:pPr>
      <w:r>
        <w:rPr>
          <w:rFonts w:ascii="Times New Roman;serif" w:hAnsi="Times New Roman;serif"/>
          <w:b/>
          <w:sz w:val="20"/>
        </w:rPr>
        <w:t>(408) 473-2500</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bidi w:val="0"/>
        <w:spacing w:before="0" w:after="0"/>
        <w:jc w:val="left"/>
        <w:rPr/>
      </w:pPr>
      <w:r>
        <w:rPr/>
        <w:t> </w:t>
      </w:r>
    </w:p>
    <w:tbl>
      <w:tblPr>
        <w:tblW w:w="7638" w:type="dxa"/>
        <w:jc w:val="left"/>
        <w:tblInd w:w="0" w:type="dxa"/>
        <w:tblLayout w:type="fixed"/>
        <w:tblCellMar>
          <w:top w:w="28" w:type="dxa"/>
          <w:left w:w="28" w:type="dxa"/>
          <w:bottom w:w="28" w:type="dxa"/>
          <w:right w:w="28" w:type="dxa"/>
        </w:tblCellMar>
      </w:tblPr>
      <w:tblGrid>
        <w:gridCol w:w="3271"/>
        <w:gridCol w:w="886"/>
        <w:gridCol w:w="3481"/>
      </w:tblGrid>
      <w:tr>
        <w:trPr/>
        <w:tc>
          <w:tcPr>
            <w:tcW w:w="3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8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2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ADEA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The number of shares outstanding of the registrant’s common stock as of July 25, 2023 was 106,753,387.</w:t>
      </w:r>
    </w:p>
    <w:p>
      <w:pPr>
        <w:pStyle w:val="TextBody"/>
        <w:pBdr>
          <w:bottom w:val="double" w:sz="6" w:space="1" w:color="000000"/>
        </w:pBdr>
        <w:bidi w:val="0"/>
        <w:spacing w:before="12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r>
        <w:rPr>
          <w:rFonts w:ascii="Times New Roman;serif" w:hAnsi="Times New Roman;serif"/>
          <w:b/>
          <w:sz w:val="20"/>
        </w:rPr>
        <w:t>FORM 10-Q</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512"/>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part_1">
              <w:r>
                <w:rPr>
                  <w:rStyle w:val="InternetLink"/>
                  <w:rFonts w:ascii="Times New Roman;serif" w:hAnsi="Times New Roman;serif"/>
                  <w:b/>
                  <w:sz w:val="20"/>
                  <w:u w:val="single"/>
                </w:rPr>
                <w:t>PART I</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512" w:type="dxa"/>
            <w:tcBorders/>
            <w:vAlign w:val="center"/>
          </w:tcPr>
          <w:p>
            <w:pPr>
              <w:pStyle w:val="TableContents"/>
              <w:bidi w:val="0"/>
              <w:spacing w:before="0" w:after="0"/>
              <w:ind w:left="0" w:right="0" w:hanging="0"/>
              <w:jc w:val="left"/>
              <w:rPr/>
            </w:pPr>
            <w:hyperlink w:anchor="item1">
              <w:r>
                <w:rPr>
                  <w:rStyle w:val="InternetLink"/>
                  <w:rFonts w:ascii="Times New Roman;serif" w:hAnsi="Times New Roman;serif"/>
                  <w:b w:val="false"/>
                  <w:sz w:val="20"/>
                  <w:u w:val="single"/>
                </w:rPr>
                <w:t>Financial Statements (unaudited)</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 Three and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comprehensive_income">
              <w:r>
                <w:rPr>
                  <w:rStyle w:val="InternetLink"/>
                  <w:rFonts w:ascii="Times New Roman;serif" w:hAnsi="Times New Roman;serif"/>
                  <w:b w:val="false"/>
                  <w:sz w:val="20"/>
                  <w:u w:val="single"/>
                </w:rPr>
                <w:t>Condensed Consolidated Statements of Comprehensive Income (Loss) – Three and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 June 30, 2023 and December 31, 2022</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 –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stmt_equity">
              <w:r>
                <w:rPr>
                  <w:rStyle w:val="InternetLink"/>
                  <w:rFonts w:ascii="Times New Roman;serif" w:hAnsi="Times New Roman;serif"/>
                  <w:b w:val="false"/>
                  <w:sz w:val="20"/>
                  <w:u w:val="single"/>
                </w:rPr>
                <w:t>Condensed Consolidated Statements of Equity –</w:t>
              </w:r>
            </w:hyperlink>
            <w:r>
              <w:rPr>
                <w:rFonts w:ascii="Times New Roman" w:hAnsi="Times New Roman"/>
                <w:sz w:val="20"/>
                <w:u w:val="single"/>
              </w:rPr>
              <w:t> </w:t>
            </w:r>
            <w:r>
              <w:rPr>
                <w:rFonts w:ascii="Times New Roman;serif" w:hAnsi="Times New Roman;serif"/>
                <w:b w:val="false"/>
                <w:sz w:val="20"/>
                <w:u w:val="single"/>
              </w:rPr>
              <w:t>Three and Six Months Ended June 30, 2023 and 2022</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notes_to_condensed">
              <w:r>
                <w:rPr>
                  <w:rStyle w:val="InternetLink"/>
                  <w:rFonts w:ascii="Times New Roman;serif" w:hAnsi="Times New Roman;serif"/>
                  <w:b w:val="false"/>
                  <w:sz w:val="20"/>
                  <w:u w:val="single"/>
                </w:rPr>
                <w:t>Notes to Condensed Consolidated Financial Statements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512"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512"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512"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hyperlink w:anchor="part_ii">
              <w:r>
                <w:rPr>
                  <w:rStyle w:val="InternetLink"/>
                  <w:rFonts w:ascii="Times New Roman;serif" w:hAnsi="Times New Roman;serif"/>
                  <w:b/>
                  <w:sz w:val="20"/>
                  <w:u w:val="single"/>
                </w:rPr>
                <w:t>PART II</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512"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512"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512" w:type="dxa"/>
            <w:tcBorders/>
            <w:vAlign w:val="center"/>
          </w:tcPr>
          <w:p>
            <w:pPr>
              <w:pStyle w:val="TableContents"/>
              <w:bidi w:val="0"/>
              <w:spacing w:before="0" w:after="0"/>
              <w:ind w:left="0" w:right="0" w:hanging="0"/>
              <w:jc w:val="left"/>
              <w:rPr/>
            </w:pPr>
            <w:hyperlink w:anchor="unregistered_sales_of_equity_securities">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512" w:type="dxa"/>
            <w:tcBorders/>
            <w:vAlign w:val="center"/>
          </w:tcPr>
          <w:p>
            <w:pPr>
              <w:pStyle w:val="TableContents"/>
              <w:bidi w:val="0"/>
              <w:spacing w:before="0" w:after="0"/>
              <w:ind w:left="0" w:right="0" w:hanging="0"/>
              <w:jc w:val="left"/>
              <w:rPr/>
            </w:pPr>
            <w:hyperlink w:anchor="item_3__defaults_upon_senior_securities">
              <w:r>
                <w:rPr>
                  <w:rStyle w:val="InternetLink"/>
                  <w:rFonts w:ascii="Times New Roman;serif" w:hAnsi="Times New Roman;serif"/>
                  <w:b w:val="false"/>
                  <w:sz w:val="20"/>
                  <w:u w:val="single"/>
                </w:rPr>
                <w:t>Defaults Upon Senior Securities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512" w:type="dxa"/>
            <w:tcBorders/>
            <w:vAlign w:val="center"/>
          </w:tcPr>
          <w:p>
            <w:pPr>
              <w:pStyle w:val="TableContents"/>
              <w:bidi w:val="0"/>
              <w:spacing w:before="0" w:after="0"/>
              <w:ind w:left="0" w:right="0" w:hanging="0"/>
              <w:jc w:val="left"/>
              <w:rPr/>
            </w:pPr>
            <w:hyperlink w:anchor="item_4_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512" w:type="dxa"/>
            <w:tcBorders/>
            <w:vAlign w:val="center"/>
          </w:tcPr>
          <w:p>
            <w:pPr>
              <w:pStyle w:val="TableContents"/>
              <w:bidi w:val="0"/>
              <w:spacing w:before="0" w:after="0"/>
              <w:ind w:left="0" w:right="0" w:hanging="0"/>
              <w:jc w:val="left"/>
              <w:rPr/>
            </w:pPr>
            <w:hyperlink w:anchor="item_5__othe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512" w:type="dxa"/>
            <w:tcBorders/>
            <w:vAlign w:val="center"/>
          </w:tcPr>
          <w:p>
            <w:pPr>
              <w:pStyle w:val="TableContents"/>
              <w:bidi w:val="0"/>
              <w:spacing w:before="0" w:after="0"/>
              <w:ind w:left="0" w:right="0" w:hanging="0"/>
              <w:jc w:val="left"/>
              <w:rPr/>
            </w:pPr>
            <w:hyperlink w:anchor="item_6_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76" w:type="dxa"/>
            <w:tcBorders/>
            <w:vAlign w:val="center"/>
          </w:tcPr>
          <w:p>
            <w:pPr>
              <w:pStyle w:val="TableContents"/>
              <w:bidi w:val="0"/>
              <w:spacing w:before="0" w:after="0"/>
              <w:ind w:left="0" w:right="0" w:hanging="0"/>
              <w:jc w:val="left"/>
              <w:rPr/>
            </w:pPr>
            <w:r>
              <w:rPr/>
              <w:t> </w:t>
            </w:r>
          </w:p>
        </w:tc>
        <w:tc>
          <w:tcPr>
            <w:tcW w:w="85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r>
      <w:tr>
        <w:trPr/>
        <w:tc>
          <w:tcPr>
            <w:tcW w:w="976" w:type="dxa"/>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85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1"/>
      <w:bookmarkEnd w:id="2"/>
      <w:r>
        <w:rPr>
          <w:rFonts w:ascii="Times New Roman;serif" w:hAnsi="Times New Roman;serif"/>
          <w:b/>
          <w:sz w:val="20"/>
        </w:rPr>
        <w:t>PART I – FINANCIAL INFORMATION</w:t>
      </w:r>
      <w:r>
        <w:rPr>
          <w:rFonts w:ascii="Times New Roman" w:hAnsi="Times New Roman"/>
          <w:sz w:val="20"/>
        </w:rPr>
        <w:t xml:space="preserve"> </w:t>
      </w:r>
    </w:p>
    <w:p>
      <w:pPr>
        <w:pStyle w:val="TextBody"/>
        <w:bidi w:val="0"/>
        <w:spacing w:before="240" w:after="0"/>
        <w:jc w:val="both"/>
        <w:rPr>
          <w:rFonts w:ascii="Times New Roman;serif" w:hAnsi="Times New Roman;serif"/>
          <w:b/>
          <w:sz w:val="20"/>
        </w:rPr>
      </w:pPr>
      <w:bookmarkStart w:id="3" w:name="item1"/>
      <w:bookmarkEnd w:id="3"/>
      <w:r>
        <w:rPr>
          <w:rFonts w:ascii="Times New Roman;serif" w:hAnsi="Times New Roman;serif"/>
          <w:b/>
          <w:sz w:val="20"/>
        </w:rPr>
        <w:t>Item 1. Financial Statements</w:t>
      </w:r>
    </w:p>
    <w:p>
      <w:pPr>
        <w:pStyle w:val="TextBody"/>
        <w:bidi w:val="0"/>
        <w:spacing w:before="24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bookmarkStart w:id="4" w:name="condensed_consolidated_statements_operat"/>
      <w:bookmarkEnd w:id="4"/>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246,347</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20,660</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68,660</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48,932</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142,172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104,175</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(17,869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87,074</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16,069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71,005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Less: Net loss attributable to non-controlling interest </w:t>
              <w:br/>
              <w:t>in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the Company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591" w:type="dxa"/>
            <w:tcBorders/>
            <w:vAlign w:val="center"/>
          </w:tcPr>
          <w:p>
            <w:pPr>
              <w:pStyle w:val="TableContents"/>
              <w:bidi w:val="0"/>
              <w:spacing w:before="0" w:after="0"/>
              <w:ind w:left="0" w:right="0" w:firstLine="300"/>
              <w:jc w:val="left"/>
              <w:rPr/>
            </w:pPr>
            <w:r>
              <w:rPr/>
              <w:t> </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591" w:type="dxa"/>
            <w:tcBorders/>
            <w:vAlign w:val="center"/>
          </w:tcPr>
          <w:p>
            <w:pPr>
              <w:pStyle w:val="TableContents"/>
              <w:bidi w:val="0"/>
              <w:spacing w:before="0" w:after="0"/>
              <w:ind w:left="0" w:right="0" w:firstLine="300"/>
              <w:jc w:val="left"/>
              <w:rPr/>
            </w:pPr>
            <w:r>
              <w:rPr/>
              <w:t> </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used in per share calculations-basic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used in per share calculations-diluted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 w:hAnsi="Times New Roman"/>
          <w:sz w:val="20"/>
        </w:rPr>
      </w:pPr>
      <w:bookmarkStart w:id="5" w:name="comprehensive_income"/>
      <w:bookmarkEnd w:id="5"/>
      <w:r>
        <w:rPr>
          <w:rFonts w:ascii="Times New Roman;serif" w:hAnsi="Times New Roman;serif"/>
          <w:b/>
          <w:sz w:val="20"/>
        </w:rPr>
        <w:t>CONDENSED CONSOLIDATED STATEMENTS OF COMPREHENSIVE INCOME (LOSS)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170" w:type="dxa"/>
        <w:jc w:val="left"/>
        <w:tblInd w:w="0" w:type="dxa"/>
        <w:tblLayout w:type="fixed"/>
        <w:tblCellMar>
          <w:top w:w="28" w:type="dxa"/>
          <w:left w:w="28" w:type="dxa"/>
          <w:bottom w:w="28" w:type="dxa"/>
          <w:right w:w="28" w:type="dxa"/>
        </w:tblCellMar>
      </w:tblPr>
      <w:tblGrid>
        <w:gridCol w:w="4516"/>
        <w:gridCol w:w="146"/>
        <w:gridCol w:w="199"/>
        <w:gridCol w:w="521"/>
        <w:gridCol w:w="166"/>
        <w:gridCol w:w="146"/>
        <w:gridCol w:w="196"/>
        <w:gridCol w:w="571"/>
        <w:gridCol w:w="166"/>
        <w:gridCol w:w="146"/>
        <w:gridCol w:w="196"/>
        <w:gridCol w:w="601"/>
        <w:gridCol w:w="166"/>
        <w:gridCol w:w="146"/>
        <w:gridCol w:w="196"/>
        <w:gridCol w:w="601"/>
        <w:gridCol w:w="4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17,503</w:t>
            </w:r>
          </w:p>
        </w:tc>
        <w:tc>
          <w:tcPr>
            <w:tcW w:w="49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 in 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(2,918</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unrealized losses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14,607</w:t>
            </w:r>
          </w:p>
        </w:tc>
        <w:tc>
          <w:tcPr>
            <w:tcW w:w="491" w:type="dxa"/>
            <w:tcBorders/>
            <w:vAlign w:val="center"/>
          </w:tcPr>
          <w:p>
            <w:pPr>
              <w:pStyle w:val="TableContents"/>
              <w:bidi w:val="0"/>
              <w:spacing w:before="0" w:after="0"/>
              <w:ind w:left="0" w:right="0" w:firstLine="300"/>
              <w:jc w:val="left"/>
              <w:rPr/>
            </w:pPr>
            <w:r>
              <w:rPr/>
              <w:t> </w:t>
            </w:r>
          </w:p>
        </w:tc>
      </w:tr>
      <w:tr>
        <w:trPr/>
        <w:tc>
          <w:tcPr>
            <w:tcW w:w="4516"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Less: Comprehensive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 (loss) attributable to the Company</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16,423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bookmarkStart w:id="6" w:name="condensed_consolidated_balance_sheets"/>
      <w:bookmarkEnd w:id="6"/>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par value)</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931"/>
        <w:gridCol w:w="166"/>
        <w:gridCol w:w="146"/>
        <w:gridCol w:w="217"/>
        <w:gridCol w:w="963"/>
        <w:gridCol w:w="793"/>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$1,463</w:t>
            </w:r>
            <w:r>
              <w:rPr>
                <w:rFonts w:ascii="Times New Roman" w:hAnsi="Times New Roman"/>
                <w:sz w:val="20"/>
              </w:rPr>
              <w:t> </w:t>
            </w:r>
            <w:r>
              <w:rPr>
                <w:rFonts w:ascii="Times New Roman;serif" w:hAnsi="Times New Roman;serif"/>
                <w:b w:val="false"/>
                <w:sz w:val="20"/>
              </w:rPr>
              <w:t>and $713,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58,480</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contracts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73,754</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258,713</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unbilled contracts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40,705</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5,993</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385,232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432,476</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313,660</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113,679</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40,750</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3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1,122,607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1,210,526</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8,546</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31,277</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109,813</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17,076</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166,712</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10,683</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619,580</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4,794</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87,302</w:t>
            </w:r>
          </w:p>
        </w:tc>
        <w:tc>
          <w:tcPr>
            <w:tcW w:w="7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20,043</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909,114</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15)</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(2023: authorized 15,000</w:t>
            </w:r>
            <w:r>
              <w:rPr>
                <w:rFonts w:ascii="Times New Roman" w:hAnsi="Times New Roman"/>
                <w:sz w:val="20"/>
              </w:rPr>
              <w:t> </w:t>
            </w:r>
            <w:r>
              <w:rPr>
                <w:rFonts w:ascii="Times New Roman;serif" w:hAnsi="Times New Roman;serif"/>
                <w:b w:val="false"/>
                <w:sz w:val="20"/>
              </w:rPr>
              <w:t>shares; 2022: authorized 15,000</w:t>
            </w:r>
            <w:r>
              <w:rPr>
                <w:rFonts w:ascii="Times New Roman" w:hAnsi="Times New Roman"/>
                <w:sz w:val="20"/>
              </w:rPr>
              <w:t> </w:t>
            </w:r>
            <w:r>
              <w:rPr>
                <w:rFonts w:ascii="Times New Roman;serif" w:hAnsi="Times New Roman;serif"/>
                <w:b w:val="false"/>
                <w:sz w:val="20"/>
              </w:rPr>
              <w:t>shares and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(2023: authorized 350,000</w:t>
            </w:r>
            <w:r>
              <w:rPr>
                <w:rFonts w:ascii="Times New Roman" w:hAnsi="Times New Roman"/>
                <w:sz w:val="20"/>
              </w:rPr>
              <w:t> </w:t>
            </w:r>
            <w:r>
              <w:rPr>
                <w:rFonts w:ascii="Times New Roman;serif" w:hAnsi="Times New Roman;serif"/>
                <w:b w:val="false"/>
                <w:sz w:val="20"/>
              </w:rPr>
              <w:t>shares, issued 119,595</w:t>
            </w:r>
            <w:r>
              <w:rPr>
                <w:rFonts w:ascii="Times New Roman" w:hAnsi="Times New Roman"/>
                <w:sz w:val="20"/>
              </w:rPr>
              <w:t> </w:t>
            </w:r>
            <w:r>
              <w:rPr>
                <w:rFonts w:ascii="Times New Roman;serif" w:hAnsi="Times New Roman;serif"/>
                <w:b w:val="false"/>
                <w:sz w:val="20"/>
              </w:rPr>
              <w:t>shares, outstanding 106,606</w:t>
            </w:r>
            <w:r>
              <w:rPr>
                <w:rFonts w:ascii="Times New Roman" w:hAnsi="Times New Roman"/>
                <w:sz w:val="20"/>
              </w:rPr>
              <w:t> </w:t>
            </w:r>
            <w:r>
              <w:rPr>
                <w:rFonts w:ascii="Times New Roman;serif" w:hAnsi="Times New Roman;serif"/>
                <w:b w:val="false"/>
                <w:sz w:val="20"/>
              </w:rPr>
              <w:t>shares; 2022: authorized 350,000</w:t>
            </w:r>
            <w:r>
              <w:rPr>
                <w:rFonts w:ascii="Times New Roman" w:hAnsi="Times New Roman"/>
                <w:sz w:val="20"/>
              </w:rPr>
              <w:t> </w:t>
            </w:r>
            <w:r>
              <w:rPr>
                <w:rFonts w:ascii="Times New Roman;serif" w:hAnsi="Times New Roman;serif"/>
                <w:b w:val="false"/>
                <w:sz w:val="20"/>
              </w:rPr>
              <w:t>shares, issued 117,392</w:t>
            </w:r>
            <w:r>
              <w:rPr>
                <w:rFonts w:ascii="Times New Roman" w:hAnsi="Times New Roman"/>
                <w:sz w:val="20"/>
              </w:rPr>
              <w:t> </w:t>
            </w:r>
            <w:r>
              <w:rPr>
                <w:rFonts w:ascii="Times New Roman;serif" w:hAnsi="Times New Roman;serif"/>
                <w:b w:val="false"/>
                <w:sz w:val="20"/>
              </w:rPr>
              <w:t>shares, outstanding 105,167</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634,954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636,266</w:t>
            </w:r>
          </w:p>
        </w:tc>
        <w:tc>
          <w:tcPr>
            <w:tcW w:w="7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stock at cost (2023: 12,989</w:t>
            </w:r>
            <w:r>
              <w:rPr>
                <w:rFonts w:ascii="Times New Roman" w:hAnsi="Times New Roman"/>
                <w:sz w:val="20"/>
              </w:rPr>
              <w:t> </w:t>
            </w:r>
            <w:r>
              <w:rPr>
                <w:rFonts w:ascii="Times New Roman;serif" w:hAnsi="Times New Roman;serif"/>
                <w:b w:val="false"/>
                <w:sz w:val="20"/>
              </w:rPr>
              <w:t>shares; 2022: 12,225</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(211,223</w:t>
            </w:r>
          </w:p>
        </w:tc>
        <w:tc>
          <w:tcPr>
            <w:tcW w:w="7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79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(123,697</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301,412</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3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1,122,607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1,210,526</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 w:hAnsi="Times New Roman"/>
          <w:sz w:val="20"/>
        </w:rPr>
      </w:pPr>
      <w:bookmarkStart w:id="7" w:name="cash_flows"/>
      <w:bookmarkEnd w:id="7"/>
      <w:r>
        <w:rPr>
          <w:rFonts w:ascii="Times New Roman;serif" w:hAnsi="Times New Roman;serif"/>
          <w:b/>
          <w:sz w:val="20"/>
        </w:rPr>
        <w:t>CONDENSED CONSOLIDATED STATEMENTS OF CASH</w:t>
      </w:r>
      <w:r>
        <w:rPr>
          <w:rFonts w:ascii="Times New Roman" w:hAnsi="Times New Roman"/>
          <w:sz w:val="20"/>
        </w:rPr>
        <w:t xml:space="preserve"> </w:t>
      </w:r>
      <w:r>
        <w:rPr>
          <w:rFonts w:ascii="Times New Roman;serif" w:hAnsi="Times New Roman;serif"/>
          <w:b/>
          <w:sz w:val="20"/>
        </w:rPr>
        <w:t>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210"/>
        <w:gridCol w:w="146"/>
        <w:gridCol w:w="252"/>
        <w:gridCol w:w="1011"/>
        <w:gridCol w:w="166"/>
        <w:gridCol w:w="146"/>
        <w:gridCol w:w="268"/>
        <w:gridCol w:w="993"/>
        <w:gridCol w:w="1013"/>
      </w:tblGrid>
      <w:tr>
        <w:trPr/>
        <w:tc>
          <w:tcPr>
            <w:tcW w:w="6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2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1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2022</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200"/>
              <w:jc w:val="righ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17,503</w:t>
            </w:r>
          </w:p>
        </w:tc>
        <w:tc>
          <w:tcPr>
            <w:tcW w:w="1013" w:type="dxa"/>
            <w:tcBorders/>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from operating activities:</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400"/>
              <w:jc w:val="righ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of property and equipment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11,371</w:t>
            </w:r>
          </w:p>
        </w:tc>
        <w:tc>
          <w:tcPr>
            <w:tcW w:w="1013" w:type="dxa"/>
            <w:tcBorders/>
            <w:vAlign w:val="center"/>
          </w:tcPr>
          <w:p>
            <w:pPr>
              <w:pStyle w:val="TableContents"/>
              <w:bidi w:val="0"/>
              <w:spacing w:before="0" w:after="0"/>
              <w:ind w:left="0" w:right="0" w:firstLine="400"/>
              <w:jc w:val="lef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78,485</w:t>
            </w:r>
          </w:p>
        </w:tc>
        <w:tc>
          <w:tcPr>
            <w:tcW w:w="1013" w:type="dxa"/>
            <w:tcBorders/>
            <w:vAlign w:val="center"/>
          </w:tcPr>
          <w:p>
            <w:pPr>
              <w:pStyle w:val="TableContents"/>
              <w:bidi w:val="0"/>
              <w:spacing w:before="0" w:after="0"/>
              <w:ind w:left="0" w:right="0" w:firstLine="400"/>
              <w:jc w:val="lef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32,284</w:t>
            </w:r>
          </w:p>
        </w:tc>
        <w:tc>
          <w:tcPr>
            <w:tcW w:w="1013" w:type="dxa"/>
            <w:tcBorders/>
            <w:vAlign w:val="center"/>
          </w:tcPr>
          <w:p>
            <w:pPr>
              <w:pStyle w:val="TableContents"/>
              <w:bidi w:val="0"/>
              <w:spacing w:before="0" w:after="0"/>
              <w:ind w:left="0" w:right="0" w:firstLine="400"/>
              <w:jc w:val="lef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0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issuance costs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w:t>
            </w:r>
          </w:p>
        </w:tc>
        <w:tc>
          <w:tcPr>
            <w:tcW w:w="1013" w:type="dxa"/>
            <w:tcBorders/>
            <w:vAlign w:val="center"/>
          </w:tcPr>
          <w:p>
            <w:pPr>
              <w:pStyle w:val="TableContents"/>
              <w:bidi w:val="0"/>
              <w:spacing w:before="0" w:after="0"/>
              <w:ind w:left="0" w:right="0" w:firstLine="400"/>
              <w:jc w:val="lef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013" w:type="dxa"/>
            <w:tcBorders/>
            <w:vAlign w:val="center"/>
          </w:tcPr>
          <w:p>
            <w:pPr>
              <w:pStyle w:val="TableContents"/>
              <w:bidi w:val="0"/>
              <w:spacing w:before="0" w:after="0"/>
              <w:ind w:left="0" w:right="0" w:firstLine="400"/>
              <w:jc w:val="left"/>
              <w:rPr/>
            </w:pPr>
            <w:r>
              <w:rPr/>
              <w:t> </w:t>
            </w:r>
          </w:p>
        </w:tc>
      </w:tr>
      <w:tr>
        <w:trPr/>
        <w:tc>
          <w:tcPr>
            <w:tcW w:w="621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600"/>
              <w:jc w:val="right"/>
              <w:rPr/>
            </w:pPr>
            <w:r>
              <w:rPr/>
              <w:t> </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14,820</w:t>
            </w:r>
          </w:p>
        </w:tc>
        <w:tc>
          <w:tcPr>
            <w:tcW w:w="1013" w:type="dxa"/>
            <w:tcBorders/>
            <w:vAlign w:val="center"/>
          </w:tcPr>
          <w:p>
            <w:pPr>
              <w:pStyle w:val="TableContents"/>
              <w:bidi w:val="0"/>
              <w:spacing w:before="0" w:after="0"/>
              <w:ind w:left="0" w:right="0" w:firstLine="600"/>
              <w:jc w:val="left"/>
              <w:rPr/>
            </w:pPr>
            <w:r>
              <w:rPr/>
              <w:t> </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Unbilled contracts receivable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(82,767</w:t>
            </w:r>
          </w:p>
        </w:tc>
        <w:tc>
          <w:tcPr>
            <w:tcW w:w="1013"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w:t>
            </w:r>
          </w:p>
        </w:tc>
        <w:tc>
          <w:tcPr>
            <w:tcW w:w="1013"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6,868</w:t>
            </w:r>
          </w:p>
        </w:tc>
        <w:tc>
          <w:tcPr>
            <w:tcW w:w="1013" w:type="dxa"/>
            <w:tcBorders/>
            <w:vAlign w:val="center"/>
          </w:tcPr>
          <w:p>
            <w:pPr>
              <w:pStyle w:val="TableContents"/>
              <w:bidi w:val="0"/>
              <w:spacing w:before="0" w:after="0"/>
              <w:ind w:left="0" w:right="0" w:firstLine="600"/>
              <w:jc w:val="left"/>
              <w:rPr/>
            </w:pPr>
            <w:r>
              <w:rPr/>
              <w:t> </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w:t>
            </w:r>
          </w:p>
        </w:tc>
        <w:tc>
          <w:tcPr>
            <w:tcW w:w="1013" w:type="dxa"/>
            <w:tcBorders/>
            <w:vAlign w:val="center"/>
          </w:tcPr>
          <w:p>
            <w:pPr>
              <w:pStyle w:val="TableContents"/>
              <w:bidi w:val="0"/>
              <w:spacing w:before="0" w:after="0"/>
              <w:ind w:left="0" w:right="0" w:firstLine="600"/>
              <w:jc w:val="left"/>
              <w:rPr/>
            </w:pPr>
            <w:r>
              <w:rPr/>
              <w:t> </w:t>
            </w:r>
          </w:p>
        </w:tc>
      </w:tr>
      <w:tr>
        <w:trPr/>
        <w:tc>
          <w:tcPr>
            <w:tcW w:w="6210"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3,913</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10"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87,033</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200"/>
              <w:jc w:val="righ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(8,870</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 of property and equipment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013" w:type="dxa"/>
            <w:tcBorders/>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intangible assets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short-term investments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sales of investments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28,254</w:t>
            </w:r>
          </w:p>
        </w:tc>
        <w:tc>
          <w:tcPr>
            <w:tcW w:w="1013" w:type="dxa"/>
            <w:tcBorders/>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maturities of investments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26,053</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10"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40,800</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200"/>
              <w:jc w:val="righ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paid</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(10,418</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debt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(20,250</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employee stock purchase program and exercise of stock options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8,059</w:t>
            </w:r>
          </w:p>
        </w:tc>
        <w:tc>
          <w:tcPr>
            <w:tcW w:w="1013" w:type="dxa"/>
            <w:tcBorders/>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(17,260</w:t>
            </w:r>
          </w:p>
        </w:tc>
        <w:tc>
          <w:tcPr>
            <w:tcW w:w="10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Repurchases of common stock for tax withholdings on equity awards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(11,475</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financing activities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(51,344</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74,198</w:t>
            </w:r>
          </w:p>
        </w:tc>
        <w:tc>
          <w:tcPr>
            <w:tcW w:w="1013" w:type="dxa"/>
            <w:tcBorders/>
            <w:vAlign w:val="center"/>
          </w:tcPr>
          <w:p>
            <w:pPr>
              <w:pStyle w:val="TableContents"/>
              <w:bidi w:val="0"/>
              <w:spacing w:before="0" w:after="0"/>
              <w:ind w:left="0" w:right="0" w:hanging="0"/>
              <w:jc w:val="left"/>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201,121</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275,319</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200"/>
              <w:jc w:val="righ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paid, net of refunds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13,400</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Unpaid purchases of property and equipment at the end of the period</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18"/>
        </w:rPr>
        <w:t>Cash flows above are presented on a consolidated basis and therefore also include $144.8</w:t>
      </w:r>
      <w:r>
        <w:rPr>
          <w:rFonts w:ascii="Times New Roman" w:hAnsi="Times New Roman"/>
          <w:sz w:val="20"/>
        </w:rPr>
        <w:t xml:space="preserve"> </w:t>
      </w:r>
      <w:r>
        <w:rPr>
          <w:rFonts w:ascii="Times New Roman;serif" w:hAnsi="Times New Roman;serif"/>
          <w:b w:val="false"/>
          <w:i/>
          <w:sz w:val="18"/>
        </w:rPr>
        <w:t>million of cash and cash equivalents included in current assets of discontinued operations in the condensed consolidated balance sheet as of June 30, 2022. Refer to “Note 7 – Discontinued Operations” for additional information related to cash flows from discontinued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bookmarkStart w:id="8" w:name="stmt_equity"/>
      <w:bookmarkEnd w:id="8"/>
      <w:r>
        <w:rPr>
          <w:rFonts w:ascii="Times New Roman;serif" w:hAnsi="Times New Roman;serif"/>
          <w:b/>
          <w:sz w:val="20"/>
        </w:rPr>
        <w:t>CONDENSED CONSOLIDATED STATEMENTS OF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1488"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57"/>
        <w:gridCol w:w="494"/>
        <w:gridCol w:w="146"/>
        <w:gridCol w:w="146"/>
        <w:gridCol w:w="205"/>
        <w:gridCol w:w="726"/>
        <w:gridCol w:w="166"/>
        <w:gridCol w:w="146"/>
        <w:gridCol w:w="146"/>
        <w:gridCol w:w="601"/>
        <w:gridCol w:w="146"/>
        <w:gridCol w:w="146"/>
        <w:gridCol w:w="196"/>
        <w:gridCol w:w="751"/>
        <w:gridCol w:w="166"/>
        <w:gridCol w:w="146"/>
        <w:gridCol w:w="472"/>
        <w:gridCol w:w="834"/>
        <w:gridCol w:w="166"/>
        <w:gridCol w:w="146"/>
        <w:gridCol w:w="233"/>
        <w:gridCol w:w="893"/>
        <w:gridCol w:w="166"/>
        <w:gridCol w:w="146"/>
        <w:gridCol w:w="255"/>
        <w:gridCol w:w="90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Three Months Ended June 30, 2023</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 Capital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 Comprehensive 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Accumulated </w:t>
              <w:b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106,285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635,001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(217,783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(94,676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322,614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1,419</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8"/>
              </w:rPr>
              <w:t>Cash dividends paid on common stock ($0.05</w:t>
            </w:r>
            <w:r>
              <w:rPr>
                <w:rFonts w:ascii="Times New Roman" w:hAnsi="Times New Roman"/>
                <w:sz w:val="20"/>
              </w:rPr>
              <w:t> </w:t>
            </w:r>
            <w:r>
              <w:rPr>
                <w:rFonts w:ascii="Times New Roman;serif" w:hAnsi="Times New Roman;serif"/>
                <w:b w:val="false"/>
                <w:sz w:val="18"/>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719</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restricted stock, net of shares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Withholding taxes related to net share settlement of restricted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634,954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(218,714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(93,257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323,021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br/>
              <w:t>Paid-In Capital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br/>
              <w:t>Other Comprehensive 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Accumulated </w:t>
              <w:b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636,266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(123,697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301,412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30,440</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8"/>
              </w:rPr>
              <w:t>Cash dividends paid on common stock ($0.10</w:t>
            </w:r>
            <w:r>
              <w:rPr>
                <w:rFonts w:ascii="Times New Roman" w:hAnsi="Times New Roman"/>
                <w:sz w:val="20"/>
              </w:rPr>
              <w:t> </w:t>
            </w:r>
            <w:r>
              <w:rPr>
                <w:rFonts w:ascii="Times New Roman;serif" w:hAnsi="Times New Roman;serif"/>
                <w:b w:val="false"/>
                <w:sz w:val="18"/>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409</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719</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restricted stock, net of shares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1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Withholding taxes related to net share settlement of restricted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634,954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(218,714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(93,257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323,021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p>
      <w:pPr>
        <w:pStyle w:val="TextBody"/>
        <w:bidi w:val="0"/>
        <w:spacing w:before="0" w:after="0"/>
        <w:jc w:val="center"/>
        <w:rPr/>
      </w:pPr>
      <w:r>
        <w:rPr/>
        <w:t> </w:t>
      </w:r>
    </w:p>
    <w:tbl>
      <w:tblPr>
        <w:tblW w:w="12613"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36"/>
        <w:gridCol w:w="455"/>
        <w:gridCol w:w="146"/>
        <w:gridCol w:w="146"/>
        <w:gridCol w:w="196"/>
        <w:gridCol w:w="826"/>
        <w:gridCol w:w="166"/>
        <w:gridCol w:w="146"/>
        <w:gridCol w:w="146"/>
        <w:gridCol w:w="601"/>
        <w:gridCol w:w="146"/>
        <w:gridCol w:w="146"/>
        <w:gridCol w:w="196"/>
        <w:gridCol w:w="751"/>
        <w:gridCol w:w="166"/>
        <w:gridCol w:w="146"/>
        <w:gridCol w:w="310"/>
        <w:gridCol w:w="906"/>
        <w:gridCol w:w="166"/>
        <w:gridCol w:w="146"/>
        <w:gridCol w:w="196"/>
        <w:gridCol w:w="691"/>
        <w:gridCol w:w="166"/>
        <w:gridCol w:w="146"/>
        <w:gridCol w:w="274"/>
        <w:gridCol w:w="927"/>
        <w:gridCol w:w="166"/>
        <w:gridCol w:w="146"/>
        <w:gridCol w:w="207"/>
        <w:gridCol w:w="874"/>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79"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Company Stockholders' 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June 30, 2022</w:t>
            </w:r>
          </w:p>
        </w:tc>
        <w:tc>
          <w:tcPr>
            <w:tcW w:w="146" w:type="dxa"/>
            <w:tcBorders/>
            <w:vAlign w:val="center"/>
          </w:tcPr>
          <w:p>
            <w:pPr>
              <w:pStyle w:val="TableContents"/>
              <w:bidi w:val="0"/>
              <w:spacing w:before="0" w:after="0"/>
              <w:ind w:left="0" w:right="0" w:hanging="0"/>
              <w:jc w:val="left"/>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 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Retained </w:t>
              <w:br/>
              <w:t>Earnings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 Interest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April 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1,365,277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1,354,647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subsidiary shares to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dividends paid on common stock ($0.05</w:t>
            </w:r>
            <w:r>
              <w:rPr>
                <w:rFonts w:ascii="Times New Roman" w:hAnsi="Times New Roman"/>
                <w:sz w:val="20"/>
              </w:rPr>
              <w:t> </w:t>
            </w:r>
            <w:r>
              <w:rPr>
                <w:rFonts w:ascii="Times New Roman;serif" w:hAnsi="Times New Roman;serif"/>
                <w:b w:val="false"/>
                <w:sz w:val="16"/>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connection with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restricted stock, net of shares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Repurchases of common stock, shares exchanged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15,481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1,380,814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(206,757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196,715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1,356,225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79" w:type="dxa"/>
            <w:gridSpan w:val="2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Company Stockholders' 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Six Months Ended June 30, 2022</w:t>
            </w:r>
          </w:p>
        </w:tc>
        <w:tc>
          <w:tcPr>
            <w:tcW w:w="146" w:type="dxa"/>
            <w:tcBorders/>
            <w:vAlign w:val="center"/>
          </w:tcPr>
          <w:p>
            <w:pPr>
              <w:pStyle w:val="TableContents"/>
              <w:bidi w:val="0"/>
              <w:spacing w:before="0" w:after="0"/>
              <w:ind w:left="0" w:right="0" w:hanging="0"/>
              <w:jc w:val="left"/>
              <w:rPr/>
            </w:pPr>
            <w:r>
              <w:rPr/>
              <w:t> </w:t>
            </w:r>
          </w:p>
        </w:tc>
        <w:tc>
          <w:tcPr>
            <w:tcW w:w="18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 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Retained </w:t>
              <w:br/>
              <w:t>Earnings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 Interest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 Equity</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1,340,480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187,814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1,340,428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subsidiary shares to noncontrolling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17,503</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dividends paid on common stock ($0.10</w:t>
            </w:r>
            <w:r>
              <w:rPr>
                <w:rFonts w:ascii="Times New Roman" w:hAnsi="Times New Roman"/>
                <w:sz w:val="20"/>
              </w:rPr>
              <w:t> </w:t>
            </w:r>
            <w:r>
              <w:rPr>
                <w:rFonts w:ascii="Times New Roman;serif" w:hAnsi="Times New Roman;serif"/>
                <w:b w:val="false"/>
                <w:sz w:val="16"/>
              </w:rPr>
              <w:t>per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connection with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7,994</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restricted stock, net of shares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Repurchases of common stock, shares exchanged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(17,260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32,284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32,284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1,380,814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(206,757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196,715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1,356,225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ADEIA INC.</w:t>
      </w:r>
    </w:p>
    <w:p>
      <w:pPr>
        <w:pStyle w:val="TextBody"/>
        <w:bidi w:val="0"/>
        <w:spacing w:before="0" w:after="0"/>
        <w:jc w:val="center"/>
        <w:rPr>
          <w:rFonts w:ascii="Times New Roman;serif" w:hAnsi="Times New Roman;serif"/>
          <w:b/>
          <w:sz w:val="20"/>
        </w:rPr>
      </w:pPr>
      <w:bookmarkStart w:id="9" w:name="notes_to_condensed"/>
      <w:bookmarkEnd w:id="9"/>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serif" w:hAnsi="Times New Roman;serif"/>
          <w:b/>
          <w:sz w:val="20"/>
        </w:rPr>
      </w:pPr>
      <w:r>
        <w:rPr>
          <w:rFonts w:ascii="Times New Roman;serif" w:hAnsi="Times New Roman;serif"/>
          <w:b/>
          <w:sz w:val="20"/>
        </w:rPr>
        <w:t>NOTE 1 – THE COMPANY AND BASIS OF PRESENTATION</w:t>
      </w:r>
    </w:p>
    <w:p>
      <w:pPr>
        <w:pStyle w:val="TextBody"/>
        <w:bidi w:val="0"/>
        <w:spacing w:before="240" w:after="0"/>
        <w:jc w:val="left"/>
        <w:rPr>
          <w:rFonts w:ascii="Times New Roman" w:hAnsi="Times New Roman"/>
          <w:sz w:val="20"/>
        </w:rPr>
      </w:pPr>
      <w:r>
        <w:rPr>
          <w:rFonts w:ascii="Times New Roman;serif" w:hAnsi="Times New Roman;serif"/>
          <w:b w:val="false"/>
          <w:sz w:val="20"/>
        </w:rPr>
        <w:t>Adeia Inc. (the “Company”), a Delaware corporation, is one of the industry’s largest intellectual property (“IP”) licensing platforms, with a diverse portfolio of media and semiconductor IP and more than 10,000</w:t>
      </w:r>
      <w:r>
        <w:rPr>
          <w:rFonts w:ascii="Times New Roman" w:hAnsi="Times New Roman"/>
          <w:sz w:val="20"/>
        </w:rPr>
        <w:t xml:space="preserve"> </w:t>
      </w:r>
      <w:r>
        <w:rPr>
          <w:rFonts w:ascii="Times New Roman;serif" w:hAnsi="Times New Roman;serif"/>
          <w:b w:val="false"/>
          <w:sz w:val="20"/>
        </w:rPr>
        <w:t>patents and patent applications worldwide.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w:t>
      </w:r>
      <w:r>
        <w:rPr>
          <w:rFonts w:ascii="Times New Roman" w:hAnsi="Times New Roman"/>
          <w:sz w:val="20"/>
        </w:rPr>
        <w:t xml:space="preserve"> </w:t>
      </w:r>
      <w:r>
        <w:rPr>
          <w:rFonts w:ascii="Times New Roman;serif" w:hAnsi="Times New Roman;serif"/>
          <w:b w:val="false"/>
          <w:sz w:val="20"/>
        </w:rPr>
        <w:t>percent of the outstanding shares of Xperi Inc.’s common stock to holders of the Company’s common stock as of the close of business on the record date of September 21, 2022 (the “Record Date”). Each Company stockholder of record received four</w:t>
      </w:r>
      <w:r>
        <w:rPr>
          <w:rFonts w:ascii="Times New Roman" w:hAnsi="Times New Roman"/>
          <w:sz w:val="20"/>
        </w:rPr>
        <w:t xml:space="preserve"> </w:t>
      </w:r>
      <w:r>
        <w:rPr>
          <w:rFonts w:ascii="Times New Roman;serif" w:hAnsi="Times New Roman;serif"/>
          <w:b w:val="false"/>
          <w:sz w:val="20"/>
        </w:rPr>
        <w:t>shares of Xperi Inc. common stock for every ten</w:t>
      </w:r>
      <w:r>
        <w:rPr>
          <w:rFonts w:ascii="Times New Roman" w:hAnsi="Times New Roman"/>
          <w:sz w:val="20"/>
        </w:rPr>
        <w:t xml:space="preserve"> </w:t>
      </w:r>
      <w:r>
        <w:rPr>
          <w:rFonts w:ascii="Times New Roman;serif" w:hAnsi="Times New Roman;serif"/>
          <w:b w:val="false"/>
          <w:sz w:val="20"/>
        </w:rPr>
        <w:t>shares of Company common stock that it held on the Record Date. Following the Separation, the Company retains no</w:t>
      </w:r>
      <w:r>
        <w:rPr>
          <w:rFonts w:ascii="Times New Roman" w:hAnsi="Times New Roman"/>
          <w:sz w:val="20"/>
        </w:rPr>
        <w:t xml:space="preserve"> </w:t>
      </w:r>
      <w:r>
        <w:rPr>
          <w:rFonts w:ascii="Times New Roman;serif" w:hAnsi="Times New Roman;serif"/>
          <w:b w:val="false"/>
          <w:sz w:val="20"/>
        </w:rPr>
        <w:t>ownership in Xperi Inc., which is now listed under the ticker symbol “XPER” on the New York Stock Exchange. Effective at the open of business on October 3, 2022, the Company’s shares of common stock, par value $0.001</w:t>
      </w:r>
      <w:r>
        <w:rPr>
          <w:rFonts w:ascii="Times New Roman" w:hAnsi="Times New Roman"/>
          <w:sz w:val="20"/>
        </w:rPr>
        <w:t xml:space="preserve"> </w:t>
      </w:r>
      <w:r>
        <w:rPr>
          <w:rFonts w:ascii="Times New Roman;serif" w:hAnsi="Times New Roman;serif"/>
          <w:b w:val="false"/>
          <w:sz w:val="20"/>
        </w:rPr>
        <w:t>per share, began trading on the Nasdaq Global Select Market under the new ticker symbol “ADEA”.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accounting requirements for reporting the separation of Xperi Inc. as a discontinued operation were met when the Separation was completed. Accordingly, the historical financial results of Xperi Inc. for periods prior to the Separation are presented as net loss from discontinued operations, net of tax on the Condensed Consolidated Statements of Operations. For further information on discontinued operations, see “Note 7 – </w:t>
      </w:r>
      <w:r>
        <w:rPr>
          <w:rFonts w:ascii="Times New Roman;serif" w:hAnsi="Times New Roman;serif"/>
          <w:b w:val="false"/>
          <w:i/>
          <w:sz w:val="20"/>
        </w:rPr>
        <w:t>Discontinued Operations”</w:t>
      </w:r>
      <w:r>
        <w:rPr>
          <w:rFonts w:ascii="Times New Roman;serif" w:hAnsi="Times New Roman;serif"/>
          <w:b w:val="false"/>
          <w:sz w:val="20"/>
        </w:rPr>
        <w:t>. Unless noted otherwise, discussion in the Notes to the Condensed Consolidated Financial Statements pertains to continuing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as a result of the Separation, the Company changed its operational structure in the fourth quarter of 2022, resulting in one</w:t>
      </w:r>
      <w:r>
        <w:rPr>
          <w:rFonts w:ascii="Times New Roman" w:hAnsi="Times New Roman"/>
          <w:sz w:val="20"/>
        </w:rPr>
        <w:t xml:space="preserve"> </w:t>
      </w:r>
      <w:r>
        <w:rPr>
          <w:rFonts w:ascii="Times New Roman;serif" w:hAnsi="Times New Roman;serif"/>
          <w:b w:val="false"/>
          <w:sz w:val="20"/>
        </w:rPr>
        <w:t>reportable segment: IP Licensing.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2022 have been derived from the Company’s annual audited Consolidated Financial Statements included in its Annual Report on Form 10-K for the year ended December 31, 2022, filed on March 1, 2023 (the “Form 10-K”).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These Condensed Consolidated Financial Statements should be read in conjunction with the annual audited Consolidated Financial Statements and notes thereto included in the Form 10-K as of and for the year ended December 31,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results of operations for the three months and six months ended June 30, 2023 are not necessarily indicative of the results that may be expected for the full year ending December 31, 2023 or any future period and the Company makes no representations related thereto.</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Reclassification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Certain reclassifications have been made to prior period balances in order to conform to the current period’s presentation.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NOTE 2 – SUMMARY OF SIGNIFICANT ACCOUNTING POLICIES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have been no significant changes in the Company’s significant accounting policies during the three and six months ended June 30, 2023, as compared to the significant accounting policies described in the Form 10-K.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licensees, determining standalone selling prices,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January 2021, the FASB issued ASU 2021-01, Reference Rate Reform (Topic 848), which provides further clarification on the scope of Topic 848 so that derivatives affected by the discounting transition are explicitly eligible for certain optional expedients and exceptions in Topic 848. ASU 2020-04 became effective upon issuance and may be applied prospectively to contract modifications made on or before December 31, 2022. ASU 2021-01 became effective upon issuance and may be applied on a full retrospective basis as of any date from the beginning of an interim period that includes or is subsequent to March 12, 2020 or prospectively for contract modifications made on or before December 31, 2022. In December 2022, the FASB issued ASU 2022-06, Reference Rate Reform (Topic 848): Deferral of the Sunset Date of Topic 848 (“ASU 2022-06”), which deferred the application dates of Topic 848 to December 31, 2024.</w:t>
      </w:r>
    </w:p>
    <w:p>
      <w:pPr>
        <w:pStyle w:val="TextBody"/>
        <w:bidi w:val="0"/>
        <w:spacing w:before="240" w:after="0"/>
        <w:jc w:val="left"/>
        <w:rPr>
          <w:rFonts w:ascii="Times New Roman" w:hAnsi="Times New Roman"/>
          <w:sz w:val="20"/>
        </w:rPr>
      </w:pPr>
      <w:r>
        <w:rPr>
          <w:rFonts w:ascii="Times New Roman;serif" w:hAnsi="Times New Roman;serif"/>
          <w:b w:val="false"/>
          <w:sz w:val="20"/>
        </w:rPr>
        <w:t>In the second quarter of 2023, the Company adopted</w:t>
      </w:r>
      <w:r>
        <w:rPr>
          <w:rFonts w:ascii="Times New Roman" w:hAnsi="Times New Roman"/>
          <w:sz w:val="20"/>
        </w:rPr>
        <w:t xml:space="preserve"> </w:t>
      </w:r>
      <w:r>
        <w:rPr>
          <w:rFonts w:ascii="Times New Roman;serif" w:hAnsi="Times New Roman;serif"/>
          <w:b w:val="false"/>
          <w:sz w:val="20"/>
        </w:rPr>
        <w:t>Topic 848</w:t>
      </w:r>
      <w:r>
        <w:rPr>
          <w:rFonts w:ascii="Times New Roman" w:hAnsi="Times New Roman"/>
          <w:sz w:val="20"/>
        </w:rPr>
        <w:t xml:space="preserve"> </w:t>
      </w:r>
      <w:r>
        <w:rPr>
          <w:rFonts w:ascii="Times New Roman;serif" w:hAnsi="Times New Roman;serif"/>
          <w:b w:val="false"/>
          <w:sz w:val="20"/>
        </w:rPr>
        <w:t>and modified its debt agreement to reference to other rates. The adoption did not</w:t>
      </w:r>
      <w:r>
        <w:rPr>
          <w:rFonts w:ascii="Times New Roman" w:hAnsi="Times New Roman"/>
          <w:sz w:val="20"/>
        </w:rPr>
        <w:t xml:space="preserve"> </w:t>
      </w:r>
      <w:r>
        <w:rPr>
          <w:rFonts w:ascii="Times New Roman;serif" w:hAnsi="Times New Roman;serif"/>
          <w:b w:val="false"/>
          <w:sz w:val="20"/>
        </w:rPr>
        <w:t>have a material impact to the Company’s Condensed Consolidated Financial Statements.</w:t>
      </w:r>
    </w:p>
    <w:p>
      <w:pPr>
        <w:pStyle w:val="TextBody"/>
        <w:bidi w:val="0"/>
        <w:spacing w:before="240" w:after="0"/>
        <w:jc w:val="left"/>
        <w:rPr>
          <w:rFonts w:ascii="Times New Roman" w:hAnsi="Times New Roman"/>
          <w:sz w:val="20"/>
        </w:rPr>
      </w:pPr>
      <w:r>
        <w:rPr>
          <w:rFonts w:ascii="Times New Roman;serif" w:hAnsi="Times New Roman;serif"/>
          <w:b/>
          <w:sz w:val="20"/>
        </w:rPr>
        <w:t>NOTE 3 – REVENUE</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Revenue Recognition</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General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Condensed Consolidated Statements of Operations during a given period.</w:t>
      </w:r>
    </w:p>
    <w:p>
      <w:pPr>
        <w:pStyle w:val="TextBody"/>
        <w:bidi w:val="0"/>
        <w:spacing w:before="120" w:after="0"/>
        <w:jc w:val="left"/>
        <w:rPr>
          <w:rFonts w:ascii="Times New Roman" w:hAnsi="Times New Roman"/>
          <w:sz w:val="20"/>
        </w:rPr>
      </w:pPr>
      <w:r>
        <w:rPr>
          <w:rFonts w:ascii="Times New Roman;serif" w:hAnsi="Times New Roman;serif"/>
          <w:b w:val="false"/>
          <w:sz w:val="20"/>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Subsequent changes in the transaction price resulting from changes in the estimate of variable consideration are allocated to the performance obligations in the contract on the same basis as at contract inception. 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Description of Revenue-Generating Activities</w:t>
      </w:r>
    </w:p>
    <w:p>
      <w:pPr>
        <w:pStyle w:val="TextBody"/>
        <w:bidi w:val="0"/>
        <w:spacing w:before="120" w:after="0"/>
        <w:jc w:val="left"/>
        <w:rPr>
          <w:rFonts w:ascii="Times New Roman;serif" w:hAnsi="Times New Roman;serif"/>
          <w:b/>
          <w:sz w:val="20"/>
        </w:rPr>
      </w:pPr>
      <w:r>
        <w:rPr>
          <w:rFonts w:ascii="Times New Roman;serif" w:hAnsi="Times New Roman;serif"/>
          <w:b/>
          <w:sz w:val="20"/>
        </w:rPr>
        <w:t>IP License Arrangements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licenses (i) its media patent portfolios (“Media IP licensing”) to multichannel video programming distributors, over-the-top video service providers, consumer electronics manufacturers, social media and other new media companies and (ii) its semiconductor technologies and associated patent portfolios (“Semiconductor IP licensing”) to memory, logic, sensors, radio frequency component and foundry companies. The Company generally licenses its IP portfolios under three</w:t>
      </w:r>
      <w:r>
        <w:rPr>
          <w:rFonts w:ascii="Times New Roman" w:hAnsi="Times New Roman"/>
          <w:sz w:val="20"/>
        </w:rPr>
        <w:t xml:space="preserve"> </w:t>
      </w:r>
      <w:r>
        <w:rPr>
          <w:rFonts w:ascii="Times New Roman;serif" w:hAnsi="Times New Roman;serif"/>
          <w:b w:val="false"/>
          <w:sz w:val="20"/>
        </w:rPr>
        <w:t>models: (i) fixed-fee Media IP licensing, (ii) fixed-fee or minimum guarantee Semiconductor IP licensing, and (iii) per-unit or per-subscriber Media IP or Semiconductor IP royalty licensing.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Fixed-fee Media IP Licensing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Fixed-fee or Minimum Guarantee Semiconductor IP Licensing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entered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net of the effect of any significant financing component calculated using customer-specific, risk-adjusted lending rates, with the related interest income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Per-unit or Per-subscriber Media IP or Semiconductor IP Royalty Licensing</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IP License Contracts with Multiple Performance Obligations</w:t>
      </w:r>
    </w:p>
    <w:p>
      <w:pPr>
        <w:pStyle w:val="TextBody"/>
        <w:bidi w:val="0"/>
        <w:spacing w:before="200" w:after="0"/>
        <w:jc w:val="left"/>
        <w:rPr>
          <w:rFonts w:ascii="Times New Roman" w:hAnsi="Times New Roman"/>
          <w:sz w:val="20"/>
        </w:rPr>
      </w:pPr>
      <w:r>
        <w:rPr>
          <w:rFonts w:ascii="Times New Roman;serif" w:hAnsi="Times New Roman;serif"/>
          <w:b w:val="false"/>
          <w:sz w:val="20"/>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 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Practical Expedients and Exemptions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applies a practical expedient to not perform an evaluation of whether a contract includes a significant financing component when the timing of revenue recognition differs from the timing of cash collection by one year</w:t>
      </w:r>
      <w:r>
        <w:rPr>
          <w:rFonts w:ascii="Times New Roman" w:hAnsi="Times New Roman"/>
          <w:sz w:val="20"/>
        </w:rPr>
        <w:t xml:space="preserve"> </w:t>
      </w:r>
      <w:r>
        <w:rPr>
          <w:rFonts w:ascii="Times New Roman;serif" w:hAnsi="Times New Roman;serif"/>
          <w:b w:val="false"/>
          <w:sz w:val="20"/>
        </w:rPr>
        <w:t>or less.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applies a practical expedient to expense costs to obtain a contract with a customer as incurred as a component of selling, general and administrative expenses when the amortization period would have been one year</w:t>
      </w:r>
      <w:r>
        <w:rPr>
          <w:rFonts w:ascii="Times New Roman" w:hAnsi="Times New Roman"/>
          <w:sz w:val="20"/>
        </w:rPr>
        <w:t xml:space="preserve"> </w:t>
      </w:r>
      <w:r>
        <w:rPr>
          <w:rFonts w:ascii="Times New Roman;serif" w:hAnsi="Times New Roman;serif"/>
          <w:b w:val="false"/>
          <w:sz w:val="20"/>
        </w:rPr>
        <w:t>or less.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IP license or (ii) when variable consideration is allocated entirely to a wholly unsatisfied performance obligation; or to a wholly unsatisfied promise to transfer a distinct good or service that forms part of a single performance obligation.</w:t>
      </w:r>
    </w:p>
    <w:p>
      <w:pPr>
        <w:pStyle w:val="TextBody"/>
        <w:bidi w:val="0"/>
        <w:spacing w:before="240" w:after="0"/>
        <w:jc w:val="left"/>
        <w:rPr>
          <w:rFonts w:ascii="Times New Roman;serif" w:hAnsi="Times New Roman;serif"/>
          <w:b/>
          <w:sz w:val="20"/>
        </w:rPr>
      </w:pPr>
      <w:r>
        <w:rPr>
          <w:rFonts w:ascii="Times New Roman;serif" w:hAnsi="Times New Roman;serif"/>
          <w:b/>
          <w:sz w:val="20"/>
        </w:rPr>
        <w:t>Revenue Details</w:t>
      </w:r>
    </w:p>
    <w:p>
      <w:pPr>
        <w:pStyle w:val="TextBody"/>
        <w:bidi w:val="0"/>
        <w:spacing w:before="240" w:after="0"/>
        <w:jc w:val="left"/>
        <w:rPr>
          <w:rFonts w:ascii="Times New Roman;serif" w:hAnsi="Times New Roman;serif"/>
          <w:b/>
          <w:sz w:val="20"/>
        </w:rPr>
      </w:pPr>
      <w:r>
        <w:rPr>
          <w:rFonts w:ascii="Times New Roman;serif" w:hAnsi="Times New Roman;serif"/>
          <w:b/>
          <w:sz w:val="20"/>
        </w:rPr>
        <w:t>Contract Balances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Contracts Assets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Contract assets were recorded in the Condensed Consolidated Balance Sheets as follows (in thousands):</w:t>
      </w:r>
    </w:p>
    <w:p>
      <w:pPr>
        <w:pStyle w:val="TextBody"/>
        <w:bidi w:val="0"/>
        <w:spacing w:before="0" w:after="0"/>
        <w:jc w:val="left"/>
        <w:rPr/>
      </w:pPr>
      <w:r>
        <w:rPr/>
        <w:t> </w:t>
      </w:r>
    </w:p>
    <w:tbl>
      <w:tblPr>
        <w:tblW w:w="8340" w:type="dxa"/>
        <w:jc w:val="left"/>
        <w:tblInd w:w="0" w:type="dxa"/>
        <w:tblLayout w:type="fixed"/>
        <w:tblCellMar>
          <w:top w:w="28" w:type="dxa"/>
          <w:left w:w="28" w:type="dxa"/>
          <w:bottom w:w="28" w:type="dxa"/>
          <w:right w:w="28" w:type="dxa"/>
        </w:tblCellMar>
      </w:tblPr>
      <w:tblGrid>
        <w:gridCol w:w="4411"/>
        <w:gridCol w:w="146"/>
        <w:gridCol w:w="271"/>
        <w:gridCol w:w="1004"/>
        <w:gridCol w:w="146"/>
        <w:gridCol w:w="146"/>
        <w:gridCol w:w="367"/>
        <w:gridCol w:w="1358"/>
        <w:gridCol w:w="4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contracts receivable</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73,754</w:t>
            </w:r>
          </w:p>
        </w:tc>
        <w:tc>
          <w:tcPr>
            <w:tcW w:w="4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commissions recorded in other current assets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c>
          <w:tcPr>
            <w:tcW w:w="4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Long-term unbilled contracts receivable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40,705</w:t>
            </w:r>
          </w:p>
        </w:tc>
        <w:tc>
          <w:tcPr>
            <w:tcW w:w="49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commissions recorded in other long-term assets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41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contract assets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116,115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long-term unbilled contracts receivable increase relates primarily to the recognition of revenue from two long-term semiconductor patent portfolio license agreements entered into during the six months ended June 30, 2023.</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Contract Liabilities</w:t>
      </w:r>
    </w:p>
    <w:p>
      <w:pPr>
        <w:pStyle w:val="TextBody"/>
        <w:bidi w:val="0"/>
        <w:spacing w:before="240" w:after="0"/>
        <w:jc w:val="left"/>
        <w:rPr>
          <w:rFonts w:ascii="Times New Roman" w:hAnsi="Times New Roman"/>
          <w:sz w:val="20"/>
        </w:rPr>
      </w:pPr>
      <w:r>
        <w:rPr>
          <w:rFonts w:ascii="Times New Roman;serif" w:hAnsi="Times New Roman;serif"/>
          <w:b w:val="false"/>
          <w:sz w:val="20"/>
        </w:rPr>
        <w:t>Contract liabilities are comprised of deferred revenue related to multi-period licensing arrangements for which the Company is paid in advance, while the underlying performance obligation is satisfied at a future date or over time.</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Allowance for Credit Losses</w:t>
      </w:r>
    </w:p>
    <w:p>
      <w:pPr>
        <w:pStyle w:val="TextBody"/>
        <w:bidi w:val="0"/>
        <w:spacing w:before="240" w:after="0"/>
        <w:jc w:val="left"/>
        <w:rPr>
          <w:rFonts w:ascii="Times New Roman" w:hAnsi="Times New Roman"/>
          <w:sz w:val="20"/>
        </w:rPr>
      </w:pPr>
      <w:r>
        <w:rPr>
          <w:rFonts w:ascii="Times New Roman;serif" w:hAnsi="Times New Roman;serif"/>
          <w:b w:val="false"/>
          <w:sz w:val="20"/>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allowance for credit losses at June 30, 2023 and December 31, 2022 was $1.5</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 and it is presented as part of accounts receivable, net in the Condensed Consolidated Balance Sheets.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Additional Disclosures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presents additional revenue and contract disclosures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646"/>
        <w:gridCol w:w="146"/>
        <w:gridCol w:w="212"/>
        <w:gridCol w:w="576"/>
        <w:gridCol w:w="146"/>
        <w:gridCol w:w="146"/>
        <w:gridCol w:w="212"/>
        <w:gridCol w:w="576"/>
        <w:gridCol w:w="146"/>
        <w:gridCol w:w="146"/>
        <w:gridCol w:w="211"/>
        <w:gridCol w:w="571"/>
        <w:gridCol w:w="146"/>
        <w:gridCol w:w="146"/>
        <w:gridCol w:w="211"/>
        <w:gridCol w:w="571"/>
        <w:gridCol w:w="397"/>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 in the period from:</w:t>
            </w:r>
          </w:p>
        </w:tc>
        <w:tc>
          <w:tcPr>
            <w:tcW w:w="146" w:type="dxa"/>
            <w:tcBorders/>
            <w:vAlign w:val="center"/>
          </w:tcPr>
          <w:p>
            <w:pPr>
              <w:pStyle w:val="TableContents"/>
              <w:bidi w:val="0"/>
              <w:spacing w:before="0" w:after="0"/>
              <w:ind w:left="0" w:right="0" w:hanging="0"/>
              <w:jc w:val="right"/>
              <w:rPr/>
            </w:pPr>
            <w:r>
              <w:rPr/>
              <w:t> </w:t>
            </w:r>
          </w:p>
        </w:tc>
        <w:tc>
          <w:tcPr>
            <w:tcW w:w="7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7" w:type="dxa"/>
            <w:tcBorders/>
            <w:vAlign w:val="center"/>
          </w:tcPr>
          <w:p>
            <w:pPr>
              <w:pStyle w:val="TableContents"/>
              <w:bidi w:val="0"/>
              <w:spacing w:before="0" w:after="0"/>
              <w:ind w:left="0" w:right="0" w:firstLine="200"/>
              <w:jc w:val="right"/>
              <w:rPr/>
            </w:pPr>
            <w:r>
              <w:rPr/>
              <w:t> </w:t>
            </w:r>
          </w:p>
        </w:tc>
      </w:tr>
      <w:tr>
        <w:trPr/>
        <w:tc>
          <w:tcPr>
            <w:tcW w:w="5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included in deferred revenue at the beginning of the period</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2,709</w:t>
            </w:r>
          </w:p>
        </w:tc>
        <w:tc>
          <w:tcPr>
            <w:tcW w:w="397" w:type="dxa"/>
            <w:tcBorders/>
            <w:vAlign w:val="center"/>
          </w:tcPr>
          <w:p>
            <w:pPr>
              <w:pStyle w:val="TableContents"/>
              <w:bidi w:val="0"/>
              <w:spacing w:before="0" w:after="0"/>
              <w:ind w:left="0" w:right="0" w:firstLine="200"/>
              <w:jc w:val="left"/>
              <w:rPr/>
            </w:pPr>
            <w:r>
              <w:rPr/>
              <w:t> </w:t>
            </w:r>
          </w:p>
        </w:tc>
      </w:tr>
      <w:tr>
        <w:trPr/>
        <w:tc>
          <w:tcPr>
            <w:tcW w:w="56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Performance obligations satisfied in previous periods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5,637</w:t>
            </w:r>
          </w:p>
        </w:tc>
        <w:tc>
          <w:tcPr>
            <w:tcW w:w="397"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Performance obligations satisfied in previous periods consist of settlements of litigation for past royalties owed pursuant to expired or terminated IP license agreements and revenue from releases for past patent infringement claims.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pStyle w:val="TextBody"/>
        <w:bidi w:val="0"/>
        <w:spacing w:before="0" w:after="0"/>
        <w:jc w:val="left"/>
        <w:rPr/>
      </w:pPr>
      <w:r>
        <w:rPr/>
        <w:t> </w:t>
      </w:r>
    </w:p>
    <w:tbl>
      <w:tblPr>
        <w:tblW w:w="8703" w:type="dxa"/>
        <w:jc w:val="left"/>
        <w:tblInd w:w="0" w:type="dxa"/>
        <w:tblLayout w:type="fixed"/>
        <w:tblCellMar>
          <w:top w:w="28" w:type="dxa"/>
          <w:left w:w="28" w:type="dxa"/>
          <w:bottom w:w="28" w:type="dxa"/>
          <w:right w:w="28" w:type="dxa"/>
        </w:tblCellMar>
      </w:tblPr>
      <w:tblGrid>
        <w:gridCol w:w="6691"/>
        <w:gridCol w:w="146"/>
        <w:gridCol w:w="271"/>
        <w:gridCol w:w="1004"/>
        <w:gridCol w:w="5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June 30,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contracts with performance obligations expected to be satisfied in:</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9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2023</w:t>
            </w:r>
            <w:r>
              <w:rPr>
                <w:rFonts w:ascii="Times New Roman" w:hAnsi="Times New Roman"/>
                <w:sz w:val="20"/>
              </w:rPr>
              <w:t> </w:t>
            </w:r>
            <w:r>
              <w:rPr>
                <w:rFonts w:ascii="Times New Roman;serif" w:hAnsi="Times New Roman;serif"/>
                <w:b w:val="false"/>
                <w:sz w:val="20"/>
              </w:rPr>
              <w:t>(remaining 6 months)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79,492</w:t>
            </w:r>
          </w:p>
        </w:tc>
        <w:tc>
          <w:tcPr>
            <w:tcW w:w="591" w:type="dxa"/>
            <w:tcBorders/>
            <w:vAlign w:val="center"/>
          </w:tcPr>
          <w:p>
            <w:pPr>
              <w:pStyle w:val="TableContents"/>
              <w:bidi w:val="0"/>
              <w:spacing w:before="0" w:after="0"/>
              <w:ind w:left="0" w:right="0" w:firstLine="200"/>
              <w:jc w:val="left"/>
              <w:rPr/>
            </w:pPr>
            <w:r>
              <w:rPr/>
              <w:t> </w:t>
            </w:r>
          </w:p>
        </w:tc>
      </w:tr>
      <w:tr>
        <w:trPr/>
        <w:tc>
          <w:tcPr>
            <w:tcW w:w="6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148,449</w:t>
            </w:r>
          </w:p>
        </w:tc>
        <w:tc>
          <w:tcPr>
            <w:tcW w:w="591" w:type="dxa"/>
            <w:tcBorders/>
            <w:vAlign w:val="center"/>
          </w:tcPr>
          <w:p>
            <w:pPr>
              <w:pStyle w:val="TableContents"/>
              <w:bidi w:val="0"/>
              <w:spacing w:before="0" w:after="0"/>
              <w:ind w:left="0" w:right="0" w:firstLine="200"/>
              <w:jc w:val="left"/>
              <w:rPr/>
            </w:pPr>
            <w:r>
              <w:rPr/>
              <w:t> </w:t>
            </w:r>
          </w:p>
        </w:tc>
      </w:tr>
      <w:tr>
        <w:trPr/>
        <w:tc>
          <w:tcPr>
            <w:tcW w:w="6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143,824</w:t>
            </w:r>
          </w:p>
        </w:tc>
        <w:tc>
          <w:tcPr>
            <w:tcW w:w="591" w:type="dxa"/>
            <w:tcBorders/>
            <w:vAlign w:val="center"/>
          </w:tcPr>
          <w:p>
            <w:pPr>
              <w:pStyle w:val="TableContents"/>
              <w:bidi w:val="0"/>
              <w:spacing w:before="0" w:after="0"/>
              <w:ind w:left="0" w:right="0" w:firstLine="200"/>
              <w:jc w:val="left"/>
              <w:rPr/>
            </w:pPr>
            <w:r>
              <w:rPr/>
              <w:t> </w:t>
            </w:r>
          </w:p>
        </w:tc>
      </w:tr>
      <w:tr>
        <w:trPr/>
        <w:tc>
          <w:tcPr>
            <w:tcW w:w="6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47,060</w:t>
            </w:r>
          </w:p>
        </w:tc>
        <w:tc>
          <w:tcPr>
            <w:tcW w:w="591" w:type="dxa"/>
            <w:tcBorders/>
            <w:vAlign w:val="center"/>
          </w:tcPr>
          <w:p>
            <w:pPr>
              <w:pStyle w:val="TableContents"/>
              <w:bidi w:val="0"/>
              <w:spacing w:before="0" w:after="0"/>
              <w:ind w:left="0" w:right="0" w:firstLine="200"/>
              <w:jc w:val="left"/>
              <w:rPr/>
            </w:pPr>
            <w:r>
              <w:rPr/>
              <w:t> </w:t>
            </w:r>
          </w:p>
        </w:tc>
      </w:tr>
      <w:tr>
        <w:trPr/>
        <w:tc>
          <w:tcPr>
            <w:tcW w:w="6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36,556</w:t>
            </w:r>
          </w:p>
        </w:tc>
        <w:tc>
          <w:tcPr>
            <w:tcW w:w="591" w:type="dxa"/>
            <w:tcBorders/>
            <w:vAlign w:val="center"/>
          </w:tcPr>
          <w:p>
            <w:pPr>
              <w:pStyle w:val="TableContents"/>
              <w:bidi w:val="0"/>
              <w:spacing w:before="0" w:after="0"/>
              <w:ind w:left="0" w:right="0" w:firstLine="200"/>
              <w:jc w:val="left"/>
              <w:rPr/>
            </w:pPr>
            <w:r>
              <w:rPr/>
              <w:t> </w:t>
            </w:r>
          </w:p>
        </w:tc>
      </w:tr>
      <w:tr>
        <w:trPr/>
        <w:tc>
          <w:tcPr>
            <w:tcW w:w="66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76,527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531,908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NOTE 4 – COMPOSITION OF CERTAIN FINANCIAL STATEMENT CAPTIONS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sz w:val="20"/>
        </w:rPr>
        <w:t>Other current assets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5475" w:type="dxa"/>
        <w:jc w:val="left"/>
        <w:tblInd w:w="0" w:type="dxa"/>
        <w:tblLayout w:type="fixed"/>
        <w:tblCellMar>
          <w:top w:w="28" w:type="dxa"/>
          <w:left w:w="28" w:type="dxa"/>
          <w:bottom w:w="28" w:type="dxa"/>
          <w:right w:w="28" w:type="dxa"/>
        </w:tblCellMar>
      </w:tblPr>
      <w:tblGrid>
        <w:gridCol w:w="1846"/>
        <w:gridCol w:w="146"/>
        <w:gridCol w:w="303"/>
        <w:gridCol w:w="972"/>
        <w:gridCol w:w="146"/>
        <w:gridCol w:w="146"/>
        <w:gridCol w:w="409"/>
        <w:gridCol w:w="131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7,252</w:t>
            </w:r>
          </w:p>
        </w:tc>
        <w:tc>
          <w:tcPr>
            <w:tcW w:w="19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1,924</w:t>
            </w:r>
          </w:p>
        </w:tc>
        <w:tc>
          <w:tcPr>
            <w:tcW w:w="19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2,103</w:t>
            </w:r>
          </w:p>
        </w:tc>
        <w:tc>
          <w:tcPr>
            <w:tcW w:w="19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Property and equipment, net, consisted of the following (in thousands):</w:t>
      </w:r>
    </w:p>
    <w:p>
      <w:pPr>
        <w:pStyle w:val="TextBody"/>
        <w:bidi w:val="0"/>
        <w:spacing w:before="0" w:after="0"/>
        <w:jc w:val="left"/>
        <w:rPr/>
      </w:pPr>
      <w:r>
        <w:rPr/>
        <w:t> </w:t>
      </w:r>
    </w:p>
    <w:tbl>
      <w:tblPr>
        <w:tblW w:w="7780" w:type="dxa"/>
        <w:jc w:val="left"/>
        <w:tblInd w:w="0" w:type="dxa"/>
        <w:tblLayout w:type="fixed"/>
        <w:tblCellMar>
          <w:top w:w="28" w:type="dxa"/>
          <w:left w:w="28" w:type="dxa"/>
          <w:bottom w:w="28" w:type="dxa"/>
          <w:right w:w="28" w:type="dxa"/>
        </w:tblCellMar>
      </w:tblPr>
      <w:tblGrid>
        <w:gridCol w:w="4111"/>
        <w:gridCol w:w="146"/>
        <w:gridCol w:w="284"/>
        <w:gridCol w:w="991"/>
        <w:gridCol w:w="166"/>
        <w:gridCol w:w="146"/>
        <w:gridCol w:w="384"/>
        <w:gridCol w:w="134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furniture and other</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14,148</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3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19,205</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(14,655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Other long-term assets consisted of the following (in thousands):</w:t>
      </w:r>
    </w:p>
    <w:p>
      <w:pPr>
        <w:pStyle w:val="TextBody"/>
        <w:bidi w:val="0"/>
        <w:spacing w:before="40" w:after="0"/>
        <w:jc w:val="left"/>
        <w:rPr/>
      </w:pPr>
      <w:r>
        <w:rPr/>
        <w:t> </w:t>
      </w:r>
    </w:p>
    <w:tbl>
      <w:tblPr>
        <w:tblW w:w="6120" w:type="dxa"/>
        <w:jc w:val="left"/>
        <w:tblInd w:w="0" w:type="dxa"/>
        <w:tblLayout w:type="fixed"/>
        <w:tblCellMar>
          <w:top w:w="28" w:type="dxa"/>
          <w:left w:w="28" w:type="dxa"/>
          <w:bottom w:w="28" w:type="dxa"/>
          <w:right w:w="28" w:type="dxa"/>
        </w:tblCellMar>
      </w:tblPr>
      <w:tblGrid>
        <w:gridCol w:w="2491"/>
        <w:gridCol w:w="146"/>
        <w:gridCol w:w="303"/>
        <w:gridCol w:w="972"/>
        <w:gridCol w:w="146"/>
        <w:gridCol w:w="146"/>
        <w:gridCol w:w="409"/>
        <w:gridCol w:w="131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deferred tax assets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35,278</w:t>
            </w:r>
          </w:p>
        </w:tc>
        <w:tc>
          <w:tcPr>
            <w:tcW w:w="1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40,750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sz w:val="20"/>
        </w:rPr>
        <w:t>Accrued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320" w:type="dxa"/>
        <w:jc w:val="left"/>
        <w:tblInd w:w="0" w:type="dxa"/>
        <w:tblLayout w:type="fixed"/>
        <w:tblCellMar>
          <w:top w:w="28" w:type="dxa"/>
          <w:left w:w="28" w:type="dxa"/>
          <w:bottom w:w="28" w:type="dxa"/>
          <w:right w:w="28" w:type="dxa"/>
        </w:tblCellMar>
      </w:tblPr>
      <w:tblGrid>
        <w:gridCol w:w="3691"/>
        <w:gridCol w:w="146"/>
        <w:gridCol w:w="303"/>
        <w:gridCol w:w="972"/>
        <w:gridCol w:w="146"/>
        <w:gridCol w:w="146"/>
        <w:gridCol w:w="409"/>
        <w:gridCol w:w="1316"/>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compensation and benefits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12,745</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fees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4,942</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Current portion of guarantee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2,431</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 xml:space="preserve">Refer to “Note 15 </w:t>
      </w:r>
      <w:r>
        <w:rPr>
          <w:rFonts w:ascii="Times New Roman" w:hAnsi="Times New Roman"/>
          <w:sz w:val="20"/>
        </w:rPr>
        <w:t xml:space="preserve">–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further detail on the nature of the guarantee.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Other long-term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6510" w:type="dxa"/>
        <w:jc w:val="left"/>
        <w:tblInd w:w="0" w:type="dxa"/>
        <w:tblLayout w:type="fixed"/>
        <w:tblCellMar>
          <w:top w:w="28" w:type="dxa"/>
          <w:left w:w="28" w:type="dxa"/>
          <w:bottom w:w="28" w:type="dxa"/>
          <w:right w:w="28" w:type="dxa"/>
        </w:tblCellMar>
      </w:tblPr>
      <w:tblGrid>
        <w:gridCol w:w="2881"/>
        <w:gridCol w:w="146"/>
        <w:gridCol w:w="303"/>
        <w:gridCol w:w="972"/>
        <w:gridCol w:w="146"/>
        <w:gridCol w:w="146"/>
        <w:gridCol w:w="409"/>
        <w:gridCol w:w="131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Long-term portion of guarantee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18,064</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20,043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 xml:space="preserve">Refer to “Note 15 </w:t>
      </w:r>
      <w:r>
        <w:rPr>
          <w:rFonts w:ascii="Times New Roman" w:hAnsi="Times New Roman"/>
          <w:sz w:val="20"/>
        </w:rPr>
        <w:t xml:space="preserve">–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further detail on the nature of the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NOTE 5 – FINANCIAL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Condensed Consolidated Statements of Operations and all non-credit related unrealized gains and losses recognized in accumulated other comprehensive income or loss in its Condensed Consolidated Balance Sheets. Under ASU 2016-01 (Topic 321), equity securities are measured at fair value with unrealized gains and losses recognized in other income and expense, net, in the Condensed Consolidated Statements of Operations.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is a summary of marketable securities at June 30, 2023 and December 31, 2022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43"/>
        <w:gridCol w:w="146"/>
        <w:gridCol w:w="211"/>
        <w:gridCol w:w="676"/>
        <w:gridCol w:w="146"/>
        <w:gridCol w:w="146"/>
        <w:gridCol w:w="392"/>
        <w:gridCol w:w="644"/>
        <w:gridCol w:w="146"/>
        <w:gridCol w:w="146"/>
        <w:gridCol w:w="372"/>
        <w:gridCol w:w="664"/>
        <w:gridCol w:w="166"/>
        <w:gridCol w:w="146"/>
        <w:gridCol w:w="687"/>
        <w:gridCol w:w="1129"/>
        <w:gridCol w:w="146"/>
        <w:gridCol w:w="146"/>
        <w:gridCol w:w="228"/>
        <w:gridCol w:w="733"/>
        <w:gridCol w:w="692"/>
      </w:tblGrid>
      <w:tr>
        <w:trPr/>
        <w:tc>
          <w:tcPr>
            <w:tcW w:w="2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4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w:t>
              <w:br/>
              <w:t>Fair</w:t>
              <w:br/>
              <w:t>Values</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692" w:type="dxa"/>
            <w:tcBorders/>
            <w:vAlign w:val="center"/>
          </w:tcPr>
          <w:p>
            <w:pPr>
              <w:pStyle w:val="TableContents"/>
              <w:bidi w:val="0"/>
              <w:spacing w:before="0" w:after="0"/>
              <w:ind w:left="0" w:right="0" w:firstLine="200"/>
              <w:jc w:val="righ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Municipal Bonds and Notes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w:t>
            </w:r>
          </w:p>
        </w:tc>
        <w:tc>
          <w:tcPr>
            <w:tcW w:w="692" w:type="dxa"/>
            <w:tcBorders/>
            <w:vAlign w:val="center"/>
          </w:tcPr>
          <w:p>
            <w:pPr>
              <w:pStyle w:val="TableContents"/>
              <w:bidi w:val="0"/>
              <w:spacing w:before="0" w:after="0"/>
              <w:ind w:left="0" w:right="0" w:firstLine="200"/>
              <w:jc w:val="lef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Treasury and Agency Notes and Bills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11,300</w:t>
            </w:r>
          </w:p>
        </w:tc>
        <w:tc>
          <w:tcPr>
            <w:tcW w:w="692" w:type="dxa"/>
            <w:tcBorders/>
            <w:vAlign w:val="center"/>
          </w:tcPr>
          <w:p>
            <w:pPr>
              <w:pStyle w:val="TableContents"/>
              <w:bidi w:val="0"/>
              <w:spacing w:before="0" w:after="0"/>
              <w:ind w:left="0" w:right="0" w:firstLine="200"/>
              <w:jc w:val="lef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16,398</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4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29,527</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43"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equity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443" w:type="dxa"/>
            <w:tcBorders/>
            <w:vAlign w:val="center"/>
          </w:tcPr>
          <w:p>
            <w:pPr>
              <w:pStyle w:val="TableContents"/>
              <w:bidi w:val="0"/>
              <w:spacing w:before="0" w:after="0"/>
              <w:ind w:left="50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33,860</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Reported in: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692" w:type="dxa"/>
            <w:tcBorders/>
            <w:vAlign w:val="center"/>
          </w:tcPr>
          <w:p>
            <w:pPr>
              <w:pStyle w:val="TableContents"/>
              <w:bidi w:val="0"/>
              <w:spacing w:before="0" w:after="0"/>
              <w:ind w:left="0" w:right="0" w:firstLine="200"/>
              <w:jc w:val="righ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10,019</w:t>
            </w:r>
          </w:p>
        </w:tc>
        <w:tc>
          <w:tcPr>
            <w:tcW w:w="692" w:type="dxa"/>
            <w:tcBorders/>
            <w:vAlign w:val="center"/>
          </w:tcPr>
          <w:p>
            <w:pPr>
              <w:pStyle w:val="TableContents"/>
              <w:bidi w:val="0"/>
              <w:spacing w:before="0" w:after="0"/>
              <w:ind w:left="0" w:right="0" w:firstLine="200"/>
              <w:jc w:val="left"/>
              <w:rPr/>
            </w:pPr>
            <w:r>
              <w:rPr/>
              <w:t> </w:t>
            </w:r>
          </w:p>
        </w:tc>
      </w:tr>
      <w:tr>
        <w:trPr/>
        <w:tc>
          <w:tcPr>
            <w:tcW w:w="24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debt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23,841</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443" w:type="dxa"/>
            <w:tcBorders/>
            <w:vAlign w:val="center"/>
          </w:tcPr>
          <w:p>
            <w:pPr>
              <w:pStyle w:val="TableContents"/>
              <w:bidi w:val="0"/>
              <w:spacing w:before="0" w:after="0"/>
              <w:ind w:left="50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33,860</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211"/>
        <w:gridCol w:w="676"/>
        <w:gridCol w:w="146"/>
        <w:gridCol w:w="146"/>
        <w:gridCol w:w="392"/>
        <w:gridCol w:w="644"/>
        <w:gridCol w:w="146"/>
        <w:gridCol w:w="146"/>
        <w:gridCol w:w="392"/>
        <w:gridCol w:w="644"/>
        <w:gridCol w:w="166"/>
        <w:gridCol w:w="146"/>
        <w:gridCol w:w="794"/>
        <w:gridCol w:w="1304"/>
        <w:gridCol w:w="146"/>
        <w:gridCol w:w="146"/>
        <w:gridCol w:w="228"/>
        <w:gridCol w:w="733"/>
        <w:gridCol w:w="693"/>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1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w:t>
              <w:br/>
              <w:t>Fair</w:t>
              <w:br/>
              <w:t>Values</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09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693" w:type="dxa"/>
            <w:tcBorders/>
            <w:vAlign w:val="center"/>
          </w:tcPr>
          <w:p>
            <w:pPr>
              <w:pStyle w:val="TableContents"/>
              <w:bidi w:val="0"/>
              <w:spacing w:before="0" w:after="0"/>
              <w:ind w:left="0" w:right="0" w:firstLine="200"/>
              <w:jc w:val="right"/>
              <w:rPr/>
            </w:pPr>
            <w:r>
              <w:rPr/>
              <w:t> </w:t>
            </w:r>
          </w:p>
        </w:tc>
      </w:tr>
      <w:tr>
        <w:trPr/>
        <w:tc>
          <w:tcPr>
            <w:tcW w:w="216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160"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6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160"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equity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693"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160" w:type="dxa"/>
            <w:tcBorders/>
            <w:vAlign w:val="center"/>
          </w:tcPr>
          <w:p>
            <w:pPr>
              <w:pStyle w:val="TableContents"/>
              <w:bidi w:val="0"/>
              <w:spacing w:before="0" w:after="0"/>
              <w:ind w:left="50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Reported in: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693" w:type="dxa"/>
            <w:tcBorders/>
            <w:vAlign w:val="center"/>
          </w:tcPr>
          <w:p>
            <w:pPr>
              <w:pStyle w:val="TableContents"/>
              <w:bidi w:val="0"/>
              <w:spacing w:before="0" w:after="0"/>
              <w:ind w:left="0" w:right="0" w:firstLine="200"/>
              <w:jc w:val="right"/>
              <w:rPr/>
            </w:pPr>
            <w:r>
              <w:rPr/>
              <w:t> </w:t>
            </w:r>
          </w:p>
        </w:tc>
      </w:tr>
      <w:tr>
        <w:trPr/>
        <w:tc>
          <w:tcPr>
            <w:tcW w:w="216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09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6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At June 30, 2023 and December 31, 2022, the Company had</w:t>
      </w:r>
      <w:r>
        <w:rPr>
          <w:rFonts w:ascii="Times New Roman" w:hAnsi="Times New Roman"/>
          <w:sz w:val="20"/>
        </w:rPr>
        <w:t xml:space="preserve"> </w:t>
      </w:r>
      <w:r>
        <w:rPr>
          <w:rFonts w:ascii="Times New Roman;serif" w:hAnsi="Times New Roman;serif"/>
          <w:b w:val="false"/>
          <w:sz w:val="20"/>
        </w:rPr>
        <w:t>$60.5</w:t>
      </w:r>
      <w:r>
        <w:rPr>
          <w:rFonts w:ascii="Times New Roman" w:hAnsi="Times New Roman"/>
          <w:sz w:val="20"/>
        </w:rPr>
        <w:t xml:space="preserve"> </w:t>
      </w:r>
      <w:r>
        <w:rPr>
          <w:rFonts w:ascii="Times New Roman;serif" w:hAnsi="Times New Roman;serif"/>
          <w:b w:val="false"/>
          <w:sz w:val="20"/>
        </w:rPr>
        <w:t>million and $114.6</w:t>
      </w:r>
      <w:r>
        <w:rPr>
          <w:rFonts w:ascii="Times New Roman" w:hAnsi="Times New Roman"/>
          <w:sz w:val="20"/>
        </w:rPr>
        <w:t xml:space="preserve"> </w:t>
      </w:r>
      <w:r>
        <w:rPr>
          <w:rFonts w:ascii="Times New Roman;serif" w:hAnsi="Times New Roman;serif"/>
          <w:b w:val="false"/>
          <w:sz w:val="20"/>
        </w:rPr>
        <w:t>million, respectively, in cash and cash equivalents. A portion of these amounts was held in marketable securities, as shown above. The remaining balances of $50.5</w:t>
      </w:r>
      <w:r>
        <w:rPr>
          <w:rFonts w:ascii="Times New Roman" w:hAnsi="Times New Roman"/>
          <w:sz w:val="20"/>
        </w:rPr>
        <w:t xml:space="preserve"> </w:t>
      </w:r>
      <w:r>
        <w:rPr>
          <w:rFonts w:ascii="Times New Roman;serif" w:hAnsi="Times New Roman;serif"/>
          <w:b w:val="false"/>
          <w:sz w:val="20"/>
        </w:rPr>
        <w:t>million and $81.5</w:t>
      </w:r>
      <w:r>
        <w:rPr>
          <w:rFonts w:ascii="Times New Roman" w:hAnsi="Times New Roman"/>
          <w:sz w:val="20"/>
        </w:rPr>
        <w:t xml:space="preserve"> </w:t>
      </w:r>
      <w:r>
        <w:rPr>
          <w:rFonts w:ascii="Times New Roman;serif" w:hAnsi="Times New Roman;serif"/>
          <w:b w:val="false"/>
          <w:sz w:val="20"/>
        </w:rPr>
        <w:t>million at June 30, 2023 and December 31, 2022, respectively, consisted of cash held in operating accounts not included in the tables above.</w:t>
      </w:r>
    </w:p>
    <w:p>
      <w:pPr>
        <w:pStyle w:val="TextBody"/>
        <w:bidi w:val="0"/>
        <w:spacing w:before="240" w:after="0"/>
        <w:jc w:val="left"/>
        <w:rPr>
          <w:rFonts w:ascii="Times New Roman;serif" w:hAnsi="Times New Roman;serif"/>
          <w:b/>
          <w:sz w:val="20"/>
        </w:rPr>
      </w:pPr>
      <w:r>
        <w:rPr>
          <w:rFonts w:ascii="Times New Roman;serif" w:hAnsi="Times New Roman;serif"/>
          <w:b/>
          <w:sz w:val="20"/>
        </w:rPr>
        <w:t>Debt Securities</w:t>
      </w:r>
    </w:p>
    <w:p>
      <w:pPr>
        <w:pStyle w:val="TextBody"/>
        <w:bidi w:val="0"/>
        <w:spacing w:before="240" w:after="0"/>
        <w:jc w:val="left"/>
        <w:rPr>
          <w:rFonts w:ascii="Times New Roman" w:hAnsi="Times New Roman"/>
          <w:sz w:val="20"/>
        </w:rPr>
      </w:pPr>
      <w:r>
        <w:rPr>
          <w:rFonts w:ascii="Times New Roman;serif" w:hAnsi="Times New Roman;serif"/>
          <w:b w:val="false"/>
          <w:sz w:val="20"/>
        </w:rPr>
        <w:t>The gross realized gains and losses on sales of marketable debt securities were immaterial during the three and six months ended June 30, 2023 and 2022, respectively. Unrealized losses on AFS debt securities were immaterial as of June 30, 2023 and December 31, 2022.</w:t>
      </w:r>
      <w:r>
        <w:rPr>
          <w:rFonts w:ascii="Times New Roman" w:hAnsi="Times New Roman"/>
          <w:sz w:val="20"/>
        </w:rPr>
        <w:t xml:space="preserve"> </w:t>
      </w:r>
      <w:r>
        <w:rPr>
          <w:rFonts w:ascii="Times New Roman;serif" w:hAnsi="Times New Roman;serif"/>
          <w:b w:val="false"/>
          <w:sz w:val="20"/>
        </w:rPr>
        <w:t>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does not intend to sell the debt securities and it is more-likely-than-not that it will not be required to sell the investments before recovery of their amortized cost basis. The Company did not recognize a provision for credit losses related to its AFS debt securities for the three and six months ended June 30, 2023 and 2022, respectively. No</w:t>
      </w:r>
      <w:r>
        <w:rPr>
          <w:rFonts w:ascii="Times New Roman" w:hAnsi="Times New Roman"/>
          <w:sz w:val="20"/>
        </w:rPr>
        <w:t xml:space="preserve"> </w:t>
      </w:r>
      <w:r>
        <w:rPr>
          <w:rFonts w:ascii="Times New Roman;serif" w:hAnsi="Times New Roman;serif"/>
          <w:b w:val="false"/>
          <w:sz w:val="20"/>
        </w:rPr>
        <w:t>impairment charges were recorded on the AFS debt securities for the three and six months ended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summarizes the fair value and gross unrealized losses related to individual AFS debt securities at June 30, 2023 and December 31, 2022, which have been in a continuous unrealized loss position, aggregated by investment category and length of time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77"/>
        <w:gridCol w:w="146"/>
        <w:gridCol w:w="196"/>
        <w:gridCol w:w="601"/>
        <w:gridCol w:w="146"/>
        <w:gridCol w:w="146"/>
        <w:gridCol w:w="336"/>
        <w:gridCol w:w="595"/>
        <w:gridCol w:w="166"/>
        <w:gridCol w:w="146"/>
        <w:gridCol w:w="210"/>
        <w:gridCol w:w="346"/>
        <w:gridCol w:w="146"/>
        <w:gridCol w:w="146"/>
        <w:gridCol w:w="336"/>
        <w:gridCol w:w="595"/>
        <w:gridCol w:w="146"/>
        <w:gridCol w:w="146"/>
        <w:gridCol w:w="196"/>
        <w:gridCol w:w="601"/>
        <w:gridCol w:w="146"/>
        <w:gridCol w:w="146"/>
        <w:gridCol w:w="336"/>
        <w:gridCol w:w="595"/>
        <w:gridCol w:w="166"/>
        <w:gridCol w:w="146"/>
        <w:gridCol w:w="283"/>
        <w:gridCol w:w="738"/>
        <w:gridCol w:w="146"/>
        <w:gridCol w:w="146"/>
        <w:gridCol w:w="206"/>
        <w:gridCol w:w="635"/>
        <w:gridCol w:w="193"/>
      </w:tblGrid>
      <w:tr>
        <w:trPr/>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12 Months or More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7"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June 30, 2023</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Cash and 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AFS Debt Securities</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Municipal Bonds and Notes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1,829</w:t>
            </w:r>
          </w:p>
        </w:tc>
        <w:tc>
          <w:tcPr>
            <w:tcW w:w="193" w:type="dxa"/>
            <w:tcBorders/>
            <w:vAlign w:val="center"/>
          </w:tcPr>
          <w:p>
            <w:pPr>
              <w:pStyle w:val="TableContents"/>
              <w:bidi w:val="0"/>
              <w:spacing w:before="0" w:after="0"/>
              <w:ind w:left="0" w:right="0" w:hanging="0"/>
              <w:jc w:val="left"/>
              <w:rPr/>
            </w:pPr>
            <w:r>
              <w:rPr/>
              <w:t> </w:t>
            </w:r>
          </w:p>
        </w:tc>
      </w:tr>
      <w:tr>
        <w:trPr/>
        <w:tc>
          <w:tcPr>
            <w:tcW w:w="9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Treasury and Agency Notes and Bills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9,902</w:t>
            </w:r>
          </w:p>
        </w:tc>
        <w:tc>
          <w:tcPr>
            <w:tcW w:w="193" w:type="dxa"/>
            <w:tcBorders/>
            <w:vAlign w:val="center"/>
          </w:tcPr>
          <w:p>
            <w:pPr>
              <w:pStyle w:val="TableContents"/>
              <w:bidi w:val="0"/>
              <w:spacing w:before="0" w:after="0"/>
              <w:ind w:left="0" w:right="0" w:hanging="0"/>
              <w:jc w:val="left"/>
              <w:rPr/>
            </w:pPr>
            <w:r>
              <w:rPr/>
              <w:t> </w:t>
            </w:r>
          </w:p>
        </w:tc>
      </w:tr>
      <w:tr>
        <w:trPr/>
        <w:tc>
          <w:tcPr>
            <w:tcW w:w="9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12,110</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23,841</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146"/>
        <w:gridCol w:w="196"/>
        <w:gridCol w:w="601"/>
        <w:gridCol w:w="146"/>
        <w:gridCol w:w="146"/>
        <w:gridCol w:w="403"/>
        <w:gridCol w:w="528"/>
        <w:gridCol w:w="166"/>
        <w:gridCol w:w="146"/>
        <w:gridCol w:w="210"/>
        <w:gridCol w:w="346"/>
        <w:gridCol w:w="146"/>
        <w:gridCol w:w="146"/>
        <w:gridCol w:w="336"/>
        <w:gridCol w:w="595"/>
        <w:gridCol w:w="146"/>
        <w:gridCol w:w="146"/>
        <w:gridCol w:w="196"/>
        <w:gridCol w:w="601"/>
        <w:gridCol w:w="146"/>
        <w:gridCol w:w="146"/>
        <w:gridCol w:w="403"/>
        <w:gridCol w:w="528"/>
        <w:gridCol w:w="166"/>
        <w:gridCol w:w="146"/>
        <w:gridCol w:w="251"/>
        <w:gridCol w:w="770"/>
        <w:gridCol w:w="146"/>
        <w:gridCol w:w="146"/>
        <w:gridCol w:w="304"/>
        <w:gridCol w:w="537"/>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12 Months or More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December 31, 2022</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Cash and 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AFS Debt Securities</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estimated fair value of marketable debt securities by contractual maturity at June 30, 2023 is shown below (in thousands). Actual maturities may differ from contractual maturities because issuers may have the right to call or prepay obligations without penalties.</w:t>
      </w:r>
    </w:p>
    <w:p>
      <w:pPr>
        <w:pStyle w:val="TextBody"/>
        <w:bidi w:val="0"/>
        <w:spacing w:before="0" w:after="0"/>
        <w:jc w:val="left"/>
        <w:rPr/>
      </w:pPr>
      <w:r>
        <w:rPr/>
        <w:t> </w:t>
      </w:r>
    </w:p>
    <w:tbl>
      <w:tblPr>
        <w:tblW w:w="3308" w:type="dxa"/>
        <w:jc w:val="left"/>
        <w:tblInd w:w="0" w:type="dxa"/>
        <w:tblLayout w:type="fixed"/>
        <w:tblCellMar>
          <w:top w:w="28" w:type="dxa"/>
          <w:left w:w="28" w:type="dxa"/>
          <w:bottom w:w="28" w:type="dxa"/>
          <w:right w:w="28" w:type="dxa"/>
        </w:tblCellMar>
      </w:tblPr>
      <w:tblGrid>
        <w:gridCol w:w="1951"/>
        <w:gridCol w:w="146"/>
        <w:gridCol w:w="242"/>
        <w:gridCol w:w="77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NOTE 6 – FAIR VALUE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94"/>
        <w:gridCol w:w="9611"/>
      </w:tblGrid>
      <w:tr>
        <w:trPr/>
        <w:tc>
          <w:tcPr>
            <w:tcW w:w="594" w:type="dxa"/>
            <w:tcBorders/>
            <w:vAlign w:val="center"/>
          </w:tcPr>
          <w:p>
            <w:pPr>
              <w:pStyle w:val="TableContents"/>
              <w:bidi w:val="0"/>
              <w:spacing w:before="0" w:after="283"/>
              <w:jc w:val="left"/>
              <w:rPr>
                <w:sz w:val="4"/>
                <w:szCs w:val="4"/>
              </w:rPr>
            </w:pPr>
            <w:r>
              <w:rPr>
                <w:sz w:val="4"/>
                <w:szCs w:val="4"/>
              </w:rPr>
            </w:r>
          </w:p>
        </w:tc>
        <w:tc>
          <w:tcPr>
            <w:tcW w:w="9611" w:type="dxa"/>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1</w:t>
            </w:r>
          </w:p>
        </w:tc>
        <w:tc>
          <w:tcPr>
            <w:tcW w:w="9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Quoted prices in active markets for identical assets.</w:t>
            </w:r>
          </w:p>
        </w:tc>
      </w:tr>
      <w:tr>
        <w:trPr/>
        <w:tc>
          <w:tcPr>
            <w:tcW w:w="594" w:type="dxa"/>
            <w:tcBorders/>
            <w:vAlign w:val="center"/>
          </w:tcPr>
          <w:p>
            <w:pPr>
              <w:pStyle w:val="TableContents"/>
              <w:bidi w:val="0"/>
              <w:spacing w:before="0" w:after="0"/>
              <w:ind w:left="0" w:right="0" w:hanging="0"/>
              <w:jc w:val="left"/>
              <w:rPr/>
            </w:pPr>
            <w:r>
              <w:rPr/>
              <w:t> </w:t>
            </w:r>
          </w:p>
        </w:tc>
        <w:tc>
          <w:tcPr>
            <w:tcW w:w="9611" w:type="dxa"/>
            <w:tcBorders/>
            <w:vAlign w:val="center"/>
          </w:tcPr>
          <w:p>
            <w:pPr>
              <w:pStyle w:val="TableContents"/>
              <w:bidi w:val="0"/>
              <w:spacing w:before="0" w:after="0"/>
              <w:ind w:left="0" w:right="0" w:hanging="0"/>
              <w:jc w:val="left"/>
              <w:rPr/>
            </w:pPr>
            <w:r>
              <w:rPr/>
              <w:t> </w:t>
            </w:r>
          </w:p>
        </w:tc>
      </w:tr>
      <w:tr>
        <w:trPr/>
        <w:tc>
          <w:tcPr>
            <w:tcW w:w="59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2</w:t>
            </w:r>
          </w:p>
        </w:tc>
        <w:tc>
          <w:tcPr>
            <w:tcW w:w="9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Observable market-based inputs or unobservable inputs that are corroborated by market data.</w:t>
            </w:r>
          </w:p>
        </w:tc>
      </w:tr>
      <w:tr>
        <w:trPr/>
        <w:tc>
          <w:tcPr>
            <w:tcW w:w="594" w:type="dxa"/>
            <w:tcBorders/>
            <w:vAlign w:val="center"/>
          </w:tcPr>
          <w:p>
            <w:pPr>
              <w:pStyle w:val="TableContents"/>
              <w:bidi w:val="0"/>
              <w:spacing w:before="0" w:after="0"/>
              <w:ind w:left="0" w:right="0" w:hanging="0"/>
              <w:jc w:val="left"/>
              <w:rPr/>
            </w:pPr>
            <w:r>
              <w:rPr/>
              <w:t> </w:t>
            </w:r>
          </w:p>
        </w:tc>
        <w:tc>
          <w:tcPr>
            <w:tcW w:w="9611" w:type="dxa"/>
            <w:tcBorders/>
            <w:vAlign w:val="center"/>
          </w:tcPr>
          <w:p>
            <w:pPr>
              <w:pStyle w:val="TableContents"/>
              <w:bidi w:val="0"/>
              <w:spacing w:before="0" w:after="0"/>
              <w:ind w:left="0" w:right="0" w:hanging="0"/>
              <w:jc w:val="left"/>
              <w:rPr/>
            </w:pPr>
            <w:r>
              <w:rPr/>
              <w:t> </w:t>
            </w:r>
          </w:p>
        </w:tc>
      </w:tr>
      <w:tr>
        <w:trPr/>
        <w:tc>
          <w:tcPr>
            <w:tcW w:w="59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3</w:t>
            </w:r>
          </w:p>
        </w:tc>
        <w:tc>
          <w:tcPr>
            <w:tcW w:w="9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2022 and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sets forth the fair value, and classification within the hierarchy, of the Company’s assets required to be measured at fair value on a recurring basis as of June 30, 2023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95"/>
        <w:gridCol w:w="146"/>
        <w:gridCol w:w="216"/>
        <w:gridCol w:w="696"/>
        <w:gridCol w:w="146"/>
        <w:gridCol w:w="146"/>
        <w:gridCol w:w="333"/>
        <w:gridCol w:w="903"/>
        <w:gridCol w:w="146"/>
        <w:gridCol w:w="146"/>
        <w:gridCol w:w="232"/>
        <w:gridCol w:w="744"/>
        <w:gridCol w:w="146"/>
        <w:gridCol w:w="146"/>
        <w:gridCol w:w="443"/>
        <w:gridCol w:w="728"/>
        <w:gridCol w:w="593"/>
      </w:tblGrid>
      <w:tr>
        <w:trPr/>
        <w:tc>
          <w:tcPr>
            <w:tcW w:w="4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Quoted</w:t>
              <w:br/>
              <w:t>Prices in</w:t>
              <w:br/>
              <w:t>Active Markets</w:t>
              <w:br/>
              <w:t>for Identical</w:t>
              <w:br/>
              <w:t>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Significant</w:t>
              <w:br/>
              <w:t>Unobservable</w:t>
              <w:br/>
              <w:t>Inputs</w:t>
              <w:br/>
              <w:t>(Level 3)</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42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400"/>
              <w:jc w:val="right"/>
              <w:rPr/>
            </w:pPr>
            <w:r>
              <w:rPr/>
              <w:t> </w:t>
            </w:r>
          </w:p>
        </w:tc>
      </w:tr>
      <w:tr>
        <w:trPr/>
        <w:tc>
          <w:tcPr>
            <w:tcW w:w="4295"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 xml:space="preserve">Money market funds - equity securities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4295"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 xml:space="preserve">Municipal bonds and notes - debt securities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4295"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Treasury and agency notes and bills - debt securities</w:t>
            </w:r>
            <w:r>
              <w:rPr>
                <w:rFonts w:ascii="Times New Roman" w:hAnsi="Times New Roman"/>
                <w:sz w:val="20"/>
              </w:rPr>
              <w:t>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firstLine="400"/>
              <w:jc w:val="left"/>
              <w:rPr/>
            </w:pPr>
            <w:r>
              <w:rPr/>
              <w:t> </w:t>
            </w:r>
          </w:p>
        </w:tc>
      </w:tr>
      <w:tr>
        <w:trPr/>
        <w:tc>
          <w:tcPr>
            <w:tcW w:w="4295"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 xml:space="preserve">Commercial paper - debt securities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9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Reported as cash and cash equivalents in the Condensed Consolidated Balance Sheet.</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Reported as AFS debt securities in the Condensed Consolidated Balance Sheet</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Reported as cash and cash equivalents as these were purchased with original maturities of three months or less at the date of purchase; otherwise reported as AFS debt securities in the Condensed Consolidated Balance Sheet.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sets forth the fair value, and classification within the hierarchy, of the Company’s assets required to be measured at fair value on a recurring basis as of December 31, 2022 (in thousands):</w:t>
      </w:r>
    </w:p>
    <w:p>
      <w:pPr>
        <w:pStyle w:val="TextBody"/>
        <w:bidi w:val="0"/>
        <w:spacing w:before="0" w:after="0"/>
        <w:jc w:val="left"/>
        <w:rPr/>
      </w:pPr>
      <w:r>
        <w:rPr/>
        <w:t> </w:t>
      </w:r>
    </w:p>
    <w:tbl>
      <w:tblPr>
        <w:tblW w:w="9446" w:type="dxa"/>
        <w:jc w:val="left"/>
        <w:tblInd w:w="0" w:type="dxa"/>
        <w:tblLayout w:type="fixed"/>
        <w:tblCellMar>
          <w:top w:w="28" w:type="dxa"/>
          <w:left w:w="28" w:type="dxa"/>
          <w:bottom w:w="28" w:type="dxa"/>
          <w:right w:w="28" w:type="dxa"/>
        </w:tblCellMar>
      </w:tblPr>
      <w:tblGrid>
        <w:gridCol w:w="3496"/>
        <w:gridCol w:w="146"/>
        <w:gridCol w:w="217"/>
        <w:gridCol w:w="698"/>
        <w:gridCol w:w="146"/>
        <w:gridCol w:w="146"/>
        <w:gridCol w:w="344"/>
        <w:gridCol w:w="931"/>
        <w:gridCol w:w="146"/>
        <w:gridCol w:w="146"/>
        <w:gridCol w:w="232"/>
        <w:gridCol w:w="744"/>
        <w:gridCol w:w="146"/>
        <w:gridCol w:w="146"/>
        <w:gridCol w:w="443"/>
        <w:gridCol w:w="728"/>
        <w:gridCol w:w="5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Quoted</w:t>
              <w:br/>
              <w:t>Prices in</w:t>
              <w:br/>
              <w:t>Active Markets</w:t>
              <w:br/>
              <w:t>for Identical</w:t>
              <w:br/>
              <w:t>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Significant</w:t>
              <w:br/>
              <w:t>Unobservable</w:t>
              <w:br/>
              <w:t>Inputs</w:t>
              <w:b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496"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 xml:space="preserve">Money market funds - equity securities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496"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 xml:space="preserve">Commercial paper - debt securities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Reported as cash and cash equivalents in the Condensed Consolidated Balance Sheet.</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Reported as cash and cash equivalents as these were purchased with original maturities of three months or less at the date of purchase.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Financial Instruments Not Recorded at Fair Value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Company’s long-term debt is carried at amortized cost and is measured at fair value on a quarterly basis for disclosure purposes. The carrying amounts and estimated fair values are as follows (in thousands): </w:t>
      </w:r>
    </w:p>
    <w:p>
      <w:pPr>
        <w:pStyle w:val="TextBody"/>
        <w:bidi w:val="0"/>
        <w:spacing w:before="0" w:after="0"/>
        <w:jc w:val="left"/>
        <w:rPr/>
      </w:pPr>
      <w:r>
        <w:rPr/>
        <w:t> </w:t>
      </w:r>
    </w:p>
    <w:tbl>
      <w:tblPr>
        <w:tblW w:w="7783"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17"/>
        <w:gridCol w:w="803"/>
        <w:gridCol w:w="146"/>
        <w:gridCol w:w="146"/>
        <w:gridCol w:w="211"/>
        <w:gridCol w:w="781"/>
        <w:gridCol w:w="146"/>
        <w:gridCol w:w="146"/>
        <w:gridCol w:w="217"/>
        <w:gridCol w:w="803"/>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Refinanced Term B Loans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627,882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623,958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700,217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long-term debt,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627,882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623,958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700,217</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Carrying amounts of long-term debt are net of unamortized debt discount and issuance costs of $17.6</w:t>
      </w:r>
      <w:r>
        <w:rPr>
          <w:rFonts w:ascii="Times New Roman" w:hAnsi="Times New Roman"/>
          <w:sz w:val="20"/>
        </w:rPr>
        <w:t xml:space="preserve"> </w:t>
      </w:r>
      <w:r>
        <w:rPr>
          <w:rFonts w:ascii="Times New Roman;serif" w:hAnsi="Times New Roman;serif"/>
          <w:b w:val="false"/>
          <w:sz w:val="20"/>
        </w:rPr>
        <w:t>million and $19.9</w:t>
      </w:r>
      <w:r>
        <w:rPr>
          <w:rFonts w:ascii="Times New Roman" w:hAnsi="Times New Roman"/>
          <w:sz w:val="20"/>
        </w:rPr>
        <w:t xml:space="preserve"> </w:t>
      </w:r>
      <w:r>
        <w:rPr>
          <w:rFonts w:ascii="Times New Roman;serif" w:hAnsi="Times New Roman;serif"/>
          <w:b w:val="false"/>
          <w:sz w:val="20"/>
        </w:rPr>
        <w:t xml:space="preserve">million as of June 30, 2023 and December 31, 2022, respectively. See “Note 9 –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for additional information.</w:t>
      </w:r>
    </w:p>
    <w:p>
      <w:pPr>
        <w:pStyle w:val="TextBody"/>
        <w:bidi w:val="0"/>
        <w:spacing w:before="240" w:after="0"/>
        <w:jc w:val="left"/>
        <w:rPr>
          <w:rFonts w:ascii="Times New Roman" w:hAnsi="Times New Roman"/>
          <w:sz w:val="20"/>
        </w:rPr>
      </w:pPr>
      <w:r>
        <w:rPr>
          <w:rFonts w:ascii="Times New Roman;serif" w:hAnsi="Times New Roman;serif"/>
          <w:b w:val="false"/>
          <w:sz w:val="20"/>
        </w:rPr>
        <w:t>If reported at fair value in the Condensed Consolidated Balance Sheets, the Company’s debt would be classified within Level 2 of the fair value hierarchy. The fair value of the debt was estimated based on the quoted market prices for the same or similar issues.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NOTE 7 – DISCONTINUED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October 1, 2022, the Company completed the Separation of its product business into a separate, independent, publicly-traded company, Xperi Inc. The accounting requirements for reporting the Separation of Xperi Inc. as a discontinued operation were met when the Separation was completed. Accordingly, the historical financial results of Xperi Inc. prior to the Separation are presented as discontinued operations and, as such, are excluded from continuing operations and results of operations from all periods presented. For further information on the Separation, see “Note 1 </w:t>
      </w:r>
      <w:r>
        <w:rPr>
          <w:rFonts w:ascii="Times New Roman" w:hAnsi="Times New Roman"/>
          <w:sz w:val="20"/>
        </w:rPr>
        <w:t xml:space="preserve">– </w:t>
      </w:r>
      <w:r>
        <w:rPr>
          <w:rFonts w:ascii="Times New Roman;serif" w:hAnsi="Times New Roman;serif"/>
          <w:b w:val="false"/>
          <w:i/>
          <w:sz w:val="20"/>
        </w:rPr>
        <w:t>The Company and Basis of Presentation</w:t>
      </w:r>
      <w:r>
        <w:rPr>
          <w:rFonts w:ascii="Times New Roman" w:hAnsi="Times New Roman"/>
          <w:sz w:val="20"/>
        </w:rPr>
        <w:t>”</w:t>
      </w:r>
      <w:r>
        <w:rPr>
          <w:rFonts w:ascii="Times New Roman;serif" w:hAnsi="Times New Roman;serif"/>
          <w:b w:val="false"/>
          <w:sz w:val="20"/>
        </w:rPr>
        <w:t>.</w:t>
      </w:r>
    </w:p>
    <w:p>
      <w:pPr>
        <w:pStyle w:val="TextBody"/>
        <w:bidi w:val="0"/>
        <w:spacing w:before="160" w:after="0"/>
        <w:jc w:val="left"/>
        <w:rPr>
          <w:rFonts w:ascii="Times New Roman" w:hAnsi="Times New Roman"/>
          <w:sz w:val="20"/>
        </w:rPr>
      </w:pPr>
      <w:r>
        <w:rPr>
          <w:rFonts w:ascii="Times New Roman;serif" w:hAnsi="Times New Roman;serif"/>
          <w:b w:val="false"/>
          <w:sz w:val="20"/>
        </w:rPr>
        <w:t>The Company’s presentation of discontinued operations excludes general corporate overhead costs, which were historically allocated to Xperi Inc., that do not meet the requirements to be presented in discontinued operations, although such costs are not reflective of the on-going operations of the Company. Such allocations included labor and non-labor costs related to the Company’s corporate support functions (e.g., administration, human resources, finance, accounting, tax, information technology, corporate development, legal, among others) that historically provided support to Xperi Inc. prior to the Separation. In addition, discontinued operations excludes the historical intercompany balances and transactions between the Company and Xperi Inc. that were eliminated in consolidation.</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val="false"/>
          <w:sz w:val="20"/>
        </w:rPr>
        <w:t>In connection with the Separation, the Company incurred separation costs of $43.7</w:t>
      </w:r>
      <w:r>
        <w:rPr>
          <w:rFonts w:ascii="Times New Roman" w:hAnsi="Times New Roman"/>
          <w:sz w:val="20"/>
        </w:rPr>
        <w:t xml:space="preserve"> </w:t>
      </w:r>
      <w:r>
        <w:rPr>
          <w:rFonts w:ascii="Times New Roman;serif" w:hAnsi="Times New Roman;serif"/>
          <w:b w:val="false"/>
          <w:sz w:val="20"/>
        </w:rPr>
        <w:t>million from January 1, 2020 to June 30, 2023. Separation costs primarily consist of third-party advisory, consulting, legal and professional services, IT and employee bonus costs directly related to the Separation, as well as other items that are incremental and one-time in nature. Out of these costs, $28.6</w:t>
      </w:r>
      <w:r>
        <w:rPr>
          <w:rFonts w:ascii="Times New Roman" w:hAnsi="Times New Roman"/>
          <w:sz w:val="20"/>
        </w:rPr>
        <w:t xml:space="preserve"> </w:t>
      </w:r>
      <w:r>
        <w:rPr>
          <w:rFonts w:ascii="Times New Roman;serif" w:hAnsi="Times New Roman;serif"/>
          <w:b w:val="false"/>
          <w:sz w:val="20"/>
        </w:rPr>
        <w:t>million were incurred prior to the Separation and are included in net loss from discontinued operations, net of tax. The remaining separation costs of $15.1</w:t>
      </w:r>
      <w:r>
        <w:rPr>
          <w:rFonts w:ascii="Times New Roman" w:hAnsi="Times New Roman"/>
          <w:sz w:val="20"/>
        </w:rPr>
        <w:t xml:space="preserve"> </w:t>
      </w:r>
      <w:r>
        <w:rPr>
          <w:rFonts w:ascii="Times New Roman;serif" w:hAnsi="Times New Roman;serif"/>
          <w:b w:val="false"/>
          <w:sz w:val="20"/>
        </w:rPr>
        <w:t>million were incurred after the Separation and are reflected in continuing operations within operating expenses in the Company’s Condensed Consolidated Statement of Operations. During the three and six months ended June 30, 2022, the Company incurred $3.0</w:t>
      </w:r>
      <w:r>
        <w:rPr>
          <w:rFonts w:ascii="Times New Roman" w:hAnsi="Times New Roman"/>
          <w:sz w:val="20"/>
        </w:rPr>
        <w:t xml:space="preserve"> </w:t>
      </w:r>
      <w:r>
        <w:rPr>
          <w:rFonts w:ascii="Times New Roman;serif" w:hAnsi="Times New Roman;serif"/>
          <w:b w:val="false"/>
          <w:sz w:val="20"/>
        </w:rPr>
        <w:t>and $5.8</w:t>
      </w:r>
      <w:r>
        <w:rPr>
          <w:rFonts w:ascii="Times New Roman" w:hAnsi="Times New Roman"/>
          <w:sz w:val="20"/>
        </w:rPr>
        <w:t xml:space="preserve"> </w:t>
      </w:r>
      <w:r>
        <w:rPr>
          <w:rFonts w:ascii="Times New Roman;serif" w:hAnsi="Times New Roman;serif"/>
          <w:b w:val="false"/>
          <w:sz w:val="20"/>
        </w:rPr>
        <w:t>million in separation costs, respectively, which are included in net loss from discontinued operations, net of tax. During the three and six months ended June 30, 2023, separation costs were not material.</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val="false"/>
          <w:sz w:val="20"/>
        </w:rPr>
        <w:t>The Company and Xperi Inc. entered into various agreements to effect the Separation and provide a framework for their on-going relationship, including a separation and distribution agreement, transition services agreement, employee matters agreement, tax matters agreement, cross business license agreement and data sharing agreement. The transition services agreement consists of services that Xperi Inc. and its subsidiaries will provide to the Company and its subsidiaries for a transitional period, as defined in the agreement. The services to be provided include back office functions and assistance with regard to administrative tasks relating to day-to-day activities as needed, including finance, accounting and tax activities, IT services, customer support, facilities services, human resources, and general corporate support, as well as pass-through services provided by certain vendors. The impact of these transition services on the Company’s Condensed Consolidated Financial Statements for the three and six months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ended June 30, 2023 was not material.</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Net Loss from Discontinued Operations, Net of Tax</w:t>
      </w:r>
    </w:p>
    <w:p>
      <w:pPr>
        <w:pStyle w:val="TextBody"/>
        <w:bidi w:val="0"/>
        <w:spacing w:before="240" w:after="0"/>
        <w:jc w:val="left"/>
        <w:rPr>
          <w:rFonts w:ascii="Times New Roman" w:hAnsi="Times New Roman"/>
          <w:sz w:val="20"/>
        </w:rPr>
      </w:pPr>
      <w:r>
        <w:rPr>
          <w:rFonts w:ascii="Times New Roman;serif" w:hAnsi="Times New Roman;serif"/>
          <w:b w:val="false"/>
          <w:sz w:val="20"/>
        </w:rPr>
        <w:t>The financial results of Xperi Inc. for the three and six months ended June 30, 2022 are presented as net loss from discontinued operations, net of tax, in the Condensed Consolidated Statements of Operations. The following table presents financial results of Xperi Inc. (in thousands):</w:t>
      </w:r>
      <w:r>
        <w:rPr>
          <w:rFonts w:ascii="Times New Roman" w:hAnsi="Times New Roman"/>
          <w:sz w:val="20"/>
        </w:rPr>
        <w:t xml:space="preserve"> </w:t>
      </w:r>
    </w:p>
    <w:p>
      <w:pPr>
        <w:pStyle w:val="TextBody"/>
        <w:bidi w:val="0"/>
        <w:spacing w:before="0" w:after="0"/>
        <w:jc w:val="left"/>
        <w:rPr/>
      </w:pPr>
      <w:r>
        <w:rPr/>
        <w:t> </w:t>
      </w:r>
    </w:p>
    <w:tbl>
      <w:tblPr>
        <w:tblW w:w="8880" w:type="dxa"/>
        <w:jc w:val="left"/>
        <w:tblInd w:w="0" w:type="dxa"/>
        <w:tblLayout w:type="fixed"/>
        <w:tblCellMar>
          <w:top w:w="28" w:type="dxa"/>
          <w:left w:w="28" w:type="dxa"/>
          <w:bottom w:w="28" w:type="dxa"/>
          <w:right w:w="28" w:type="dxa"/>
        </w:tblCellMar>
      </w:tblPr>
      <w:tblGrid>
        <w:gridCol w:w="4321"/>
        <w:gridCol w:w="146"/>
        <w:gridCol w:w="399"/>
        <w:gridCol w:w="1476"/>
        <w:gridCol w:w="166"/>
        <w:gridCol w:w="146"/>
        <w:gridCol w:w="347"/>
        <w:gridCol w:w="1288"/>
        <w:gridCol w:w="5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245,091</w:t>
            </w:r>
          </w:p>
        </w:tc>
        <w:tc>
          <w:tcPr>
            <w:tcW w:w="59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54,286</w:t>
            </w:r>
          </w:p>
        </w:tc>
        <w:tc>
          <w:tcPr>
            <w:tcW w:w="5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101,607</w:t>
            </w:r>
          </w:p>
        </w:tc>
        <w:tc>
          <w:tcPr>
            <w:tcW w:w="5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74,329</w:t>
            </w:r>
          </w:p>
        </w:tc>
        <w:tc>
          <w:tcPr>
            <w:tcW w:w="5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10,678</w:t>
            </w:r>
          </w:p>
        </w:tc>
        <w:tc>
          <w:tcPr>
            <w:tcW w:w="5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29,553</w:t>
            </w:r>
          </w:p>
        </w:tc>
        <w:tc>
          <w:tcPr>
            <w:tcW w:w="5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271,447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(26,356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taxes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(51,686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Net Cash Flows of Discontinued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presents selected financial information related to cash flows from discontinued operations (in thousands):</w:t>
      </w:r>
    </w:p>
    <w:p>
      <w:pPr>
        <w:pStyle w:val="TextBody"/>
        <w:bidi w:val="0"/>
        <w:spacing w:before="0" w:after="0"/>
        <w:jc w:val="left"/>
        <w:rPr/>
      </w:pPr>
      <w:r>
        <w:rPr/>
        <w:t> </w:t>
      </w:r>
    </w:p>
    <w:tbl>
      <w:tblPr>
        <w:tblW w:w="4843" w:type="dxa"/>
        <w:jc w:val="left"/>
        <w:tblInd w:w="0" w:type="dxa"/>
        <w:tblLayout w:type="fixed"/>
        <w:tblCellMar>
          <w:top w:w="28" w:type="dxa"/>
          <w:left w:w="28" w:type="dxa"/>
          <w:bottom w:w="28" w:type="dxa"/>
          <w:right w:w="28" w:type="dxa"/>
        </w:tblCellMar>
      </w:tblPr>
      <w:tblGrid>
        <w:gridCol w:w="2851"/>
        <w:gridCol w:w="146"/>
        <w:gridCol w:w="409"/>
        <w:gridCol w:w="1226"/>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NOTE 8 – GOODWILL AND IDENTIFIED INTANGIBLE ASSETS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Goodwill</w:t>
      </w:r>
    </w:p>
    <w:p>
      <w:pPr>
        <w:pStyle w:val="TextBody"/>
        <w:bidi w:val="0"/>
        <w:spacing w:before="240" w:after="200"/>
        <w:jc w:val="left"/>
        <w:rPr>
          <w:rFonts w:ascii="Times New Roman" w:hAnsi="Times New Roman"/>
          <w:sz w:val="20"/>
        </w:rPr>
      </w:pPr>
      <w:r>
        <w:rPr>
          <w:rFonts w:ascii="Times New Roman;serif" w:hAnsi="Times New Roman;serif"/>
          <w:b w:val="false"/>
          <w:sz w:val="20"/>
        </w:rPr>
        <w:t>The carrying value of goodwill at June 30, 2023 and December 31, 2022 was $313.7</w:t>
      </w:r>
      <w:r>
        <w:rPr>
          <w:rFonts w:ascii="Times New Roman" w:hAnsi="Times New Roman"/>
          <w:sz w:val="20"/>
        </w:rPr>
        <w:t xml:space="preserve"> </w:t>
      </w:r>
      <w:r>
        <w:rPr>
          <w:rFonts w:ascii="Times New Roman;serif" w:hAnsi="Times New Roman;serif"/>
          <w:b w:val="false"/>
          <w:sz w:val="20"/>
        </w:rPr>
        <w:t>million. There were no</w:t>
      </w:r>
      <w:r>
        <w:rPr>
          <w:rFonts w:ascii="Times New Roman" w:hAnsi="Times New Roman"/>
          <w:sz w:val="20"/>
        </w:rPr>
        <w:t xml:space="preserve"> </w:t>
      </w:r>
      <w:r>
        <w:rPr>
          <w:rFonts w:ascii="Times New Roman;serif" w:hAnsi="Times New Roman;serif"/>
          <w:b w:val="false"/>
          <w:sz w:val="20"/>
        </w:rPr>
        <w:t>changes to the carrying value of goodwill from January 1, through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00"/>
        <w:jc w:val="left"/>
        <w:rPr>
          <w:rFonts w:ascii="Times New Roman" w:hAnsi="Times New Roman"/>
          <w:sz w:val="20"/>
        </w:rPr>
      </w:pPr>
      <w:r>
        <w:rPr>
          <w:rFonts w:ascii="Times New Roman;serif" w:hAnsi="Times New Roman;serif"/>
          <w:b w:val="false"/>
          <w:sz w:val="20"/>
        </w:rPr>
        <w:t>Goodwill at its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w:t>
      </w:r>
      <w:r>
        <w:rPr>
          <w:rFonts w:ascii="Times New Roman" w:hAnsi="Times New Roman"/>
          <w:sz w:val="20"/>
        </w:rPr>
        <w:t xml:space="preserve"> </w:t>
      </w:r>
      <w:r>
        <w:rPr>
          <w:rFonts w:ascii="Times New Roman;serif" w:hAnsi="Times New Roman;serif"/>
          <w:b w:val="false"/>
          <w:sz w:val="20"/>
        </w:rPr>
        <w:t>impairment charges were recognized for the three and six months ended June 30, 2023.</w:t>
      </w:r>
    </w:p>
    <w:p>
      <w:pPr>
        <w:pStyle w:val="TextBody"/>
        <w:bidi w:val="0"/>
        <w:spacing w:before="240" w:after="200"/>
        <w:jc w:val="left"/>
        <w:rPr>
          <w:rFonts w:ascii="Times New Roman;serif" w:hAnsi="Times New Roman;serif"/>
          <w:b w:val="false"/>
          <w:i/>
          <w:sz w:val="20"/>
        </w:rPr>
      </w:pPr>
      <w:r>
        <w:rPr>
          <w:rFonts w:ascii="Times New Roman;serif" w:hAnsi="Times New Roman;serif"/>
          <w:b w:val="false"/>
          <w:i/>
          <w:sz w:val="20"/>
        </w:rPr>
        <w:t>Identified Intangible Assets</w:t>
      </w:r>
    </w:p>
    <w:p>
      <w:pPr>
        <w:pStyle w:val="TextBody"/>
        <w:bidi w:val="0"/>
        <w:spacing w:before="240" w:after="200"/>
        <w:jc w:val="left"/>
        <w:rPr>
          <w:rFonts w:ascii="Times New Roman;serif" w:hAnsi="Times New Roman;serif"/>
          <w:b w:val="false"/>
          <w:sz w:val="20"/>
        </w:rPr>
      </w:pPr>
      <w:r>
        <w:rPr>
          <w:rFonts w:ascii="Times New Roman;serif" w:hAnsi="Times New Roman;serif"/>
          <w:b w:val="false"/>
          <w:sz w:val="20"/>
        </w:rPr>
        <w:t>Identified intangible assets consisted of the following (in thousands):</w:t>
      </w:r>
    </w:p>
    <w:tbl>
      <w:tblPr>
        <w:tblW w:w="10740" w:type="dxa"/>
        <w:jc w:val="left"/>
        <w:tblInd w:w="0" w:type="dxa"/>
        <w:tblLayout w:type="fixed"/>
        <w:tblCellMar>
          <w:top w:w="28" w:type="dxa"/>
          <w:left w:w="28" w:type="dxa"/>
          <w:bottom w:w="28" w:type="dxa"/>
          <w:right w:w="28" w:type="dxa"/>
        </w:tblCellMar>
      </w:tblPr>
      <w:tblGrid>
        <w:gridCol w:w="1171"/>
        <w:gridCol w:w="146"/>
        <w:gridCol w:w="826"/>
        <w:gridCol w:w="146"/>
        <w:gridCol w:w="211"/>
        <w:gridCol w:w="781"/>
        <w:gridCol w:w="146"/>
        <w:gridCol w:w="146"/>
        <w:gridCol w:w="249"/>
        <w:gridCol w:w="997"/>
        <w:gridCol w:w="166"/>
        <w:gridCol w:w="146"/>
        <w:gridCol w:w="211"/>
        <w:gridCol w:w="781"/>
        <w:gridCol w:w="146"/>
        <w:gridCol w:w="146"/>
        <w:gridCol w:w="211"/>
        <w:gridCol w:w="781"/>
        <w:gridCol w:w="146"/>
        <w:gridCol w:w="146"/>
        <w:gridCol w:w="249"/>
        <w:gridCol w:w="997"/>
        <w:gridCol w:w="166"/>
        <w:gridCol w:w="146"/>
        <w:gridCol w:w="211"/>
        <w:gridCol w:w="781"/>
        <w:gridCol w:w="4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vAlign w:val="center"/>
          </w:tcPr>
          <w:p>
            <w:pPr>
              <w:pStyle w:val="TableContents"/>
              <w:bidi w:val="0"/>
              <w:spacing w:before="0" w:after="0"/>
              <w:ind w:left="0" w:right="0" w:hanging="0"/>
              <w:jc w:val="center"/>
              <w:rPr/>
            </w:pPr>
            <w:r>
              <w:rPr/>
              <w:t> </w:t>
            </w:r>
          </w:p>
        </w:tc>
        <w:tc>
          <w:tcPr>
            <w:tcW w:w="38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Life</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Assets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Assets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100"/>
              <w:jc w:val="right"/>
              <w:rPr/>
            </w:pPr>
            <w:r>
              <w:rPr/>
              <w:t> </w:t>
            </w:r>
          </w:p>
        </w:tc>
      </w:tr>
      <w:tr>
        <w:trPr/>
        <w:tc>
          <w:tcPr>
            <w:tcW w:w="1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Acquired patents / core technology</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(296,695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(270,275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375,653</w:t>
            </w:r>
          </w:p>
        </w:tc>
        <w:tc>
          <w:tcPr>
            <w:tcW w:w="491" w:type="dxa"/>
            <w:tcBorders/>
            <w:vAlign w:val="center"/>
          </w:tcPr>
          <w:p>
            <w:pPr>
              <w:pStyle w:val="TableContents"/>
              <w:bidi w:val="0"/>
              <w:spacing w:before="0" w:after="0"/>
              <w:ind w:left="0" w:right="0" w:firstLine="100"/>
              <w:jc w:val="left"/>
              <w:rPr/>
            </w:pPr>
            <w:r>
              <w:rPr/>
              <w:t> </w:t>
            </w:r>
          </w:p>
        </w:tc>
      </w:tr>
      <w:tr>
        <w:trPr/>
        <w:tc>
          <w:tcPr>
            <w:tcW w:w="1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Existing technology / content database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5-10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2,067</w:t>
            </w:r>
          </w:p>
        </w:tc>
        <w:tc>
          <w:tcPr>
            <w:tcW w:w="491" w:type="dxa"/>
            <w:tcBorders/>
            <w:vAlign w:val="center"/>
          </w:tcPr>
          <w:p>
            <w:pPr>
              <w:pStyle w:val="TableContents"/>
              <w:bidi w:val="0"/>
              <w:spacing w:before="0" w:after="0"/>
              <w:ind w:left="0" w:right="0" w:firstLine="100"/>
              <w:jc w:val="left"/>
              <w:rPr/>
            </w:pPr>
            <w:r>
              <w:rPr/>
              <w:t> </w:t>
            </w:r>
          </w:p>
        </w:tc>
      </w:tr>
      <w:tr>
        <w:trPr/>
        <w:tc>
          <w:tcPr>
            <w:tcW w:w="1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Customer contracts and related relationships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491" w:type="dxa"/>
            <w:tcBorders/>
            <w:vAlign w:val="center"/>
          </w:tcPr>
          <w:p>
            <w:pPr>
              <w:pStyle w:val="TableContents"/>
              <w:bidi w:val="0"/>
              <w:spacing w:before="0" w:after="0"/>
              <w:ind w:left="0" w:right="0" w:firstLine="100"/>
              <w:jc w:val="left"/>
              <w:rPr/>
            </w:pPr>
            <w:r>
              <w:rPr/>
              <w:t> </w:t>
            </w:r>
          </w:p>
        </w:tc>
      </w:tr>
      <w:tr>
        <w:trPr/>
        <w:tc>
          <w:tcPr>
            <w:tcW w:w="11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Trademarks/trade name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4-10</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117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841,904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(456,672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432,476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the estimated future amortization expense of total finite-lived intangible assets was as follows (in thousands):</w:t>
      </w:r>
    </w:p>
    <w:p>
      <w:pPr>
        <w:pStyle w:val="TextBody"/>
        <w:bidi w:val="0"/>
        <w:spacing w:before="0" w:after="0"/>
        <w:jc w:val="left"/>
        <w:rPr/>
      </w:pPr>
      <w:r>
        <w:rPr/>
        <w:t> </w:t>
      </w:r>
    </w:p>
    <w:tbl>
      <w:tblPr>
        <w:tblW w:w="3655" w:type="dxa"/>
        <w:jc w:val="left"/>
        <w:tblInd w:w="0" w:type="dxa"/>
        <w:tblLayout w:type="fixed"/>
        <w:tblCellMar>
          <w:top w:w="28" w:type="dxa"/>
          <w:left w:w="28" w:type="dxa"/>
          <w:bottom w:w="28" w:type="dxa"/>
          <w:right w:w="28" w:type="dxa"/>
        </w:tblCellMar>
      </w:tblPr>
      <w:tblGrid>
        <w:gridCol w:w="2326"/>
        <w:gridCol w:w="146"/>
        <w:gridCol w:w="211"/>
        <w:gridCol w:w="78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46,210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68,821</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52,743</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52,609</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52,258</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385,232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NOTE 9 –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outstanding amounts of debt were as follows (in thousands):</w:t>
      </w:r>
      <w:r>
        <w:rPr>
          <w:rFonts w:ascii="Times New Roman" w:hAnsi="Times New Roman"/>
          <w:sz w:val="20"/>
        </w:rPr>
        <w:t xml:space="preserve"> </w:t>
      </w:r>
    </w:p>
    <w:p>
      <w:pPr>
        <w:pStyle w:val="TextBody"/>
        <w:bidi w:val="0"/>
        <w:spacing w:before="0" w:after="0"/>
        <w:jc w:val="left"/>
        <w:rPr/>
      </w:pPr>
      <w:r>
        <w:rPr/>
        <w:t> </w:t>
      </w:r>
    </w:p>
    <w:tbl>
      <w:tblPr>
        <w:tblW w:w="8710" w:type="dxa"/>
        <w:jc w:val="left"/>
        <w:tblInd w:w="0" w:type="dxa"/>
        <w:tblLayout w:type="fixed"/>
        <w:tblCellMar>
          <w:top w:w="28" w:type="dxa"/>
          <w:left w:w="28" w:type="dxa"/>
          <w:bottom w:w="28" w:type="dxa"/>
          <w:right w:w="28" w:type="dxa"/>
        </w:tblCellMar>
      </w:tblPr>
      <w:tblGrid>
        <w:gridCol w:w="5041"/>
        <w:gridCol w:w="146"/>
        <w:gridCol w:w="271"/>
        <w:gridCol w:w="1004"/>
        <w:gridCol w:w="166"/>
        <w:gridCol w:w="146"/>
        <w:gridCol w:w="346"/>
        <w:gridCol w:w="1379"/>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Refinanced Term B Loans</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749,250</w:t>
            </w:r>
          </w:p>
        </w:tc>
        <w:tc>
          <w:tcPr>
            <w:tcW w:w="21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 and issuance costs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627,882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3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c>
          <w:tcPr>
            <w:tcW w:w="21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net of debt discount and issuance costs</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(109,813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 net of current portion</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619,580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Refinanced Term B Loans</w:t>
      </w:r>
    </w:p>
    <w:p>
      <w:pPr>
        <w:pStyle w:val="TextBody"/>
        <w:bidi w:val="0"/>
        <w:spacing w:before="240" w:after="0"/>
        <w:jc w:val="left"/>
        <w:rPr>
          <w:rFonts w:ascii="Times New Roman" w:hAnsi="Times New Roman"/>
          <w:sz w:val="20"/>
        </w:rPr>
      </w:pPr>
      <w:r>
        <w:rPr>
          <w:rFonts w:ascii="Times New Roman;serif" w:hAnsi="Times New Roman;serif"/>
          <w:b w:val="false"/>
          <w:sz w:val="20"/>
        </w:rPr>
        <w:t>On June 8, 2021, the Company amended that certain Credit Agreement dated June 1, 2020 by and among the Company, the lenders party thereto and Bank of America, N.A., as administrative agent and collateral agent (the “2020 Credit Agreement”). The 2020 Credit Agreement initially provided for a</w:t>
      </w:r>
      <w:r>
        <w:rPr>
          <w:rFonts w:ascii="Times New Roman" w:hAnsi="Times New Roman"/>
          <w:sz w:val="20"/>
        </w:rPr>
        <w:t xml:space="preserve"> </w:t>
      </w:r>
      <w:r>
        <w:rPr>
          <w:rFonts w:ascii="Times New Roman;serif" w:hAnsi="Times New Roman;serif"/>
          <w:b w:val="false"/>
          <w:sz w:val="20"/>
        </w:rPr>
        <w:t>five-year</w:t>
      </w:r>
      <w:r>
        <w:rPr>
          <w:rFonts w:ascii="Times New Roman" w:hAnsi="Times New Roman"/>
          <w:sz w:val="20"/>
        </w:rPr>
        <w:t xml:space="preserve"> </w:t>
      </w:r>
      <w:r>
        <w:rPr>
          <w:rFonts w:ascii="Times New Roman;serif" w:hAnsi="Times New Roman;serif"/>
          <w:b w:val="false"/>
          <w:sz w:val="20"/>
        </w:rPr>
        <w:t>senior secured term B loan facility in an aggregate principal amount of $1,050</w:t>
      </w:r>
      <w:r>
        <w:rPr>
          <w:rFonts w:ascii="Times New Roman" w:hAnsi="Times New Roman"/>
          <w:sz w:val="20"/>
        </w:rPr>
        <w:t xml:space="preserve"> </w:t>
      </w:r>
      <w:r>
        <w:rPr>
          <w:rFonts w:ascii="Times New Roman;serif" w:hAnsi="Times New Roman;serif"/>
          <w:b w:val="false"/>
          <w:sz w:val="20"/>
        </w:rPr>
        <w:t>million (the “2020 Term B Loan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amendment (the “Amendment”), the Company made a voluntary prepayment of $50.6</w:t>
      </w:r>
      <w:r>
        <w:rPr>
          <w:rFonts w:ascii="Times New Roman" w:hAnsi="Times New Roman"/>
          <w:sz w:val="20"/>
        </w:rPr>
        <w:t xml:space="preserve"> </w:t>
      </w:r>
      <w:r>
        <w:rPr>
          <w:rFonts w:ascii="Times New Roman;serif" w:hAnsi="Times New Roman;serif"/>
          <w:b w:val="false"/>
          <w:sz w:val="20"/>
        </w:rPr>
        <w:t>million of the term loan outstanding under the 2020 Credit Agreement using cash on hand. The Amendment provided for, among other things, (i) a new tranche of term loans (the “Refinanced Term B Loans”) in an aggregate principal amount of $810.0</w:t>
      </w:r>
      <w:r>
        <w:rPr>
          <w:rFonts w:ascii="Times New Roman" w:hAnsi="Times New Roman"/>
          <w:sz w:val="20"/>
        </w:rPr>
        <w:t xml:space="preserve"> </w:t>
      </w:r>
      <w:r>
        <w:rPr>
          <w:rFonts w:ascii="Times New Roman;serif" w:hAnsi="Times New Roman;serif"/>
          <w:b w:val="false"/>
          <w:sz w:val="20"/>
        </w:rPr>
        <w:t>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the Company with additional flexibility under the covenant governing restricted payments. The Company commenced repaying quarterly installments under the Refinanced Term B Loans in the third quarter of 2021.</w:t>
      </w:r>
    </w:p>
    <w:p>
      <w:pPr>
        <w:pStyle w:val="TextBody"/>
        <w:bidi w:val="0"/>
        <w:spacing w:before="240" w:after="0"/>
        <w:jc w:val="left"/>
        <w:rPr>
          <w:rFonts w:ascii="Times New Roman" w:hAnsi="Times New Roman"/>
          <w:sz w:val="20"/>
        </w:rPr>
      </w:pPr>
      <w:r>
        <w:rPr>
          <w:rFonts w:ascii="Times New Roman;serif" w:hAnsi="Times New Roman;serif"/>
          <w:b w:val="false"/>
          <w:sz w:val="20"/>
        </w:rPr>
        <w:t>On May 30, 2023, the Company amended the 2020 Credit Agreement to replace the reference to LIBOR as the base rate with the reference to the Secured Overnight Financing Rate “SOFR” as administered by the Federal Reserve Bank of New York. The new reference rate is effective July 1,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obligations under the 2020 Credit Agreement, inclusive of any changes by the Amendment, continue to be guaranteed by the Company’s wholly-owned material domestic subsidiaries (collectively, the “Guarantors”) and continue to be secured by a lien on substantially all of the assets of the Company and the Guarantors.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June 30, 2023. The 2020 Credit Agreement, as amended, also requires the Company to make additional cash payments on an annual basis beginning in April 2023 based on certain leverage ratios and excess cash flow generated for the immediately preceding fiscal year. The additional cash payments are applied to the remaining principal balance due at final maturity. Accordingly, the Company made additional cash payments of $73.5</w:t>
      </w:r>
      <w:r>
        <w:rPr>
          <w:rFonts w:ascii="Times New Roman" w:hAnsi="Times New Roman"/>
          <w:sz w:val="20"/>
        </w:rPr>
        <w:t xml:space="preserve"> </w:t>
      </w:r>
      <w:r>
        <w:rPr>
          <w:rFonts w:ascii="Times New Roman;serif" w:hAnsi="Times New Roman;serif"/>
          <w:b w:val="false"/>
          <w:sz w:val="20"/>
        </w:rPr>
        <w:t>million during the six months ended June 30, 2023 under the excess cash flow provisions. The payments were made earlier than required under the 2020 Credit Agreement.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After the Separation, the Company remains the obligor under the Refinanced B Term Loans.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Interest Expense and Expected Principal Payments</w:t>
      </w:r>
    </w:p>
    <w:p>
      <w:pPr>
        <w:pStyle w:val="TextBody"/>
        <w:bidi w:val="0"/>
        <w:spacing w:before="240" w:after="0"/>
        <w:jc w:val="left"/>
        <w:rPr>
          <w:rFonts w:ascii="Times New Roman" w:hAnsi="Times New Roman"/>
          <w:sz w:val="20"/>
        </w:rPr>
      </w:pPr>
      <w:r>
        <w:rPr>
          <w:rFonts w:ascii="Times New Roman;serif" w:hAnsi="Times New Roman;serif"/>
          <w:b w:val="false"/>
          <w:sz w:val="20"/>
        </w:rPr>
        <w:t>At June 30, 2023, $645.5</w:t>
      </w:r>
      <w:r>
        <w:rPr>
          <w:rFonts w:ascii="Times New Roman" w:hAnsi="Times New Roman"/>
          <w:sz w:val="20"/>
        </w:rPr>
        <w:t xml:space="preserve"> </w:t>
      </w:r>
      <w:r>
        <w:rPr>
          <w:rFonts w:ascii="Times New Roman;serif" w:hAnsi="Times New Roman;serif"/>
          <w:b w:val="false"/>
          <w:sz w:val="20"/>
        </w:rPr>
        <w:t>million in total debt was outstanding. There were also $17.6</w:t>
      </w:r>
      <w:r>
        <w:rPr>
          <w:rFonts w:ascii="Times New Roman" w:hAnsi="Times New Roman"/>
          <w:sz w:val="20"/>
        </w:rPr>
        <w:t xml:space="preserve"> </w:t>
      </w:r>
      <w:r>
        <w:rPr>
          <w:rFonts w:ascii="Times New Roman;serif" w:hAnsi="Times New Roman;serif"/>
          <w:b w:val="false"/>
          <w:sz w:val="20"/>
        </w:rPr>
        <w:t>million of unamortized debt discount and issuance costs recorded as a reduction from the carrying amount of the debt. The interest rate on the Refinanced Term B Loans as of June 30, 2023, including the amortization of debt discount and issuance costs, was 9.58% and interest is payable monthly. Interest expense was $15.4</w:t>
      </w:r>
      <w:r>
        <w:rPr>
          <w:rFonts w:ascii="Times New Roman" w:hAnsi="Times New Roman"/>
          <w:sz w:val="20"/>
        </w:rPr>
        <w:t xml:space="preserve"> </w:t>
      </w:r>
      <w:r>
        <w:rPr>
          <w:rFonts w:ascii="Times New Roman;serif" w:hAnsi="Times New Roman;serif"/>
          <w:b w:val="false"/>
          <w:sz w:val="20"/>
        </w:rPr>
        <w:t>million and $31.3</w:t>
      </w:r>
      <w:r>
        <w:rPr>
          <w:rFonts w:ascii="Times New Roman" w:hAnsi="Times New Roman"/>
          <w:sz w:val="20"/>
        </w:rPr>
        <w:t xml:space="preserve"> </w:t>
      </w:r>
      <w:r>
        <w:rPr>
          <w:rFonts w:ascii="Times New Roman;serif" w:hAnsi="Times New Roman;serif"/>
          <w:b w:val="false"/>
          <w:sz w:val="20"/>
        </w:rPr>
        <w:t>million for the three and six months ended June 30, 2023, respectively. Interest expense was $9.4</w:t>
      </w:r>
      <w:r>
        <w:rPr>
          <w:rFonts w:ascii="Times New Roman" w:hAnsi="Times New Roman"/>
          <w:sz w:val="20"/>
        </w:rPr>
        <w:t xml:space="preserve"> </w:t>
      </w:r>
      <w:r>
        <w:rPr>
          <w:rFonts w:ascii="Times New Roman;serif" w:hAnsi="Times New Roman;serif"/>
          <w:b w:val="false"/>
          <w:sz w:val="20"/>
        </w:rPr>
        <w:t>million and $17.9</w:t>
      </w:r>
      <w:r>
        <w:rPr>
          <w:rFonts w:ascii="Times New Roman" w:hAnsi="Times New Roman"/>
          <w:sz w:val="20"/>
        </w:rPr>
        <w:t xml:space="preserve"> </w:t>
      </w:r>
      <w:r>
        <w:rPr>
          <w:rFonts w:ascii="Times New Roman;serif" w:hAnsi="Times New Roman;serif"/>
          <w:b w:val="false"/>
          <w:sz w:val="20"/>
        </w:rPr>
        <w:t>million for the three and six months ended June 30, 2022, respectively. Amortized debt discount and issuance costs, which were included in interest expense, amounted to $1.1</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 for the three and six months ended June 30, 2023, respectively, and $1.1</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 for the three and six months ended June 30,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June 30, 2023, future minimum principal payments for long-term debt, excluding any additional principal payment required by the excess cash flow provision, are summarized as follows (in thousands):</w:t>
      </w:r>
    </w:p>
    <w:p>
      <w:pPr>
        <w:pStyle w:val="TextBody"/>
        <w:bidi w:val="0"/>
        <w:spacing w:before="0" w:after="0"/>
        <w:jc w:val="left"/>
        <w:rPr/>
      </w:pPr>
      <w:r>
        <w:rPr/>
        <w:t> </w:t>
      </w:r>
    </w:p>
    <w:tbl>
      <w:tblPr>
        <w:tblW w:w="3655" w:type="dxa"/>
        <w:jc w:val="left"/>
        <w:tblInd w:w="0" w:type="dxa"/>
        <w:tblLayout w:type="fixed"/>
        <w:tblCellMar>
          <w:top w:w="28" w:type="dxa"/>
          <w:left w:w="28" w:type="dxa"/>
          <w:bottom w:w="28" w:type="dxa"/>
          <w:right w:w="28" w:type="dxa"/>
        </w:tblCellMar>
      </w:tblPr>
      <w:tblGrid>
        <w:gridCol w:w="2326"/>
        <w:gridCol w:w="146"/>
        <w:gridCol w:w="211"/>
        <w:gridCol w:w="78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463,250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645,500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NOTE 10 – NET INCOME PER SHARE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shares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04"/>
        <w:gridCol w:w="146"/>
        <w:gridCol w:w="211"/>
        <w:gridCol w:w="781"/>
        <w:gridCol w:w="146"/>
        <w:gridCol w:w="146"/>
        <w:gridCol w:w="211"/>
        <w:gridCol w:w="781"/>
        <w:gridCol w:w="166"/>
        <w:gridCol w:w="146"/>
        <w:gridCol w:w="211"/>
        <w:gridCol w:w="781"/>
        <w:gridCol w:w="146"/>
        <w:gridCol w:w="146"/>
        <w:gridCol w:w="211"/>
        <w:gridCol w:w="781"/>
        <w:gridCol w:w="491"/>
      </w:tblGrid>
      <w:tr>
        <w:trPr/>
        <w:tc>
          <w:tcPr>
            <w:tcW w:w="4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100"/>
              <w:jc w:val="righ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71,005</w:t>
            </w:r>
          </w:p>
        </w:tc>
        <w:tc>
          <w:tcPr>
            <w:tcW w:w="491" w:type="dxa"/>
            <w:tcBorders/>
            <w:vAlign w:val="center"/>
          </w:tcPr>
          <w:p>
            <w:pPr>
              <w:pStyle w:val="TableContents"/>
              <w:bidi w:val="0"/>
              <w:spacing w:before="0" w:after="0"/>
              <w:ind w:left="0" w:right="0" w:firstLine="100"/>
              <w:jc w:val="lef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(51,686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19,319</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100"/>
              <w:jc w:val="righ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shares of common stock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103,841</w:t>
            </w:r>
          </w:p>
        </w:tc>
        <w:tc>
          <w:tcPr>
            <w:tcW w:w="491" w:type="dxa"/>
            <w:tcBorders/>
            <w:vAlign w:val="center"/>
          </w:tcPr>
          <w:p>
            <w:pPr>
              <w:pStyle w:val="TableContents"/>
              <w:bidi w:val="0"/>
              <w:spacing w:before="0" w:after="0"/>
              <w:ind w:left="0" w:right="0" w:firstLine="300"/>
              <w:jc w:val="left"/>
              <w:rPr/>
            </w:pPr>
            <w:r>
              <w:rPr/>
              <w:t> </w:t>
            </w:r>
          </w:p>
        </w:tc>
      </w:tr>
      <w:tr>
        <w:trPr/>
        <w:tc>
          <w:tcPr>
            <w:tcW w:w="470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Add: Effect of dilutive securities associated with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91" w:type="dxa"/>
            <w:tcBorders/>
            <w:vAlign w:val="center"/>
          </w:tcPr>
          <w:p>
            <w:pPr>
              <w:pStyle w:val="TableContents"/>
              <w:bidi w:val="0"/>
              <w:spacing w:before="0" w:after="0"/>
              <w:ind w:left="0" w:right="0" w:firstLine="300"/>
              <w:jc w:val="left"/>
              <w:rPr/>
            </w:pPr>
            <w:r>
              <w:rPr/>
              <w:t> </w:t>
            </w:r>
          </w:p>
        </w:tc>
      </w:tr>
      <w:tr>
        <w:trPr/>
        <w:tc>
          <w:tcPr>
            <w:tcW w:w="470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Add: Effect of dilutive securities associated with restricted stock awards and units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common shares - dilutive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105,362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(loss)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100"/>
              <w:jc w:val="righ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491" w:type="dxa"/>
            <w:tcBorders/>
            <w:vAlign w:val="center"/>
          </w:tcPr>
          <w:p>
            <w:pPr>
              <w:pStyle w:val="TableContents"/>
              <w:bidi w:val="0"/>
              <w:spacing w:before="0" w:after="0"/>
              <w:ind w:left="0" w:right="0" w:firstLine="100"/>
              <w:jc w:val="lef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(loss)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100"/>
              <w:jc w:val="righ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491" w:type="dxa"/>
            <w:tcBorders/>
            <w:vAlign w:val="center"/>
          </w:tcPr>
          <w:p>
            <w:pPr>
              <w:pStyle w:val="TableContents"/>
              <w:bidi w:val="0"/>
              <w:spacing w:before="0" w:after="0"/>
              <w:ind w:left="0" w:right="0" w:firstLine="100"/>
              <w:jc w:val="left"/>
              <w:rPr/>
            </w:pPr>
            <w:r>
              <w:rPr/>
              <w:t> </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70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employee stock-based awards, excluded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3,800</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income (loss) per share is computed using the weighted average number of shares of common stock outstanding during the period, excluding any unvested restricted stock units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bidi w:val="0"/>
        <w:spacing w:before="240" w:after="0"/>
        <w:jc w:val="left"/>
        <w:rPr>
          <w:rFonts w:ascii="Times New Roman;serif" w:hAnsi="Times New Roman;serif"/>
          <w:b/>
          <w:sz w:val="20"/>
        </w:rPr>
      </w:pPr>
      <w:r>
        <w:rPr>
          <w:rFonts w:ascii="Times New Roman;serif" w:hAnsi="Times New Roman;serif"/>
          <w:b/>
          <w:sz w:val="20"/>
        </w:rPr>
        <w:t>NOTE 11 – STOCKHOLDERS’ EQUITY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Equity Incentive Plans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The 2020 Equity Incentive Plan</w:t>
      </w:r>
    </w:p>
    <w:p>
      <w:pPr>
        <w:pStyle w:val="TextBody"/>
        <w:bidi w:val="0"/>
        <w:spacing w:before="240" w:after="0"/>
        <w:jc w:val="left"/>
        <w:rPr>
          <w:rFonts w:ascii="Times New Roman" w:hAnsi="Times New Roman"/>
          <w:sz w:val="20"/>
        </w:rPr>
      </w:pPr>
      <w:r>
        <w:rPr>
          <w:rFonts w:ascii="Times New Roman;serif" w:hAnsi="Times New Roman;serif"/>
          <w:b w:val="false"/>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 total of 16.8</w:t>
      </w:r>
      <w:r>
        <w:rPr>
          <w:rFonts w:ascii="Times New Roman" w:hAnsi="Times New Roman"/>
          <w:sz w:val="20"/>
        </w:rPr>
        <w:t xml:space="preserve"> </w:t>
      </w:r>
      <w:r>
        <w:rPr>
          <w:rFonts w:ascii="Times New Roman;serif" w:hAnsi="Times New Roman;serif"/>
          <w:b w:val="false"/>
          <w:sz w:val="20"/>
        </w:rPr>
        <w:t>million shares have been reserved for issuance under the 2020 EIP provided that each share issued pursuant to “full value” awards (i.e., stock awards, restricted stock awards, restricted stock units, performance awards and dividend equivalents) are counted against shares available for issuance under the 2020 EIP on a 1.5</w:t>
      </w:r>
      <w:r>
        <w:rPr>
          <w:rFonts w:ascii="Times New Roman" w:hAnsi="Times New Roman"/>
          <w:sz w:val="20"/>
        </w:rPr>
        <w:t xml:space="preserve"> </w:t>
      </w:r>
      <w:r>
        <w:rPr>
          <w:rFonts w:ascii="Times New Roman;serif" w:hAnsi="Times New Roman;serif"/>
          <w:b w:val="false"/>
          <w:sz w:val="20"/>
        </w:rPr>
        <w:t>to 1 ratio. At the 2022 Annual Stockholders Meeting on April 29, 2022, the Company’s shareholders approved an amendment to the 2020 EIP and increased by 8.8</w:t>
      </w:r>
      <w:r>
        <w:rPr>
          <w:rFonts w:ascii="Times New Roman" w:hAnsi="Times New Roman"/>
          <w:sz w:val="20"/>
        </w:rPr>
        <w:t xml:space="preserve"> </w:t>
      </w:r>
      <w:r>
        <w:rPr>
          <w:rFonts w:ascii="Times New Roman;serif" w:hAnsi="Times New Roman;serif"/>
          <w:b w:val="false"/>
          <w:sz w:val="20"/>
        </w:rPr>
        <w:t>million the number of shares reserved for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2020 EIP provides for option grants designed as either incentive stock options or nonstatutory options. Options generally are granted with an exercise price not less than the value of the common stock on the grant date and have a term of ten years</w:t>
      </w:r>
      <w:r>
        <w:rPr>
          <w:rFonts w:ascii="Times New Roman" w:hAnsi="Times New Roman"/>
          <w:sz w:val="20"/>
        </w:rPr>
        <w:t xml:space="preserve"> </w:t>
      </w:r>
      <w:r>
        <w:rPr>
          <w:rFonts w:ascii="Times New Roman;serif" w:hAnsi="Times New Roman;serif"/>
          <w:b w:val="false"/>
          <w:sz w:val="20"/>
        </w:rPr>
        <w:t>from the date of grant and vest over a four-year</w:t>
      </w:r>
      <w:r>
        <w:rPr>
          <w:rFonts w:ascii="Times New Roman" w:hAnsi="Times New Roman"/>
          <w:sz w:val="20"/>
        </w:rPr>
        <w:t xml:space="preserve"> </w:t>
      </w:r>
      <w:r>
        <w:rPr>
          <w:rFonts w:ascii="Times New Roman;serif" w:hAnsi="Times New Roman;serif"/>
          <w:b w:val="false"/>
          <w:sz w:val="20"/>
        </w:rPr>
        <w:t>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vesting criteria for restricted stock awards and restricted stock units is generally the passage of time or meeting certain performance-based objectives, and continued employment through the vesting period, which is generally four years</w:t>
      </w:r>
      <w:r>
        <w:rPr>
          <w:rFonts w:ascii="Times New Roman" w:hAnsi="Times New Roman"/>
          <w:sz w:val="20"/>
        </w:rPr>
        <w:t xml:space="preserve"> </w:t>
      </w:r>
      <w:r>
        <w:rPr>
          <w:rFonts w:ascii="Times New Roman;serif" w:hAnsi="Times New Roman;serif"/>
          <w:b w:val="false"/>
          <w:sz w:val="20"/>
        </w:rPr>
        <w:t>for time-based awards.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Assumed Plans</w:t>
      </w:r>
    </w:p>
    <w:p>
      <w:pPr>
        <w:pStyle w:val="TextBody"/>
        <w:bidi w:val="0"/>
        <w:spacing w:before="240" w:after="0"/>
        <w:jc w:val="left"/>
        <w:rPr>
          <w:rFonts w:ascii="Times New Roman" w:hAnsi="Times New Roman"/>
          <w:sz w:val="20"/>
        </w:rPr>
      </w:pPr>
      <w:r>
        <w:rPr>
          <w:rFonts w:ascii="Times New Roman;serif" w:hAnsi="Times New Roman;serif"/>
          <w:b w:val="false"/>
          <w:sz w:val="20"/>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w:t>
      </w:r>
      <w:r>
        <w:rPr>
          <w:rFonts w:ascii="Times New Roman" w:hAnsi="Times New Roman"/>
          <w:sz w:val="20"/>
        </w:rPr>
        <w:t xml:space="preserve"> </w:t>
      </w:r>
      <w:r>
        <w:rPr>
          <w:rFonts w:ascii="Times New Roman;serif" w:hAnsi="Times New Roman;serif"/>
          <w:b w:val="false"/>
          <w:sz w:val="20"/>
        </w:rPr>
        <w:t>and a contractual term of seven years. Awards of restricted stock and restricted stock units assumed from the Assumed Plans are generally subject to a four year</w:t>
      </w:r>
      <w:r>
        <w:rPr>
          <w:rFonts w:ascii="Times New Roman" w:hAnsi="Times New Roman"/>
          <w:sz w:val="20"/>
        </w:rPr>
        <w:t xml:space="preserve"> </w:t>
      </w:r>
      <w:r>
        <w:rPr>
          <w:rFonts w:ascii="Times New Roman;serif" w:hAnsi="Times New Roman;serif"/>
          <w:b w:val="false"/>
          <w:sz w:val="20"/>
        </w:rPr>
        <w:t>vesting period. The number of shares subject to stock options and restricted stock units outstanding under these plans are included in the tables below. Shares reserved under the Assumed Plans will be available for future grants.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there were 2.8</w:t>
      </w:r>
      <w:r>
        <w:rPr>
          <w:rFonts w:ascii="Times New Roman" w:hAnsi="Times New Roman"/>
          <w:sz w:val="20"/>
        </w:rPr>
        <w:t xml:space="preserve"> </w:t>
      </w:r>
      <w:r>
        <w:rPr>
          <w:rFonts w:ascii="Times New Roman;serif" w:hAnsi="Times New Roman;serif"/>
          <w:b w:val="false"/>
          <w:sz w:val="20"/>
        </w:rPr>
        <w:t>million shares reserved for future grants under both the 2020 EIP and the Assumed Plans.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summary of the stock option activity is presented below (in thousands, except per share amounts):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5740" w:type="dxa"/>
        <w:jc w:val="left"/>
        <w:tblInd w:w="0" w:type="dxa"/>
        <w:tblLayout w:type="fixed"/>
        <w:tblCellMar>
          <w:top w:w="28" w:type="dxa"/>
          <w:left w:w="28" w:type="dxa"/>
          <w:bottom w:w="28" w:type="dxa"/>
          <w:right w:w="28" w:type="dxa"/>
        </w:tblCellMar>
      </w:tblPr>
      <w:tblGrid>
        <w:gridCol w:w="3136"/>
        <w:gridCol w:w="146"/>
        <w:gridCol w:w="257"/>
        <w:gridCol w:w="748"/>
        <w:gridCol w:w="184"/>
        <w:gridCol w:w="162"/>
        <w:gridCol w:w="247"/>
        <w:gridCol w:w="669"/>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Options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Shares</w:t>
              <w:br/>
              <w:t>Subject</w:t>
              <w:br/>
              <w:t>to Options</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Exercise</w:t>
              <w:br/>
              <w:t>Price Per</w:t>
              <w:br/>
              <w:t>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84"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13.06</w:t>
            </w:r>
          </w:p>
        </w:tc>
        <w:tc>
          <w:tcPr>
            <w:tcW w:w="19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pPr>
            <w:r>
              <w:rPr/>
              <w:t>—</w:t>
            </w:r>
          </w:p>
        </w:tc>
        <w:tc>
          <w:tcPr>
            <w:tcW w:w="184"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9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canceled / forfeited / expired</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w:t>
            </w:r>
          </w:p>
        </w:tc>
        <w:tc>
          <w:tcPr>
            <w:tcW w:w="19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Restricted Stock Units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Information with respect to outstanding restricted stock units (including both time-based vesting and performance-based vesting) as of June 30, 2023 is as follows (in thousands, except per share amounts):</w:t>
      </w:r>
    </w:p>
    <w:p>
      <w:pPr>
        <w:pStyle w:val="TextBody"/>
        <w:bidi w:val="0"/>
        <w:spacing w:before="0" w:after="0"/>
        <w:jc w:val="left"/>
        <w:rPr/>
      </w:pPr>
      <w:r>
        <w:rPr/>
        <w:t> </w:t>
      </w:r>
    </w:p>
    <w:tbl>
      <w:tblPr>
        <w:tblW w:w="8664" w:type="dxa"/>
        <w:jc w:val="left"/>
        <w:tblInd w:w="0" w:type="dxa"/>
        <w:tblLayout w:type="fixed"/>
        <w:tblCellMar>
          <w:top w:w="28" w:type="dxa"/>
          <w:left w:w="28" w:type="dxa"/>
          <w:bottom w:w="28" w:type="dxa"/>
          <w:right w:w="28" w:type="dxa"/>
        </w:tblCellMar>
      </w:tblPr>
      <w:tblGrid>
        <w:gridCol w:w="3121"/>
        <w:gridCol w:w="146"/>
        <w:gridCol w:w="222"/>
        <w:gridCol w:w="963"/>
        <w:gridCol w:w="166"/>
        <w:gridCol w:w="146"/>
        <w:gridCol w:w="241"/>
        <w:gridCol w:w="944"/>
        <w:gridCol w:w="146"/>
        <w:gridCol w:w="146"/>
        <w:gridCol w:w="168"/>
        <w:gridCol w:w="777"/>
        <w:gridCol w:w="166"/>
        <w:gridCol w:w="146"/>
        <w:gridCol w:w="262"/>
        <w:gridCol w:w="713"/>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0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Restricted Stock and Restricted Stock Units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w:t>
              <w:br/>
              <w:t>Shares</w:t>
              <w:br/>
              <w:t>Subject to</w:t>
              <w:br/>
              <w:t>Time-</w:t>
              <w:br/>
              <w:t>based Vesting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w:t>
              <w:br/>
              <w:t>Shares</w:t>
              <w:br/>
              <w:t>Subject to</w:t>
              <w:br/>
              <w:t>Performance-</w:t>
              <w:br/>
              <w:t>based Vesting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w:t>
              <w:br/>
              <w:t>Average</w:t>
              <w:br/>
              <w:t>Grant Date</w:t>
              <w:br/>
              <w:t>Fair Value</w:t>
              <w:br/>
              <w:t>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granted</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vested / earned</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canceled / forfeited</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Performance Awards and Units</w:t>
      </w:r>
    </w:p>
    <w:p>
      <w:pPr>
        <w:pStyle w:val="TextBody"/>
        <w:bidi w:val="0"/>
        <w:spacing w:before="240" w:after="0"/>
        <w:jc w:val="left"/>
        <w:rPr>
          <w:rFonts w:ascii="Times New Roman" w:hAnsi="Times New Roman"/>
          <w:sz w:val="20"/>
        </w:rPr>
      </w:pPr>
      <w:r>
        <w:rPr>
          <w:rFonts w:ascii="Times New Roman;serif" w:hAnsi="Times New Roman;serif"/>
          <w:b w:val="false"/>
          <w:sz w:val="20"/>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w:t>
      </w:r>
      <w:r>
        <w:rPr>
          <w:rFonts w:ascii="Times New Roman" w:hAnsi="Times New Roman"/>
          <w:sz w:val="20"/>
        </w:rPr>
        <w:t xml:space="preserve"> </w:t>
      </w:r>
      <w:r>
        <w:rPr>
          <w:rFonts w:ascii="Times New Roman;serif" w:hAnsi="Times New Roman;serif"/>
          <w:b w:val="false"/>
          <w:sz w:val="20"/>
        </w:rPr>
        <w:t>to 200</w:t>
      </w:r>
      <w:r>
        <w:rPr>
          <w:rFonts w:ascii="Times New Roman" w:hAnsi="Times New Roman"/>
          <w:sz w:val="20"/>
        </w:rPr>
        <w:t xml:space="preserve"> </w:t>
      </w:r>
      <w:r>
        <w:rPr>
          <w:rFonts w:ascii="Times New Roman;serif" w:hAnsi="Times New Roman;serif"/>
          <w:b w:val="false"/>
          <w:sz w:val="20"/>
        </w:rPr>
        <w:t>percent of the grant.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Employee Stock Purchase Plans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bidi w:val="0"/>
        <w:spacing w:before="240" w:after="0"/>
        <w:jc w:val="left"/>
        <w:rPr>
          <w:rFonts w:ascii="Times New Roman" w:hAnsi="Times New Roman"/>
          <w:sz w:val="20"/>
        </w:rPr>
      </w:pPr>
      <w:r>
        <w:rPr>
          <w:rFonts w:ascii="Times New Roman;serif" w:hAnsi="Times New Roman;serif"/>
          <w:b w:val="false"/>
          <w:sz w:val="20"/>
        </w:rPr>
        <w:t>An eligible employee’s right to buy the Company’s common stock under the 2020 ESPP may not accrue at a rate in excess of $25,000</w:t>
      </w:r>
      <w:r>
        <w:rPr>
          <w:rFonts w:ascii="Times New Roman" w:hAnsi="Times New Roman"/>
          <w:sz w:val="20"/>
        </w:rPr>
        <w:t xml:space="preserve"> </w:t>
      </w:r>
      <w:r>
        <w:rPr>
          <w:rFonts w:ascii="Times New Roman;serif" w:hAnsi="Times New Roman;serif"/>
          <w:b w:val="false"/>
          <w:sz w:val="20"/>
        </w:rPr>
        <w:t>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 Due to the fair market value per share of Company’s common stock on May 31, 2023 as compared to the fair market value per share on December 1, 2022, the offering period was automatically terminated and a new 24-month offering period began on June 1, 2023 and will end on May 31,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At the 2022 Annual Stockholders Meeting on April 29, 2022, the Company's shareholders approved an amendment to the 2020 ESPP and increased by 6.0</w:t>
      </w:r>
      <w:r>
        <w:rPr>
          <w:rFonts w:ascii="Times New Roman" w:hAnsi="Times New Roman"/>
          <w:sz w:val="20"/>
        </w:rPr>
        <w:t xml:space="preserve"> </w:t>
      </w:r>
      <w:r>
        <w:rPr>
          <w:rFonts w:ascii="Times New Roman;serif" w:hAnsi="Times New Roman;serif"/>
          <w:b w:val="false"/>
          <w:sz w:val="20"/>
        </w:rPr>
        <w:t>million the number of shares reserved for issuance. As of June 30, 2023, there were 5.4</w:t>
      </w:r>
      <w:r>
        <w:rPr>
          <w:rFonts w:ascii="Times New Roman" w:hAnsi="Times New Roman"/>
          <w:sz w:val="20"/>
        </w:rPr>
        <w:t xml:space="preserve"> </w:t>
      </w:r>
      <w:r>
        <w:rPr>
          <w:rFonts w:ascii="Times New Roman;serif" w:hAnsi="Times New Roman;serif"/>
          <w:b w:val="false"/>
          <w:sz w:val="20"/>
        </w:rPr>
        <w:t>million shares reserved for grant under the Company’s 2020 ESPP.</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Modification of Equity Awards</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Dividends</w:t>
      </w:r>
    </w:p>
    <w:p>
      <w:pPr>
        <w:pStyle w:val="TextBody"/>
        <w:bidi w:val="0"/>
        <w:spacing w:before="240" w:after="0"/>
        <w:jc w:val="left"/>
        <w:rPr>
          <w:rFonts w:ascii="Times New Roman" w:hAnsi="Times New Roman"/>
          <w:sz w:val="20"/>
        </w:rPr>
      </w:pPr>
      <w:r>
        <w:rPr>
          <w:rFonts w:ascii="Times New Roman;serif" w:hAnsi="Times New Roman;serif"/>
          <w:b w:val="false"/>
          <w:sz w:val="20"/>
        </w:rPr>
        <w:t>Stockholders of the Company’s common stock are entitled to receive dividends when declared by the Company’s board of directors (the “Board”). During the three and six months ended June 30, 2023 and 2022, quarterly dividends declared were $0.05</w:t>
      </w:r>
      <w:r>
        <w:rPr>
          <w:rFonts w:ascii="Times New Roman" w:hAnsi="Times New Roman"/>
          <w:sz w:val="20"/>
        </w:rPr>
        <w:t xml:space="preserve"> </w:t>
      </w:r>
      <w:r>
        <w:rPr>
          <w:rFonts w:ascii="Times New Roman;serif" w:hAnsi="Times New Roman;serif"/>
          <w:b w:val="false"/>
          <w:sz w:val="20"/>
        </w:rPr>
        <w:t>and $0.10</w:t>
      </w:r>
      <w:r>
        <w:rPr>
          <w:rFonts w:ascii="Times New Roman" w:hAnsi="Times New Roman"/>
          <w:sz w:val="20"/>
        </w:rPr>
        <w:t xml:space="preserve"> </w:t>
      </w:r>
      <w:r>
        <w:rPr>
          <w:rFonts w:ascii="Times New Roman;serif" w:hAnsi="Times New Roman;serif"/>
          <w:b w:val="false"/>
          <w:sz w:val="20"/>
        </w:rPr>
        <w:t>per common share, respectively. The capacity to pay dividends in the future depends on many factors, including the Company’s financial condition, results of operations, capital requirements, capital structure, industry practice and other business conditions that the Board considers relevant.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Stock Repurchase Programs</w:t>
      </w:r>
    </w:p>
    <w:p>
      <w:pPr>
        <w:pStyle w:val="TextBody"/>
        <w:bidi w:val="0"/>
        <w:spacing w:before="240" w:after="0"/>
        <w:jc w:val="left"/>
        <w:rPr>
          <w:rFonts w:ascii="Times New Roman" w:hAnsi="Times New Roman"/>
          <w:sz w:val="20"/>
        </w:rPr>
      </w:pPr>
      <w:r>
        <w:rPr>
          <w:rFonts w:ascii="Times New Roman;serif" w:hAnsi="Times New Roman;serif"/>
          <w:b w:val="false"/>
          <w:sz w:val="20"/>
        </w:rPr>
        <w:t>On June 12, 2020 the Board authorized a stock repurchase program providing for the repurchase of up to $150.0</w:t>
      </w:r>
      <w:r>
        <w:rPr>
          <w:rFonts w:ascii="Times New Roman" w:hAnsi="Times New Roman"/>
          <w:sz w:val="20"/>
        </w:rPr>
        <w:t xml:space="preserve"> </w:t>
      </w:r>
      <w:r>
        <w:rPr>
          <w:rFonts w:ascii="Times New Roman;serif" w:hAnsi="Times New Roman;serif"/>
          <w:b w:val="false"/>
          <w:sz w:val="20"/>
        </w:rPr>
        <w:t>million of the Company's Common Stock dependent on market conditions, share prices and other factors. On April 22, 2021, the Board authorized an additional $100.0</w:t>
      </w:r>
      <w:r>
        <w:rPr>
          <w:rFonts w:ascii="Times New Roman" w:hAnsi="Times New Roman"/>
          <w:sz w:val="20"/>
        </w:rPr>
        <w:t xml:space="preserve"> </w:t>
      </w:r>
      <w:r>
        <w:rPr>
          <w:rFonts w:ascii="Times New Roman;serif" w:hAnsi="Times New Roman;serif"/>
          <w:b w:val="false"/>
          <w:sz w:val="20"/>
        </w:rPr>
        <w:t>million of purchases under the existing stock repurchase plan.</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Company had repurchased a total of approximately 10.0</w:t>
      </w:r>
      <w:r>
        <w:rPr>
          <w:rFonts w:ascii="Times New Roman" w:hAnsi="Times New Roman"/>
          <w:sz w:val="20"/>
        </w:rPr>
        <w:t xml:space="preserve"> </w:t>
      </w:r>
      <w:r>
        <w:rPr>
          <w:rFonts w:ascii="Times New Roman;serif" w:hAnsi="Times New Roman;serif"/>
          <w:b w:val="false"/>
          <w:sz w:val="20"/>
        </w:rPr>
        <w:t>million shares of common stock, since inception of the plan, at an average price of $17.24</w:t>
      </w:r>
      <w:r>
        <w:rPr>
          <w:rFonts w:ascii="Times New Roman" w:hAnsi="Times New Roman"/>
          <w:sz w:val="20"/>
        </w:rPr>
        <w:t xml:space="preserve"> </w:t>
      </w:r>
      <w:r>
        <w:rPr>
          <w:rFonts w:ascii="Times New Roman;serif" w:hAnsi="Times New Roman;serif"/>
          <w:b w:val="false"/>
          <w:sz w:val="20"/>
        </w:rPr>
        <w:t>per share for a total cost of $172.2</w:t>
      </w:r>
      <w:r>
        <w:rPr>
          <w:rFonts w:ascii="Times New Roman" w:hAnsi="Times New Roman"/>
          <w:sz w:val="20"/>
        </w:rPr>
        <w:t xml:space="preserve"> </w:t>
      </w:r>
      <w:r>
        <w:rPr>
          <w:rFonts w:ascii="Times New Roman;serif" w:hAnsi="Times New Roman;serif"/>
          <w:b w:val="false"/>
          <w:sz w:val="20"/>
        </w:rPr>
        <w:t>million. The shares repurchased are recorded as treasury stock and are accounted for under the cost method.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 expiration date has been specified for this plan. As of June 30, 2023, the total remaining amount available for repurchase under this plan was $77.8</w:t>
      </w:r>
      <w:r>
        <w:rPr>
          <w:rFonts w:ascii="Times New Roman" w:hAnsi="Times New Roman"/>
          <w:sz w:val="20"/>
        </w:rPr>
        <w:t xml:space="preserve"> </w:t>
      </w:r>
      <w:r>
        <w:rPr>
          <w:rFonts w:ascii="Times New Roman;serif" w:hAnsi="Times New Roman;serif"/>
          <w:b w:val="false"/>
          <w:sz w:val="20"/>
        </w:rPr>
        <w:t>million. The Company may execute authorized repurchases from time to time under the plan.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stock repurchase program, all shares repurchased by the Company as of June 1, 2020 and recorded as treasury stock were canceled and retired. 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During the three months ended June 30, 2023 and 2022, the Company withheld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shares of common stock to satisfy $0.9</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of required withholding taxes, respectively. During the six months ended June 30, 2023 and 2022, the Company withheld 0.8</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shares of common stock to satisfy $7.5</w:t>
      </w:r>
      <w:r>
        <w:rPr>
          <w:rFonts w:ascii="Times New Roman" w:hAnsi="Times New Roman"/>
          <w:sz w:val="20"/>
        </w:rPr>
        <w:t xml:space="preserve"> </w:t>
      </w:r>
      <w:r>
        <w:rPr>
          <w:rFonts w:ascii="Times New Roman;serif" w:hAnsi="Times New Roman;serif"/>
          <w:b w:val="false"/>
          <w:sz w:val="20"/>
        </w:rPr>
        <w:t>million and $11.5</w:t>
      </w:r>
      <w:r>
        <w:rPr>
          <w:rFonts w:ascii="Times New Roman" w:hAnsi="Times New Roman"/>
          <w:sz w:val="20"/>
        </w:rPr>
        <w:t xml:space="preserve"> </w:t>
      </w:r>
      <w:r>
        <w:rPr>
          <w:rFonts w:ascii="Times New Roman;serif" w:hAnsi="Times New Roman;serif"/>
          <w:b w:val="false"/>
          <w:sz w:val="20"/>
        </w:rPr>
        <w:t>million of required withholding taxes, respectively.</w:t>
      </w:r>
    </w:p>
    <w:p>
      <w:pPr>
        <w:pStyle w:val="TextBody"/>
        <w:bidi w:val="0"/>
        <w:spacing w:before="240" w:after="0"/>
        <w:jc w:val="left"/>
        <w:rPr>
          <w:rFonts w:ascii="Times New Roman;serif" w:hAnsi="Times New Roman;serif"/>
          <w:b/>
          <w:sz w:val="20"/>
        </w:rPr>
      </w:pPr>
      <w:r>
        <w:rPr>
          <w:rFonts w:ascii="Times New Roman;serif" w:hAnsi="Times New Roman;serif"/>
          <w:b/>
          <w:sz w:val="20"/>
        </w:rPr>
        <w:t>NOTE 12 – STOCK-BASED COMPENSATION EXPENSE</w:t>
      </w:r>
    </w:p>
    <w:p>
      <w:pPr>
        <w:pStyle w:val="TextBody"/>
        <w:bidi w:val="0"/>
        <w:spacing w:before="240" w:after="0"/>
        <w:jc w:val="left"/>
        <w:rPr>
          <w:rFonts w:ascii="Times New Roman" w:hAnsi="Times New Roman"/>
          <w:sz w:val="20"/>
        </w:rPr>
      </w:pPr>
      <w:r>
        <w:rPr>
          <w:rFonts w:ascii="Times New Roman;serif" w:hAnsi="Times New Roman;serif"/>
          <w:b w:val="false"/>
          <w:sz w:val="20"/>
        </w:rPr>
        <w:t>The effect of recording stock-based compensation (“SBC”) expense for the three and six months ended June 30, 2023 and 2022 is as follows (in thousands):</w:t>
      </w:r>
      <w:r>
        <w:rPr>
          <w:rFonts w:ascii="Times New Roman" w:hAnsi="Times New Roman"/>
          <w:sz w:val="20"/>
        </w:rPr>
        <w:t xml:space="preserve"> </w:t>
      </w:r>
    </w:p>
    <w:p>
      <w:pPr>
        <w:pStyle w:val="TextBody"/>
        <w:bidi w:val="0"/>
        <w:spacing w:before="0" w:after="0"/>
        <w:jc w:val="left"/>
        <w:rPr/>
      </w:pPr>
      <w:r>
        <w:rPr/>
        <w:t> </w:t>
      </w:r>
    </w:p>
    <w:tbl>
      <w:tblPr>
        <w:tblW w:w="7915" w:type="dxa"/>
        <w:jc w:val="left"/>
        <w:tblInd w:w="0" w:type="dxa"/>
        <w:tblLayout w:type="fixed"/>
        <w:tblCellMar>
          <w:top w:w="28" w:type="dxa"/>
          <w:left w:w="28" w:type="dxa"/>
          <w:bottom w:w="28" w:type="dxa"/>
          <w:right w:w="28" w:type="dxa"/>
        </w:tblCellMar>
      </w:tblPr>
      <w:tblGrid>
        <w:gridCol w:w="3451"/>
        <w:gridCol w:w="146"/>
        <w:gridCol w:w="213"/>
        <w:gridCol w:w="577"/>
        <w:gridCol w:w="147"/>
        <w:gridCol w:w="147"/>
        <w:gridCol w:w="213"/>
        <w:gridCol w:w="577"/>
        <w:gridCol w:w="146"/>
        <w:gridCol w:w="146"/>
        <w:gridCol w:w="211"/>
        <w:gridCol w:w="571"/>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3,820</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4,556</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termination of employment with a former executive on March 1, 2022, the Company entered into a Separation Agreement and Release with the executive, dated February 18, 2022 (the “Separation Agreement”). Pursuant to the Separation Agreement, the Company approved, among other severance benefits, accelerated vesting of 372,244</w:t>
      </w:r>
      <w:r>
        <w:rPr>
          <w:rFonts w:ascii="Times New Roman" w:hAnsi="Times New Roman"/>
          <w:sz w:val="20"/>
        </w:rPr>
        <w:t xml:space="preserve"> </w:t>
      </w:r>
      <w:r>
        <w:rPr>
          <w:rFonts w:ascii="Times New Roman;serif" w:hAnsi="Times New Roman;serif"/>
          <w:b w:val="false"/>
          <w:sz w:val="20"/>
        </w:rPr>
        <w:t>of outstanding performance and time-based restricted stock units. As a result of this modification, the Company recorded incremental SBC of approximately $2.2</w:t>
      </w:r>
      <w:r>
        <w:rPr>
          <w:rFonts w:ascii="Times New Roman" w:hAnsi="Times New Roman"/>
          <w:sz w:val="20"/>
        </w:rPr>
        <w:t xml:space="preserve"> </w:t>
      </w:r>
      <w:r>
        <w:rPr>
          <w:rFonts w:ascii="Times New Roman;serif" w:hAnsi="Times New Roman;serif"/>
          <w:b w:val="false"/>
          <w:sz w:val="20"/>
        </w:rPr>
        <w:t>million during the six months ended June 30,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options granted during the three and six months ended June 30, 2023 and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00"/>
        <w:jc w:val="left"/>
        <w:rPr>
          <w:rFonts w:ascii="Times New Roman;serif" w:hAnsi="Times New Roman;serif"/>
          <w:b w:val="false"/>
          <w:sz w:val="20"/>
        </w:rPr>
      </w:pPr>
      <w:r>
        <w:rPr>
          <w:rFonts w:ascii="Times New Roman;serif" w:hAnsi="Times New Roman;serif"/>
          <w:b w:val="false"/>
          <w:sz w:val="20"/>
        </w:rPr>
        <w:t>The following assumptions were used to value the restricted stock units subject to market conditions granted in the following months during the three and six months ended June 30, 2023 and 2022:</w:t>
      </w:r>
    </w:p>
    <w:tbl>
      <w:tblPr>
        <w:tblW w:w="7854" w:type="dxa"/>
        <w:jc w:val="left"/>
        <w:tblInd w:w="0" w:type="dxa"/>
        <w:tblLayout w:type="fixed"/>
        <w:tblCellMar>
          <w:top w:w="28" w:type="dxa"/>
          <w:left w:w="28" w:type="dxa"/>
          <w:bottom w:w="28" w:type="dxa"/>
          <w:right w:w="28" w:type="dxa"/>
        </w:tblCellMar>
      </w:tblPr>
      <w:tblGrid>
        <w:gridCol w:w="1846"/>
        <w:gridCol w:w="146"/>
        <w:gridCol w:w="229"/>
        <w:gridCol w:w="731"/>
        <w:gridCol w:w="371"/>
        <w:gridCol w:w="146"/>
        <w:gridCol w:w="271"/>
        <w:gridCol w:w="869"/>
        <w:gridCol w:w="271"/>
        <w:gridCol w:w="146"/>
        <w:gridCol w:w="232"/>
        <w:gridCol w:w="743"/>
        <w:gridCol w:w="271"/>
        <w:gridCol w:w="146"/>
        <w:gridCol w:w="243"/>
        <w:gridCol w:w="777"/>
        <w:gridCol w:w="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May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April 2022</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18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71"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16" w:type="dxa"/>
            <w:tcBorders/>
            <w:vAlign w:val="center"/>
          </w:tcPr>
          <w:p>
            <w:pPr>
              <w:pStyle w:val="TableContents"/>
              <w:bidi w:val="0"/>
              <w:spacing w:before="0" w:after="0"/>
              <w:ind w:left="0" w:right="0" w:firstLine="100"/>
              <w:jc w:val="left"/>
              <w:rPr/>
            </w:pPr>
            <w:r>
              <w:rPr/>
              <w:t> </w:t>
            </w:r>
          </w:p>
        </w:tc>
      </w:tr>
      <w:tr>
        <w:trPr/>
        <w:tc>
          <w:tcPr>
            <w:tcW w:w="18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 xml:space="preserve">Prior to the Separation, ESPP grants occurred in March and September. Due to the Separation, the offering period under the 2020 ESPP plan commenced on December 1, 2022, and due to the fair value of the Company’s common stock on May 31, 2023 as compared to December 1, 2022, a new offering period commenced on June 1, 2023. ESPP grants occurs in June and December, as discussed in “Note 11 </w:t>
      </w:r>
      <w:r>
        <w:rPr>
          <w:rFonts w:ascii="Times New Roman" w:hAnsi="Times New Roman"/>
          <w:sz w:val="20"/>
        </w:rPr>
        <w:t xml:space="preserve">– </w:t>
      </w:r>
      <w:r>
        <w:rPr>
          <w:rFonts w:ascii="Times New Roman;serif" w:hAnsi="Times New Roman;serif"/>
          <w:b w:val="false"/>
          <w:i/>
          <w:sz w:val="20"/>
        </w:rPr>
        <w:t>Stockholders’ Equity.</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assumptions were used to value the ESPP shares for these grants:</w:t>
      </w:r>
    </w:p>
    <w:p>
      <w:pPr>
        <w:pStyle w:val="TextBody"/>
        <w:bidi w:val="0"/>
        <w:spacing w:before="0" w:after="0"/>
        <w:jc w:val="left"/>
        <w:rPr/>
      </w:pPr>
      <w:r>
        <w:rPr/>
        <w:t> </w:t>
      </w:r>
    </w:p>
    <w:tbl>
      <w:tblPr>
        <w:tblW w:w="4840" w:type="dxa"/>
        <w:jc w:val="left"/>
        <w:tblInd w:w="0" w:type="dxa"/>
        <w:tblLayout w:type="fixed"/>
        <w:tblCellMar>
          <w:top w:w="28" w:type="dxa"/>
          <w:left w:w="28" w:type="dxa"/>
          <w:bottom w:w="28" w:type="dxa"/>
          <w:right w:w="28" w:type="dxa"/>
        </w:tblCellMar>
      </w:tblPr>
      <w:tblGrid>
        <w:gridCol w:w="1846"/>
        <w:gridCol w:w="146"/>
        <w:gridCol w:w="232"/>
        <w:gridCol w:w="743"/>
        <w:gridCol w:w="271"/>
        <w:gridCol w:w="146"/>
        <w:gridCol w:w="271"/>
        <w:gridCol w:w="86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NOTE 13 – INCOME TAXES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income tax provision and effective tax rate for interim periods are based on its estimated annual effective tax rate adjusted for discrete items during the period. For the three and six months ended June 30, 2023, the Company recorded income tax expense of $2.4</w:t>
      </w:r>
      <w:r>
        <w:rPr>
          <w:rFonts w:ascii="Times New Roman" w:hAnsi="Times New Roman"/>
          <w:sz w:val="20"/>
        </w:rPr>
        <w:t xml:space="preserve"> </w:t>
      </w:r>
      <w:r>
        <w:rPr>
          <w:rFonts w:ascii="Times New Roman;serif" w:hAnsi="Times New Roman;serif"/>
          <w:b w:val="false"/>
          <w:sz w:val="20"/>
        </w:rPr>
        <w:t>million and $14.2</w:t>
      </w:r>
      <w:r>
        <w:rPr>
          <w:rFonts w:ascii="Times New Roman" w:hAnsi="Times New Roman"/>
          <w:sz w:val="20"/>
        </w:rPr>
        <w:t xml:space="preserve"> </w:t>
      </w:r>
      <w:r>
        <w:rPr>
          <w:rFonts w:ascii="Times New Roman;serif" w:hAnsi="Times New Roman;serif"/>
          <w:b w:val="false"/>
          <w:sz w:val="20"/>
        </w:rPr>
        <w:t>million, respectively. For the three and six months ended June 30, 2022, the Company recorded income tax expense of $10.6</w:t>
      </w:r>
      <w:r>
        <w:rPr>
          <w:rFonts w:ascii="Times New Roman" w:hAnsi="Times New Roman"/>
          <w:sz w:val="20"/>
        </w:rPr>
        <w:t xml:space="preserve"> </w:t>
      </w:r>
      <w:r>
        <w:rPr>
          <w:rFonts w:ascii="Times New Roman;serif" w:hAnsi="Times New Roman;serif"/>
          <w:b w:val="false"/>
          <w:sz w:val="20"/>
        </w:rPr>
        <w:t>million and $16.1</w:t>
      </w:r>
      <w:r>
        <w:rPr>
          <w:rFonts w:ascii="Times New Roman" w:hAnsi="Times New Roman"/>
          <w:sz w:val="20"/>
        </w:rPr>
        <w:t xml:space="preserve"> </w:t>
      </w:r>
      <w:r>
        <w:rPr>
          <w:rFonts w:ascii="Times New Roman;serif" w:hAnsi="Times New Roman;serif"/>
          <w:b w:val="false"/>
          <w:sz w:val="20"/>
        </w:rPr>
        <w:t>million, respectively. The effective tax rate varies from the 21% U.S. federal tax rate primarily due to foreign exchange gain or loss on prior year South Korea withholding tax refund claims. The decrease in income tax expense for the three and six months ended June 30, 2023, as compared to the same period in the prior year was primarily due to a decrease in pretax income.</w:t>
      </w:r>
    </w:p>
    <w:p>
      <w:pPr>
        <w:pStyle w:val="TextBody"/>
        <w:bidi w:val="0"/>
        <w:spacing w:before="240" w:after="0"/>
        <w:jc w:val="left"/>
        <w:rPr>
          <w:rFonts w:ascii="Times New Roman" w:hAnsi="Times New Roman"/>
          <w:sz w:val="20"/>
        </w:rPr>
      </w:pPr>
      <w:r>
        <w:rPr>
          <w:rFonts w:ascii="Times New Roman;serif" w:hAnsi="Times New Roman;serif"/>
          <w:b/>
          <w:sz w:val="20"/>
        </w:rPr>
        <w:t>NOTE 14 –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leases office and research facilities and office equipment under operating leases which expire through 2027. The Company’s leases have remaining lease terms of two</w:t>
      </w:r>
      <w:r>
        <w:rPr>
          <w:rFonts w:ascii="Times New Roman;serif" w:hAnsi="Times New Roman;serif"/>
          <w:sz w:val="20"/>
        </w:rPr>
        <w:t xml:space="preserve"> </w:t>
      </w:r>
      <w:r>
        <w:rPr>
          <w:rFonts w:ascii="Times New Roman;serif" w:hAnsi="Times New Roman;serif"/>
          <w:b w:val="false"/>
          <w:sz w:val="20"/>
        </w:rPr>
        <w:t>to four years, some of which may include options to extend</w:t>
      </w:r>
      <w:r>
        <w:rPr>
          <w:rFonts w:ascii="Times New Roman;serif" w:hAnsi="Times New Roman;serif"/>
          <w:sz w:val="20"/>
        </w:rPr>
        <w:t xml:space="preserve"> </w:t>
      </w:r>
      <w:r>
        <w:rPr>
          <w:rFonts w:ascii="Times New Roman;serif" w:hAnsi="Times New Roman;serif"/>
          <w:b w:val="false"/>
          <w:sz w:val="20"/>
        </w:rPr>
        <w:t>the leases for five years</w:t>
      </w:r>
      <w:r>
        <w:rPr>
          <w:rFonts w:ascii="Times New Roman;serif" w:hAnsi="Times New Roman;serif"/>
          <w:sz w:val="20"/>
        </w:rPr>
        <w:t xml:space="preserve"> </w:t>
      </w:r>
      <w:r>
        <w:rPr>
          <w:rFonts w:ascii="Times New Roman;serif" w:hAnsi="Times New Roman;serif"/>
          <w:b w:val="false"/>
          <w:sz w:val="20"/>
        </w:rPr>
        <w:t>or longer, and some of which may include options to terminate the leases within the next five years or less. Leases with an initial term of 12 months or less are not recorded on the Condensed Consolidated Balance Sheets;</w:t>
      </w:r>
      <w:r>
        <w:rPr>
          <w:rFonts w:ascii="Times New Roman" w:hAnsi="Times New Roman"/>
          <w:sz w:val="20"/>
        </w:rPr>
        <w:t xml:space="preserve"> </w:t>
      </w:r>
      <w:r>
        <w:rPr>
          <w:rFonts w:ascii="Times New Roman;serif" w:hAnsi="Times New Roman;serif"/>
          <w:b w:val="false"/>
          <w:sz w:val="20"/>
        </w:rPr>
        <w:t>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components of operating lease costs were as follows (in thousands):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6565" w:type="dxa"/>
        <w:jc w:val="left"/>
        <w:tblInd w:w="0" w:type="dxa"/>
        <w:tblLayout w:type="fixed"/>
        <w:tblCellMar>
          <w:top w:w="28" w:type="dxa"/>
          <w:left w:w="28" w:type="dxa"/>
          <w:bottom w:w="28" w:type="dxa"/>
          <w:right w:w="28" w:type="dxa"/>
        </w:tblCellMar>
      </w:tblPr>
      <w:tblGrid>
        <w:gridCol w:w="2206"/>
        <w:gridCol w:w="146"/>
        <w:gridCol w:w="254"/>
        <w:gridCol w:w="507"/>
        <w:gridCol w:w="176"/>
        <w:gridCol w:w="176"/>
        <w:gridCol w:w="254"/>
        <w:gridCol w:w="507"/>
        <w:gridCol w:w="146"/>
        <w:gridCol w:w="146"/>
        <w:gridCol w:w="211"/>
        <w:gridCol w:w="571"/>
        <w:gridCol w:w="146"/>
        <w:gridCol w:w="146"/>
        <w:gridCol w:w="211"/>
        <w:gridCol w:w="57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center"/>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Fixed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9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center"/>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cost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Other information related to leases was as follows (in thousands, except lease term and discount rate):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59"/>
        <w:gridCol w:w="146"/>
        <w:gridCol w:w="252"/>
        <w:gridCol w:w="503"/>
        <w:gridCol w:w="174"/>
        <w:gridCol w:w="174"/>
        <w:gridCol w:w="252"/>
        <w:gridCol w:w="503"/>
        <w:gridCol w:w="146"/>
        <w:gridCol w:w="146"/>
        <w:gridCol w:w="211"/>
        <w:gridCol w:w="571"/>
        <w:gridCol w:w="146"/>
        <w:gridCol w:w="146"/>
        <w:gridCol w:w="211"/>
        <w:gridCol w:w="571"/>
        <w:gridCol w:w="194"/>
      </w:tblGrid>
      <w:tr>
        <w:trPr/>
        <w:tc>
          <w:tcPr>
            <w:tcW w:w="5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8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5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paid for amounts included in the measurement of lease liabilities:</w:t>
            </w:r>
          </w:p>
        </w:tc>
        <w:tc>
          <w:tcPr>
            <w:tcW w:w="146" w:type="dxa"/>
            <w:tcBorders/>
            <w:vAlign w:val="center"/>
          </w:tcPr>
          <w:p>
            <w:pPr>
              <w:pStyle w:val="TableContents"/>
              <w:bidi w:val="0"/>
              <w:spacing w:before="0" w:after="0"/>
              <w:ind w:left="0" w:right="0" w:hanging="0"/>
              <w:jc w:val="left"/>
              <w:rPr/>
            </w:pPr>
            <w:r>
              <w:rPr/>
              <w:t> </w:t>
            </w:r>
          </w:p>
        </w:tc>
        <w:tc>
          <w:tcPr>
            <w:tcW w:w="755" w:type="dxa"/>
            <w:gridSpan w:val="2"/>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right"/>
              <w:rPr/>
            </w:pPr>
            <w:r>
              <w:rPr/>
              <w:t> </w:t>
            </w:r>
          </w:p>
        </w:tc>
        <w:tc>
          <w:tcPr>
            <w:tcW w:w="7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58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righ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5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ROU assets obtained in exchange for new lease liabilities:</w:t>
            </w:r>
          </w:p>
        </w:tc>
        <w:tc>
          <w:tcPr>
            <w:tcW w:w="146" w:type="dxa"/>
            <w:tcBorders/>
            <w:vAlign w:val="center"/>
          </w:tcPr>
          <w:p>
            <w:pPr>
              <w:pStyle w:val="TableContents"/>
              <w:bidi w:val="0"/>
              <w:spacing w:before="0" w:after="0"/>
              <w:ind w:left="0" w:right="0" w:hanging="0"/>
              <w:jc w:val="left"/>
              <w:rPr/>
            </w:pPr>
            <w:r>
              <w:rPr/>
              <w:t> </w:t>
            </w:r>
          </w:p>
        </w:tc>
        <w:tc>
          <w:tcPr>
            <w:tcW w:w="755" w:type="dxa"/>
            <w:gridSpan w:val="2"/>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7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58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8095" w:type="dxa"/>
        <w:jc w:val="left"/>
        <w:tblInd w:w="0" w:type="dxa"/>
        <w:tblLayout w:type="fixed"/>
        <w:tblCellMar>
          <w:top w:w="28" w:type="dxa"/>
          <w:left w:w="28" w:type="dxa"/>
          <w:bottom w:w="28" w:type="dxa"/>
          <w:right w:w="28" w:type="dxa"/>
        </w:tblCellMar>
      </w:tblPr>
      <w:tblGrid>
        <w:gridCol w:w="4216"/>
        <w:gridCol w:w="146"/>
        <w:gridCol w:w="304"/>
        <w:gridCol w:w="971"/>
        <w:gridCol w:w="271"/>
        <w:gridCol w:w="146"/>
        <w:gridCol w:w="411"/>
        <w:gridCol w:w="1314"/>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Weighted-average remaining lease term (years):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Future minimum lease payments and related lease liabilities as of June 30, 2023 were as follows (in thousands):</w:t>
      </w:r>
    </w:p>
    <w:p>
      <w:pPr>
        <w:pStyle w:val="TextBody"/>
        <w:bidi w:val="0"/>
        <w:spacing w:before="0" w:after="0"/>
        <w:jc w:val="left"/>
        <w:rPr/>
      </w:pPr>
      <w:r>
        <w:rPr/>
        <w:t> </w:t>
      </w:r>
    </w:p>
    <w:tbl>
      <w:tblPr>
        <w:tblW w:w="7738" w:type="dxa"/>
        <w:jc w:val="left"/>
        <w:tblInd w:w="0" w:type="dxa"/>
        <w:tblLayout w:type="fixed"/>
        <w:tblCellMar>
          <w:top w:w="28" w:type="dxa"/>
          <w:left w:w="28" w:type="dxa"/>
          <w:bottom w:w="28" w:type="dxa"/>
          <w:right w:w="28" w:type="dxa"/>
        </w:tblCellMar>
      </w:tblPr>
      <w:tblGrid>
        <w:gridCol w:w="4786"/>
        <w:gridCol w:w="146"/>
        <w:gridCol w:w="699"/>
        <w:gridCol w:w="189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Operating Lease Payments </w:t>
            </w:r>
            <w:r>
              <w:rPr>
                <w:rFonts w:ascii="Times New Roman;serif" w:hAnsi="Times New Roman;serif"/>
                <w:b/>
                <w:sz w:val="13"/>
              </w:rPr>
              <w:t>(1)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w:t>
            </w:r>
          </w:p>
        </w:tc>
        <w:tc>
          <w:tcPr>
            <w:tcW w:w="21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 </w:t>
            </w:r>
          </w:p>
        </w:tc>
        <w:tc>
          <w:tcPr>
            <w:tcW w:w="1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21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 </w:t>
            </w:r>
          </w:p>
        </w:tc>
        <w:tc>
          <w:tcPr>
            <w:tcW w:w="1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1,975</w:t>
            </w:r>
          </w:p>
        </w:tc>
        <w:tc>
          <w:tcPr>
            <w:tcW w:w="21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 </w:t>
            </w:r>
          </w:p>
        </w:tc>
        <w:tc>
          <w:tcPr>
            <w:tcW w:w="1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21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 </w:t>
            </w:r>
          </w:p>
        </w:tc>
        <w:tc>
          <w:tcPr>
            <w:tcW w:w="1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21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obligations under leases (accrued liabilities)</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Future minimum lease payments exclude short-term leases as well as payments to landlords for variable common area maintenance, insurance and real estate taxes.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0" w:name="note_13___commitments_and_contingencies"/>
      <w:bookmarkEnd w:id="10"/>
      <w:r>
        <w:rPr>
          <w:rFonts w:ascii="Times New Roman;serif" w:hAnsi="Times New Roman;serif"/>
          <w:b/>
          <w:sz w:val="20"/>
        </w:rPr>
        <w:t>NOTE 15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Purchase and Other Contractual Obligations</w:t>
      </w:r>
    </w:p>
    <w:p>
      <w:pPr>
        <w:pStyle w:val="TextBody"/>
        <w:bidi w:val="0"/>
        <w:spacing w:before="240" w:after="0"/>
        <w:jc w:val="left"/>
        <w:rPr>
          <w:rFonts w:ascii="Times New Roman" w:hAnsi="Times New Roman"/>
          <w:sz w:val="20"/>
        </w:rPr>
      </w:pPr>
      <w:r>
        <w:rPr>
          <w:rFonts w:ascii="Times New Roman;serif" w:hAnsi="Times New Roman;serif"/>
          <w:b w:val="false"/>
          <w:sz w:val="20"/>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June 30, 2023, the Company’s total future unconditional purchase obligations were approximately $3.3</w:t>
      </w:r>
      <w:r>
        <w:rPr>
          <w:rFonts w:ascii="Times New Roman" w:hAnsi="Times New Roman"/>
          <w:sz w:val="20"/>
        </w:rPr>
        <w:t xml:space="preserve"> </w:t>
      </w:r>
      <w:r>
        <w:rPr>
          <w:rFonts w:ascii="Times New Roman;serif" w:hAnsi="Times New Roman;serif"/>
          <w:b w:val="false"/>
          <w:sz w:val="20"/>
        </w:rPr>
        <w:t>million, including $1.1</w:t>
      </w:r>
      <w:r>
        <w:rPr>
          <w:rFonts w:ascii="Times New Roman" w:hAnsi="Times New Roman"/>
          <w:sz w:val="20"/>
        </w:rPr>
        <w:t xml:space="preserve"> </w:t>
      </w:r>
      <w:r>
        <w:rPr>
          <w:rFonts w:ascii="Times New Roman;serif" w:hAnsi="Times New Roman;serif"/>
          <w:b w:val="false"/>
          <w:sz w:val="20"/>
        </w:rPr>
        <w:t>million due in the remainder of 2023, $1.3</w:t>
      </w:r>
      <w:r>
        <w:rPr>
          <w:rFonts w:ascii="Times New Roman" w:hAnsi="Times New Roman"/>
          <w:sz w:val="20"/>
        </w:rPr>
        <w:t xml:space="preserve"> </w:t>
      </w:r>
      <w:r>
        <w:rPr>
          <w:rFonts w:ascii="Times New Roman;serif" w:hAnsi="Times New Roman;serif"/>
          <w:b w:val="false"/>
          <w:sz w:val="20"/>
        </w:rPr>
        <w:t>million due in 2024 and the remaining $0.9</w:t>
      </w:r>
      <w:r>
        <w:rPr>
          <w:rFonts w:ascii="Times New Roman" w:hAnsi="Times New Roman"/>
          <w:sz w:val="20"/>
        </w:rPr>
        <w:t xml:space="preserve"> </w:t>
      </w:r>
      <w:r>
        <w:rPr>
          <w:rFonts w:ascii="Times New Roman;serif" w:hAnsi="Times New Roman;serif"/>
          <w:b w:val="false"/>
          <w:sz w:val="20"/>
        </w:rPr>
        <w:t>million due in 2025.</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Guarantee</w:t>
      </w:r>
    </w:p>
    <w:p>
      <w:pPr>
        <w:pStyle w:val="TextBody"/>
        <w:bidi w:val="0"/>
        <w:spacing w:before="240" w:after="0"/>
        <w:jc w:val="left"/>
        <w:rPr>
          <w:rFonts w:ascii="Times New Roman" w:hAnsi="Times New Roman"/>
          <w:sz w:val="20"/>
        </w:rPr>
      </w:pPr>
      <w:r>
        <w:rPr>
          <w:rFonts w:ascii="Times New Roman;serif" w:hAnsi="Times New Roman;serif"/>
          <w:b w:val="false"/>
          <w:sz w:val="20"/>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w:t>
      </w:r>
      <w:r>
        <w:rPr>
          <w:rFonts w:ascii="Times New Roman" w:hAnsi="Times New Roman"/>
          <w:sz w:val="20"/>
        </w:rPr>
        <w:t xml:space="preserve"> </w:t>
      </w:r>
      <w:r>
        <w:rPr>
          <w:rFonts w:ascii="Times New Roman;serif" w:hAnsi="Times New Roman;serif"/>
          <w:b w:val="false"/>
          <w:sz w:val="20"/>
        </w:rPr>
        <w:t>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w:t>
      </w:r>
      <w:r>
        <w:rPr>
          <w:rFonts w:ascii="Times New Roman" w:hAnsi="Times New Roman"/>
          <w:sz w:val="20"/>
        </w:rPr>
        <w:t xml:space="preserve"> </w:t>
      </w:r>
      <w:r>
        <w:rPr>
          <w:rFonts w:ascii="Times New Roman;serif" w:hAnsi="Times New Roman;serif"/>
          <w:b w:val="false"/>
          <w:sz w:val="20"/>
        </w:rPr>
        <w:t>million per annum between 2023</w:t>
      </w:r>
      <w:r>
        <w:rPr>
          <w:rFonts w:ascii="Times New Roman" w:hAnsi="Times New Roman"/>
          <w:sz w:val="20"/>
        </w:rPr>
        <w:t xml:space="preserve"> </w:t>
      </w:r>
      <w:r>
        <w:rPr>
          <w:rFonts w:ascii="Times New Roman;serif" w:hAnsi="Times New Roman;serif"/>
          <w:b w:val="false"/>
          <w:sz w:val="20"/>
        </w:rPr>
        <w:t>and 2031. As of June 30, 2023 and December 31, 2022, the balance of the guarantee liability was $19.1</w:t>
      </w:r>
      <w:r>
        <w:rPr>
          <w:rFonts w:ascii="Times New Roman" w:hAnsi="Times New Roman"/>
          <w:sz w:val="20"/>
        </w:rPr>
        <w:t xml:space="preserve"> </w:t>
      </w:r>
      <w:r>
        <w:rPr>
          <w:rFonts w:ascii="Times New Roman;serif" w:hAnsi="Times New Roman;serif"/>
          <w:b w:val="false"/>
          <w:sz w:val="20"/>
        </w:rPr>
        <w:t>million and $20.5</w:t>
      </w:r>
      <w:r>
        <w:rPr>
          <w:rFonts w:ascii="Times New Roman" w:hAnsi="Times New Roman"/>
          <w:sz w:val="20"/>
        </w:rPr>
        <w:t xml:space="preserve"> </w:t>
      </w:r>
      <w:r>
        <w:rPr>
          <w:rFonts w:ascii="Times New Roman;serif" w:hAnsi="Times New Roman;serif"/>
          <w:b w:val="false"/>
          <w:sz w:val="20"/>
        </w:rPr>
        <w:t>million, respectively. During the three months and six months ended June 30, 2023, the Company made guarantee payments of $0.6</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respectively. The Company recognized other income of $0.3</w:t>
      </w:r>
      <w:r>
        <w:rPr>
          <w:rFonts w:ascii="Times New Roman" w:hAnsi="Times New Roman"/>
          <w:sz w:val="20"/>
        </w:rPr>
        <w:t xml:space="preserve"> </w:t>
      </w:r>
      <w:r>
        <w:rPr>
          <w:rFonts w:ascii="Times New Roman;serif" w:hAnsi="Times New Roman;serif"/>
          <w:b w:val="false"/>
          <w:sz w:val="20"/>
        </w:rPr>
        <w:t>million during the six months ended June 30, 2023 in the Condensed Consolidated Statement of Operations as a result of a change in the carrying value of the guarantee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Indemnifications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Contingencies</w:t>
      </w:r>
    </w:p>
    <w:p>
      <w:pPr>
        <w:pStyle w:val="TextBody"/>
        <w:bidi w:val="0"/>
        <w:spacing w:before="240" w:after="0"/>
        <w:jc w:val="left"/>
        <w:rPr>
          <w:rFonts w:ascii="Times New Roman" w:hAnsi="Times New Roman"/>
          <w:sz w:val="20"/>
        </w:rPr>
      </w:pPr>
      <w:r>
        <w:rPr>
          <w:rFonts w:ascii="Times New Roman;serif" w:hAnsi="Times New Roman;serif"/>
          <w:b w:val="false"/>
          <w:sz w:val="20"/>
        </w:rPr>
        <w:t>At each reporting period, the Company evaluates whether or not a potential loss amount or a potential range of losses is probable and reasonably estimable under the provisions of the authoritative guidance that addresses accounting for contingencies.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Litigation related</w:t>
      </w:r>
    </w:p>
    <w:p>
      <w:pPr>
        <w:pStyle w:val="TextBody"/>
        <w:bidi w:val="0"/>
        <w:spacing w:before="240" w:after="0"/>
        <w:jc w:val="left"/>
        <w:rPr>
          <w:rFonts w:ascii="Times New Roman" w:hAnsi="Times New Roman"/>
          <w:sz w:val="20"/>
        </w:rPr>
      </w:pPr>
      <w:r>
        <w:rPr>
          <w:rFonts w:ascii="Times New Roman;serif" w:hAnsi="Times New Roman;serif"/>
          <w:b w:val="false"/>
          <w:sz w:val="20"/>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accrued and paid $2.5</w:t>
      </w:r>
      <w:r>
        <w:rPr>
          <w:rFonts w:ascii="Times New Roman" w:hAnsi="Times New Roman"/>
          <w:sz w:val="20"/>
        </w:rPr>
        <w:t xml:space="preserve"> </w:t>
      </w:r>
      <w:r>
        <w:rPr>
          <w:rFonts w:ascii="Times New Roman;serif" w:hAnsi="Times New Roman;serif"/>
          <w:b w:val="false"/>
          <w:sz w:val="20"/>
        </w:rPr>
        <w:t>million for expense reimbursement during the year ended December 31,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$2.6</w:t>
      </w:r>
      <w:r>
        <w:rPr>
          <w:rFonts w:ascii="Times New Roman" w:hAnsi="Times New Roman"/>
          <w:sz w:val="20"/>
        </w:rPr>
        <w:t xml:space="preserve"> </w:t>
      </w:r>
      <w:r>
        <w:rPr>
          <w:rFonts w:ascii="Times New Roman;serif" w:hAnsi="Times New Roman;serif"/>
          <w:b w:val="false"/>
          <w:sz w:val="20"/>
        </w:rPr>
        <w:t>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The Bell and Telus memorandum of fact and law is due August 18,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and its subsidiaries are involved in litigation matters and claims in the normal course of business. In the past, the Company and its subsidiaries have litigated to enforce their respective patents, to enforce the terms of license agreements,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1" w:name="note_14___segment_and_geographic_informa"/>
      <w:bookmarkEnd w:id="11"/>
      <w:r>
        <w:rPr>
          <w:rFonts w:ascii="Times New Roman;serif" w:hAnsi="Times New Roman;serif"/>
          <w:b/>
          <w:sz w:val="20"/>
        </w:rPr>
        <w:t>NOTE 16 – SEGMENT AND GEOGRAPHIC INFORMATION</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changed its operational structure in the fourth quarter of 2022, resulting in one</w:t>
      </w:r>
      <w:r>
        <w:rPr>
          <w:rFonts w:ascii="Times New Roman" w:hAnsi="Times New Roman"/>
          <w:sz w:val="20"/>
        </w:rPr>
        <w:t xml:space="preserve"> </w:t>
      </w:r>
      <w:r>
        <w:rPr>
          <w:rFonts w:ascii="Times New Roman;serif" w:hAnsi="Times New Roman;serif"/>
          <w:b w:val="false"/>
          <w:sz w:val="20"/>
        </w:rPr>
        <w:t>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table below lists the geographic revenue for the periods indicated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146"/>
        <w:gridCol w:w="211"/>
        <w:gridCol w:w="676"/>
        <w:gridCol w:w="146"/>
        <w:gridCol w:w="146"/>
        <w:gridCol w:w="146"/>
        <w:gridCol w:w="421"/>
        <w:gridCol w:w="271"/>
        <w:gridCol w:w="146"/>
        <w:gridCol w:w="211"/>
        <w:gridCol w:w="781"/>
        <w:gridCol w:w="146"/>
        <w:gridCol w:w="146"/>
        <w:gridCol w:w="146"/>
        <w:gridCol w:w="421"/>
        <w:gridCol w:w="271"/>
        <w:gridCol w:w="146"/>
        <w:gridCol w:w="211"/>
        <w:gridCol w:w="781"/>
        <w:gridCol w:w="146"/>
        <w:gridCol w:w="146"/>
        <w:gridCol w:w="146"/>
        <w:gridCol w:w="421"/>
        <w:gridCol w:w="271"/>
        <w:gridCol w:w="146"/>
        <w:gridCol w:w="211"/>
        <w:gridCol w:w="781"/>
        <w:gridCol w:w="146"/>
        <w:gridCol w:w="146"/>
        <w:gridCol w:w="146"/>
        <w:gridCol w:w="421"/>
        <w:gridCol w:w="316"/>
      </w:tblGrid>
      <w:tr>
        <w:trPr/>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and Canada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159,308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16" w:type="dxa"/>
            <w:tcBorders/>
            <w:vAlign w:val="center"/>
          </w:tcPr>
          <w:p>
            <w:pPr>
              <w:pStyle w:val="TableContents"/>
              <w:bidi w:val="0"/>
              <w:spacing w:before="0" w:after="0"/>
              <w:ind w:left="0" w:right="0" w:hanging="0"/>
              <w:jc w:val="left"/>
              <w:rPr/>
            </w:pPr>
            <w:r>
              <w:rPr/>
              <w:t> </w:t>
            </w:r>
          </w:p>
        </w:tc>
      </w:tr>
      <w:tr>
        <w:trPr/>
        <w:tc>
          <w:tcPr>
            <w:tcW w:w="11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 and Middle East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vAlign w:val="center"/>
          </w:tcPr>
          <w:p>
            <w:pPr>
              <w:pStyle w:val="TableContents"/>
              <w:bidi w:val="0"/>
              <w:spacing w:before="0" w:after="0"/>
              <w:ind w:left="0" w:right="0" w:hanging="0"/>
              <w:jc w:val="left"/>
              <w:rPr/>
            </w:pPr>
            <w:r>
              <w:rPr/>
              <w:t> </w:t>
            </w:r>
          </w:p>
        </w:tc>
      </w:tr>
      <w:tr>
        <w:trPr/>
        <w:tc>
          <w:tcPr>
            <w:tcW w:w="11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200,524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June 30, 2023 and 2022, there were three</w:t>
      </w:r>
      <w:r>
        <w:rPr>
          <w:rFonts w:ascii="Times New Roman" w:hAnsi="Times New Roman"/>
          <w:sz w:val="20"/>
        </w:rPr>
        <w:t xml:space="preserve"> </w:t>
      </w:r>
      <w:r>
        <w:rPr>
          <w:rFonts w:ascii="Times New Roman;serif" w:hAnsi="Times New Roman;serif"/>
          <w:b w:val="false"/>
          <w:sz w:val="20"/>
        </w:rPr>
        <w:t>and two</w:t>
      </w:r>
      <w:r>
        <w:rPr>
          <w:rFonts w:ascii="Times New Roman" w:hAnsi="Times New Roman"/>
          <w:sz w:val="20"/>
        </w:rPr>
        <w:t xml:space="preserve"> </w:t>
      </w:r>
      <w:r>
        <w:rPr>
          <w:rFonts w:ascii="Times New Roman;serif" w:hAnsi="Times New Roman;serif"/>
          <w:b w:val="false"/>
          <w:sz w:val="20"/>
        </w:rPr>
        <w:t>customers, respectively, that each accounted for 10% or more of total revenue.</w:t>
      </w:r>
      <w:r>
        <w:rPr>
          <w:rFonts w:ascii="Times New Roman" w:hAnsi="Times New Roman"/>
          <w:sz w:val="20"/>
        </w:rPr>
        <w:t xml:space="preserve"> </w:t>
      </w:r>
      <w:r>
        <w:rPr>
          <w:rFonts w:ascii="Times New Roman;serif" w:hAnsi="Times New Roman;serif"/>
          <w:b w:val="false"/>
          <w:sz w:val="20"/>
        </w:rPr>
        <w:t>For the six months ended June 30, 2023 and 2022, there were three</w:t>
      </w:r>
      <w:r>
        <w:rPr>
          <w:rFonts w:ascii="Times New Roman;serif" w:hAnsi="Times New Roman;serif"/>
          <w:sz w:val="20"/>
        </w:rPr>
        <w:t xml:space="preserve"> </w:t>
      </w:r>
      <w:r>
        <w:rPr>
          <w:rFonts w:ascii="Times New Roman;serif" w:hAnsi="Times New Roman;serif"/>
          <w:b w:val="false"/>
          <w:sz w:val="20"/>
        </w:rPr>
        <w:t xml:space="preserve">customers, respectively, that each accounted for 10% or more of total revenue. The following table sets forth revenue generated from customers which comprise 10% or more of total revenue for the periods indicated: </w:t>
      </w:r>
    </w:p>
    <w:tbl>
      <w:tblPr>
        <w:tblW w:w="5472" w:type="dxa"/>
        <w:jc w:val="left"/>
        <w:tblInd w:w="0" w:type="dxa"/>
        <w:tblLayout w:type="fixed"/>
        <w:tblCellMar>
          <w:top w:w="28" w:type="dxa"/>
          <w:left w:w="28" w:type="dxa"/>
          <w:bottom w:w="28" w:type="dxa"/>
          <w:right w:w="28" w:type="dxa"/>
        </w:tblCellMar>
      </w:tblPr>
      <w:tblGrid>
        <w:gridCol w:w="1081"/>
        <w:gridCol w:w="146"/>
        <w:gridCol w:w="166"/>
        <w:gridCol w:w="532"/>
        <w:gridCol w:w="309"/>
        <w:gridCol w:w="166"/>
        <w:gridCol w:w="166"/>
        <w:gridCol w:w="532"/>
        <w:gridCol w:w="271"/>
        <w:gridCol w:w="146"/>
        <w:gridCol w:w="146"/>
        <w:gridCol w:w="466"/>
        <w:gridCol w:w="271"/>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6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A</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B</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righ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C</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3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righ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righ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D</w:t>
            </w:r>
          </w:p>
        </w:tc>
        <w:tc>
          <w:tcPr>
            <w:tcW w:w="146" w:type="dxa"/>
            <w:tcBorders/>
            <w:vAlign w:val="center"/>
          </w:tcPr>
          <w:p>
            <w:pPr>
              <w:pStyle w:val="TableContents"/>
              <w:bidi w:val="0"/>
              <w:spacing w:before="0" w:after="0"/>
              <w:ind w:left="0" w:right="0" w:hanging="0"/>
              <w:jc w:val="lef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E</w:t>
            </w:r>
          </w:p>
        </w:tc>
        <w:tc>
          <w:tcPr>
            <w:tcW w:w="146" w:type="dxa"/>
            <w:tcBorders/>
            <w:vAlign w:val="center"/>
          </w:tcPr>
          <w:p>
            <w:pPr>
              <w:pStyle w:val="TableContents"/>
              <w:bidi w:val="0"/>
              <w:spacing w:before="0" w:after="0"/>
              <w:ind w:left="0" w:right="0" w:hanging="0"/>
              <w:jc w:val="lef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righ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F</w:t>
            </w:r>
          </w:p>
        </w:tc>
        <w:tc>
          <w:tcPr>
            <w:tcW w:w="146" w:type="dxa"/>
            <w:tcBorders/>
            <w:vAlign w:val="center"/>
          </w:tcPr>
          <w:p>
            <w:pPr>
              <w:pStyle w:val="TableContents"/>
              <w:bidi w:val="0"/>
              <w:spacing w:before="0" w:after="0"/>
              <w:ind w:left="0" w:right="0" w:hanging="0"/>
              <w:jc w:val="lef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09"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98"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 denotes less than 10% of total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Company had one customer representing 54%</w:t>
      </w:r>
      <w:r>
        <w:rPr>
          <w:rFonts w:ascii="Times New Roman" w:hAnsi="Times New Roman"/>
          <w:sz w:val="20"/>
        </w:rPr>
        <w:t xml:space="preserve"> </w:t>
      </w:r>
      <w:r>
        <w:rPr>
          <w:rFonts w:ascii="Times New Roman;serif" w:hAnsi="Times New Roman;serif"/>
          <w:b w:val="false"/>
          <w:sz w:val="20"/>
        </w:rPr>
        <w:t>of aggregate accounts receivable. At December 31, 2022, the Company had two customers representing 36% and 29% of aggregate accounts receivable, respectively.</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NOTE 17 – SUBSEQUENT EVENTS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Declaration of Cash Dividends</w:t>
      </w:r>
    </w:p>
    <w:p>
      <w:pPr>
        <w:pStyle w:val="TextBody"/>
        <w:bidi w:val="0"/>
        <w:spacing w:before="240" w:after="0"/>
        <w:jc w:val="left"/>
        <w:rPr>
          <w:rFonts w:ascii="Times New Roman" w:hAnsi="Times New Roman"/>
          <w:sz w:val="20"/>
        </w:rPr>
      </w:pPr>
      <w:r>
        <w:rPr>
          <w:rFonts w:ascii="Times New Roman;serif" w:hAnsi="Times New Roman;serif"/>
          <w:b w:val="false"/>
          <w:sz w:val="20"/>
        </w:rPr>
        <w:t>On July 27, 2023, the Board declared a cash dividend of $0.05</w:t>
      </w:r>
      <w:r>
        <w:rPr>
          <w:rFonts w:ascii="Times New Roman" w:hAnsi="Times New Roman"/>
          <w:sz w:val="20"/>
        </w:rPr>
        <w:t xml:space="preserve"> </w:t>
      </w:r>
      <w:r>
        <w:rPr>
          <w:rFonts w:ascii="Times New Roman;serif" w:hAnsi="Times New Roman;serif"/>
          <w:b w:val="false"/>
          <w:sz w:val="20"/>
        </w:rPr>
        <w:t>per share of common stock, payable on September 18, 2023</w:t>
      </w:r>
      <w:r>
        <w:rPr>
          <w:rFonts w:ascii="Times New Roman" w:hAnsi="Times New Roman"/>
          <w:sz w:val="20"/>
        </w:rPr>
        <w:t xml:space="preserve"> </w:t>
      </w:r>
      <w:r>
        <w:rPr>
          <w:rFonts w:ascii="Times New Roman;serif" w:hAnsi="Times New Roman;serif"/>
          <w:b w:val="false"/>
          <w:sz w:val="20"/>
        </w:rPr>
        <w:t>for the stockholders of record at the close of business</w:t>
      </w:r>
      <w:r>
        <w:rPr>
          <w:rFonts w:ascii="Times New Roman" w:hAnsi="Times New Roman"/>
          <w:sz w:val="20"/>
        </w:rPr>
        <w:t xml:space="preserve"> </w:t>
      </w:r>
      <w:r>
        <w:rPr>
          <w:rFonts w:ascii="Times New Roman;serif" w:hAnsi="Times New Roman;serif"/>
          <w:b w:val="false"/>
          <w:sz w:val="20"/>
        </w:rPr>
        <w:t>on August 28,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item_2_managements_discussion_analysis_f"/>
      <w:bookmarkEnd w:id="12"/>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240" w:after="0"/>
        <w:jc w:val="left"/>
        <w:rPr>
          <w:rFonts w:ascii="Times New Roman" w:hAnsi="Times New Roman"/>
          <w:sz w:val="20"/>
        </w:rPr>
      </w:pPr>
      <w:r>
        <w:rPr>
          <w:rFonts w:ascii="Times New Roman;serif" w:hAnsi="Times New Roman;serif"/>
          <w:b w:val="false"/>
          <w:i/>
          <w:sz w:val="20"/>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2022 found in the Form 10-K filed by us on March 1, 2023 (the “Form 10-K”). This section of this Form 10-Q generally discusses quarter over quarter comparisons of 2023 against 2022. Except where otherwise indicated, the quarter over quarter comparisons and results of operations discussed herein present the results of Adeia Inc. after giving effect to the Separation described herein.</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This quarterly report on Form 10-Q (this “Quarterly Report”) contains forward-looking statements, which are subject to the safe harbor provisions created by the Private Securities Litigation Reform Act of 1995.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These and other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our ability to implement our business strategy; our ability to enter into new and renewal license agreements with customers on favorable terms; our ability to retain and hire key personnel; uncertainty as to the long-term value of our common stock; legislative, regulatory and economic developments affecting our business; general economic and market developments and conditions; our ability to grow and expand our patent portfolios; changes in technology and development of competing technology in the industries in which we operate; the evolving legal, regulatory and tax regimes under which we operate; unforeseen liabilities and expenses; risks associated with our indebtedness; unpredictability and severity of catastrophic events, including, but not limited to, acts of terrorism or outbreak of war or hostilities, including Russia’s invasion of Ukraine, and natural disasters; our ability to achieve the intended benefits of, and our ability to recognize the anticipated tax treatment of, the recent spin-off of our product business; and the extent to which the COVID-19 pandemic continues to have an adverse impact on our business, results of operations, and financial condition will depend on future developments, including measures taken in response to the pandemic, which are highly uncertain and cannot be predicted.</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in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pStyle w:val="TextBody"/>
        <w:bidi w:val="0"/>
        <w:spacing w:before="240" w:after="0"/>
        <w:jc w:val="left"/>
        <w:rPr>
          <w:rFonts w:ascii="Times New Roman;serif" w:hAnsi="Times New Roman;serif"/>
          <w:b/>
          <w:sz w:val="20"/>
        </w:rPr>
      </w:pPr>
      <w:r>
        <w:rPr>
          <w:rFonts w:ascii="Times New Roman;serif" w:hAnsi="Times New Roman;serif"/>
          <w:b/>
          <w:sz w:val="20"/>
        </w:rPr>
        <w:t>Business Overview</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October 1, 2022, Adeia Inc. (formerly known as Xperi Holding Corporation) (“Adeia”,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New York Stock Exchange. Effective at the open of business on October 3, 2022, Adeia’s shares of common stock, par value $0.001 per share, began trading on the Nasdaq Global Select Market under the new ticker symbol “ADEA”.</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Following the Separation, we are a leading IP licensing platform in the consumer and entertainment space, with a diverse portfolio of media and semiconductor intellectual property and more than 10,000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Headquartered in Silicon Valley with more than 35 years of operating experience, we have approximately 130 employees, with substantially all of our employees located in the U.S.</w:t>
      </w:r>
    </w:p>
    <w:p>
      <w:pPr>
        <w:pStyle w:val="TextBody"/>
        <w:bidi w:val="0"/>
        <w:spacing w:before="240" w:after="0"/>
        <w:jc w:val="left"/>
        <w:rPr>
          <w:rFonts w:ascii="Times New Roman;serif" w:hAnsi="Times New Roman;serif"/>
          <w:b/>
          <w:sz w:val="20"/>
        </w:rPr>
      </w:pPr>
      <w:r>
        <w:rPr>
          <w:rFonts w:ascii="Times New Roman;serif" w:hAnsi="Times New Roman;serif"/>
          <w:b/>
          <w:sz w:val="20"/>
        </w:rPr>
        <w:t>COVID-19 Impact and Macroeconomic Conditions</w:t>
      </w:r>
    </w:p>
    <w:p>
      <w:pPr>
        <w:pStyle w:val="TextBody"/>
        <w:bidi w:val="0"/>
        <w:spacing w:before="240" w:after="0"/>
        <w:jc w:val="left"/>
        <w:rPr>
          <w:rFonts w:ascii="Times New Roman" w:hAnsi="Times New Roman"/>
          <w:sz w:val="20"/>
        </w:rPr>
      </w:pPr>
      <w:r>
        <w:rPr>
          <w:rFonts w:ascii="Times New Roman;serif" w:hAnsi="Times New Roman;serif"/>
          <w:b w:val="false"/>
          <w:sz w:val="20"/>
        </w:rPr>
        <w:t>The COVID-19 pandemic has had, and may continue to have, an adverse impact on our business. The impact to date has included periods of significant volatility in the markets we serve, in particular the broad consumer electronics market. The pandemic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our operations and those of our customers have also been negatively impacted by certain trends arising out of the COVID-19 pandemic and macroeconomic, including labor market constraints, shortages of semiconductor components, decreased manufacturing capacities and delays in shipments, product development and product launches. Moreover, since the onset of the COVID-19 pandemic, United States federal, state and foreign government policies enacted to combat the pandemic have contributed to a recent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a significant portion of our revenue is derived from fixed-fee and minimum-guarantee arrangements from large, well-capitalized customers, our per-unit and variable-fee based revenue will continue to be susceptible to the volatility, labor shortages, supply chain disruptions, microchip shortages and market downturns precipitated by the COVID-19 pandemic.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impact of the pandemic on our overall results of operations remains uncertain for the foreseeable future. Further discussion of COVID-19’s potential impact on our business is provided under Part I, Item 1A –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 xml:space="preserve">of the Form 10-K and in Part II, Item 5 –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of this Form 10-Q.</w:t>
      </w:r>
    </w:p>
    <w:p>
      <w:pPr>
        <w:pStyle w:val="TextBody"/>
        <w:bidi w:val="0"/>
        <w:spacing w:before="240" w:after="0"/>
        <w:jc w:val="left"/>
        <w:rPr>
          <w:rFonts w:ascii="Times New Roman;serif" w:hAnsi="Times New Roman;serif"/>
          <w:b/>
          <w:sz w:val="20"/>
        </w:rPr>
      </w:pPr>
      <w:r>
        <w:rPr>
          <w:rFonts w:ascii="Times New Roman;serif" w:hAnsi="Times New Roman;serif"/>
          <w:b/>
          <w:sz w:val="20"/>
        </w:rPr>
        <w:t>Key Developments</w:t>
      </w:r>
    </w:p>
    <w:p>
      <w:pPr>
        <w:pStyle w:val="TextBody"/>
        <w:bidi w:val="0"/>
        <w:spacing w:before="240" w:after="0"/>
        <w:jc w:val="left"/>
        <w:rPr>
          <w:rFonts w:ascii="Times New Roman" w:hAnsi="Times New Roman"/>
          <w:sz w:val="20"/>
        </w:rPr>
      </w:pPr>
      <w:r>
        <w:rPr>
          <w:rFonts w:ascii="Times New Roman;serif" w:hAnsi="Times New Roman;serif"/>
          <w:b w:val="false"/>
          <w:sz w:val="20"/>
        </w:rPr>
        <w:t>The accounting requirements for reporting the Separation of Xperi Inc. as a discontinued operation were met when the Separation was completed on October 1, 2022. Accordingly, the financial results of Xperi Inc. for the three and six months ended June 30, 2022 are presented as net loss from discontinued operations, net of tax on the Condensed Consolidated Statements of Operations. Unless noted otherwise, the discussion of our results of operations pertain to continuing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the operating results from continuing operations for all periods presented and those prior to the Separation, include certain general corporate overhead costs that do not meet the requirements to be presented in discontinued operations, although such costs are not reflective of our on-going operations. Such general corporate overhead costs include labor and non-labor costs related to our corporate support functions (e.g., administration, human resources, finance, accounting, tax, information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technology, corporate development and legal, among others) that historically provided support to Xperi Inc. prior to the Separation. In addition, discontinued operations excludes the historical intercompany balances and transactions between the Company and Xperi Inc. that were eliminated in consolidation.</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Separation, we incurred separation costs of $43.7 million from January 1, 2020 to June 30, 2023.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$15.1 million were incurred after the Separation and are reflected in continuing operations within operating expenses in our Condensed Consolidated Statement of Operations.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Reportable Segments</w:t>
      </w:r>
    </w:p>
    <w:p>
      <w:pPr>
        <w:pStyle w:val="TextBody"/>
        <w:bidi w:val="0"/>
        <w:spacing w:before="240" w:after="0"/>
        <w:jc w:val="left"/>
        <w:rPr>
          <w:rFonts w:ascii="Times New Roman" w:hAnsi="Times New Roman"/>
          <w:sz w:val="20"/>
        </w:rPr>
      </w:pPr>
      <w:r>
        <w:rPr>
          <w:rFonts w:ascii="Times New Roman;serif" w:hAnsi="Times New Roman;serif"/>
          <w:b w:val="false"/>
          <w:sz w:val="20"/>
        </w:rPr>
        <w:t>Upon completion of the Separation, in the fourth quarter of 2022, we changed our organizational structure to operate and report in one segment: IP Licensing. We believe that this structure reflects our current operational and financial management following the completion of the Separation and provides the best structure for us to focus on growth opportunities. Our Chief Executive Officer has been determined to be the Chief Operating Decision Maker (“CODM”) in consideration with the authoritative guidance on 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primarily license our innovations to leading companies in the broader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Financial Highlights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June 30, 2023:</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was $83.2 million, a decrease of 23% from $107.8 million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Diluted earnings per share (EPS) was $0.01, a decrease of 93% from $0.14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income was $1.4 million, a decrease of 91% from $15.2 million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flows from operations were $28.7 million, a decrease of 30% from $40.8 million in the same period in 2022</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made $20.1 million in principal payments towards our term loan, bringing the outstanding balance to $645.5 million as of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six months ended June 30, 2023:</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was $200.5 million, a decrease of 19% from $246.3 million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Diluted earnings per share (EPS) was $0.27, a decrease of 60% from $0.67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income was $30.4 million, a decrease of 57% from $71.0 million in the same period in 2022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flows from operations were $92.1 million, an increase of 6% from $87.0 million in the same period in 2022</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made $103.8 million in principal payments towards our term loan, bringing the outstanding balance to $645.5 million as of June 30, 2023</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Revenue</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derive the majority of our revenue from the licensing of our intellectual property (“IP”) rights to customers. For our revenue recognition policy, including descriptions of revenue-generating activities, refer to “Note 3 – </w:t>
      </w:r>
      <w:r>
        <w:rPr>
          <w:rFonts w:ascii="Times New Roman;serif" w:hAnsi="Times New Roman;serif"/>
          <w:b w:val="false"/>
          <w:i/>
          <w:sz w:val="20"/>
        </w:rPr>
        <w:t>Revenue</w:t>
      </w:r>
      <w:r>
        <w:rPr>
          <w:rFonts w:ascii="Times New Roman" w:hAnsi="Times New Roman"/>
          <w:sz w:val="20"/>
        </w:rPr>
        <w:t xml:space="preserve">” </w:t>
      </w:r>
      <w:r>
        <w:rPr>
          <w:rFonts w:ascii="Times New Roman;serif" w:hAnsi="Times New Roman;serif"/>
          <w:b w:val="false"/>
          <w:sz w:val="20"/>
        </w:rPr>
        <w:t>of the Notes to condensed consolidated financial statements.</w:t>
      </w:r>
    </w:p>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 following table presents our operating results for the periods indicated as a percentage of revenue:</w:t>
      </w:r>
    </w:p>
    <w:tbl>
      <w:tblPr>
        <w:tblW w:w="9313" w:type="dxa"/>
        <w:jc w:val="left"/>
        <w:tblInd w:w="0" w:type="dxa"/>
        <w:tblLayout w:type="fixed"/>
        <w:tblCellMar>
          <w:top w:w="28" w:type="dxa"/>
          <w:left w:w="28" w:type="dxa"/>
          <w:bottom w:w="28" w:type="dxa"/>
          <w:right w:w="28" w:type="dxa"/>
        </w:tblCellMar>
      </w:tblPr>
      <w:tblGrid>
        <w:gridCol w:w="4651"/>
        <w:gridCol w:w="146"/>
        <w:gridCol w:w="176"/>
        <w:gridCol w:w="509"/>
        <w:gridCol w:w="327"/>
        <w:gridCol w:w="176"/>
        <w:gridCol w:w="176"/>
        <w:gridCol w:w="509"/>
        <w:gridCol w:w="271"/>
        <w:gridCol w:w="146"/>
        <w:gridCol w:w="154"/>
        <w:gridCol w:w="444"/>
        <w:gridCol w:w="285"/>
        <w:gridCol w:w="154"/>
        <w:gridCol w:w="154"/>
        <w:gridCol w:w="444"/>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left"/>
              <w:rPr/>
            </w:pPr>
            <w:r>
              <w:rPr/>
              <w:t> </w:t>
            </w:r>
          </w:p>
        </w:tc>
        <w:tc>
          <w:tcPr>
            <w:tcW w:w="6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685" w:type="dxa"/>
            <w:gridSpan w:val="2"/>
            <w:tcBorders/>
            <w:vAlign w:val="center"/>
          </w:tcPr>
          <w:p>
            <w:pPr>
              <w:pStyle w:val="TableContents"/>
              <w:bidi w:val="0"/>
              <w:spacing w:before="0" w:after="0"/>
              <w:ind w:left="0" w:right="0" w:hanging="0"/>
              <w:jc w:val="right"/>
              <w:rPr/>
            </w:pPr>
            <w:r>
              <w:rPr/>
              <w:t> </w:t>
            </w:r>
          </w:p>
        </w:tc>
        <w:tc>
          <w:tcPr>
            <w:tcW w:w="327" w:type="dxa"/>
            <w:tcBorders/>
            <w:vAlign w:val="center"/>
          </w:tcPr>
          <w:p>
            <w:pPr>
              <w:pStyle w:val="TableContents"/>
              <w:bidi w:val="0"/>
              <w:spacing w:before="0" w:after="0"/>
              <w:ind w:left="0" w:right="0" w:hanging="0"/>
              <w:jc w:val="right"/>
              <w:rPr/>
            </w:pPr>
            <w:r>
              <w:rPr/>
              <w:t> </w:t>
            </w:r>
          </w:p>
        </w:tc>
        <w:tc>
          <w:tcPr>
            <w:tcW w:w="176" w:type="dxa"/>
            <w:tcBorders/>
            <w:vAlign w:val="center"/>
          </w:tcPr>
          <w:p>
            <w:pPr>
              <w:pStyle w:val="TableContents"/>
              <w:bidi w:val="0"/>
              <w:spacing w:before="0" w:after="0"/>
              <w:ind w:left="0" w:right="0" w:hanging="0"/>
              <w:jc w:val="left"/>
              <w:rPr/>
            </w:pPr>
            <w:r>
              <w:rPr/>
              <w:t> </w:t>
            </w:r>
          </w:p>
        </w:tc>
        <w:tc>
          <w:tcPr>
            <w:tcW w:w="68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27"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8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9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27"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8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9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27"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8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9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from continuing operations</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27"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8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9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27"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8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59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vAlign w:val="center"/>
          </w:tcPr>
          <w:p>
            <w:pPr>
              <w:pStyle w:val="TableContents"/>
              <w:bidi w:val="0"/>
              <w:spacing w:before="0" w:after="0"/>
              <w:ind w:left="0" w:right="0" w:hanging="0"/>
              <w:jc w:val="left"/>
              <w:rPr/>
            </w:pPr>
            <w:r>
              <w:rPr/>
              <w:t> </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left"/>
              <w:rPr/>
            </w:pPr>
            <w:r>
              <w:rPr/>
              <w:t> </w:t>
            </w:r>
          </w:p>
        </w:tc>
        <w:tc>
          <w:tcPr>
            <w:tcW w:w="1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Revenue (in thousands, except for percentages):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781"/>
        <w:gridCol w:w="146"/>
        <w:gridCol w:w="886"/>
        <w:gridCol w:w="146"/>
        <w:gridCol w:w="1365"/>
        <w:gridCol w:w="146"/>
        <w:gridCol w:w="991"/>
        <w:gridCol w:w="146"/>
        <w:gridCol w:w="886"/>
        <w:gridCol w:w="146"/>
        <w:gridCol w:w="886"/>
        <w:gridCol w:w="146"/>
        <w:gridCol w:w="1365"/>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6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$200,524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decrease in revenue during the three months ended June 30, 2023, as compared to the same period in 2022, was primarily attributable to the execution of a long-term license agreement with a leading consumer electronics and OTT service provider in the second quarter of 2022 for which a meaningful portion of the total revenue was recognized in such quarter, and in part due to a decline in royalty revenue from certain Pay-TV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decrease in revenue during the six months ended June 30, 2023, as compared to the same period in 2022, was primarily attributable to the execution of a new, multi-year license agreement with Micron Technology in the first quarter of 2022, the execution of a long-term license agreement with a leading consumer electronics and OTT service provider in the second quarter of 2022, for which a meaningful portion of the total revenue was recognized in the respective quarters, and in part due to a decline in royalty revenue from certain Pay-TV customers. These declines were partially offset by the execution of two long-term license agreements with Kioxia and Western Digital in the first quarter of 2023 for which a portion of revenue was recognized up-front in such quarter.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Research and Development (in thousands, except for percentages):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expense (“R&amp;D expense”) consists primarily of employee-related costs, stock-based compensation expense, engineering consulting expenses associated with new IP development, as well as costs related to patent applications and examinations, reverse engineering, materials, supplies and an allocation of facilities costs. All R&amp;D expense is expensed as incurred. We believe that a significant level of R&amp;D expense will be required for us to remain competitive in the future.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35"/>
        <w:gridCol w:w="146"/>
        <w:gridCol w:w="781"/>
        <w:gridCol w:w="146"/>
        <w:gridCol w:w="781"/>
        <w:gridCol w:w="146"/>
        <w:gridCol w:w="1175"/>
        <w:gridCol w:w="146"/>
        <w:gridCol w:w="991"/>
        <w:gridCol w:w="146"/>
        <w:gridCol w:w="781"/>
        <w:gridCol w:w="146"/>
        <w:gridCol w:w="781"/>
        <w:gridCol w:w="146"/>
        <w:gridCol w:w="1175"/>
        <w:gridCol w:w="146"/>
        <w:gridCol w:w="1037"/>
      </w:tblGrid>
      <w:tr>
        <w:trPr/>
        <w:tc>
          <w:tcPr>
            <w:tcW w:w="1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66"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5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5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increase in R&amp;D expense during the three and six months ended June 30, 2023, as compared to the same periods in 2022, was primarily due to an increase in patent prosecution costs associated with an increase in patent filings, professional services costs and personnel costs as a result of increased headcount.</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Selling, General and Administrative (in thousands, except for percentages):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Selling, general and administrative (“SGA”) expenses consist primarily of compensation and related costs for sales and marketing personnel engaged in sales and licensee support, compensation and related costs for general management, information technology, finance personnel, corporate legal fees and expenses, facilities costs, stock-based compensation expense and professional services. Our SGA expenses, other than facilities-related expenses, are not allocated to other expense line items.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79"/>
        <w:gridCol w:w="146"/>
        <w:gridCol w:w="781"/>
        <w:gridCol w:w="146"/>
        <w:gridCol w:w="781"/>
        <w:gridCol w:w="146"/>
        <w:gridCol w:w="1103"/>
        <w:gridCol w:w="146"/>
        <w:gridCol w:w="991"/>
        <w:gridCol w:w="146"/>
        <w:gridCol w:w="781"/>
        <w:gridCol w:w="146"/>
        <w:gridCol w:w="781"/>
        <w:gridCol w:w="146"/>
        <w:gridCol w:w="1103"/>
        <w:gridCol w:w="146"/>
        <w:gridCol w:w="1037"/>
      </w:tblGrid>
      <w:tr>
        <w:trPr/>
        <w:tc>
          <w:tcPr>
            <w:tcW w:w="1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6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94"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40"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6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6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decrease in SGA expense during the three and six months ended June 30, 2023, as compared to the same periods in 2022, was primarily due to a decrease in certain general corporate overhead costs incurred prior to the Separation and that did not meet the requirements to be presented in discontinued operations. Such costs are not reflective of our on-going operations and include labor and non-labor costs related to our corporate support functions (e.g., administration, human resources, finance, accounting, tax, information technology, corporate development, legal, among others) that historically provided support to the former product business. The decrease was partially offset by an increase in advertising expense, professional services costs and personnel costs as a result of increased headcount.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Amortization Expense (in thousands, except for percentages):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451"/>
        <w:gridCol w:w="146"/>
        <w:gridCol w:w="781"/>
        <w:gridCol w:w="146"/>
        <w:gridCol w:w="781"/>
        <w:gridCol w:w="146"/>
        <w:gridCol w:w="1217"/>
        <w:gridCol w:w="146"/>
        <w:gridCol w:w="991"/>
        <w:gridCol w:w="146"/>
        <w:gridCol w:w="781"/>
        <w:gridCol w:w="146"/>
        <w:gridCol w:w="781"/>
        <w:gridCol w:w="146"/>
        <w:gridCol w:w="1217"/>
        <w:gridCol w:w="146"/>
        <w:gridCol w:w="1037"/>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08"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4"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decrease in amortization expense during the three and six months ended June 30, 2023, as compared to the same periods in 2022, was primarily due to certain intangible assets acquired in prior years, which became fully amortized during 2022.</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Litigation Expense (in thousands, except for percentages):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382"/>
        <w:gridCol w:w="146"/>
        <w:gridCol w:w="676"/>
        <w:gridCol w:w="146"/>
        <w:gridCol w:w="676"/>
        <w:gridCol w:w="146"/>
        <w:gridCol w:w="1461"/>
        <w:gridCol w:w="146"/>
        <w:gridCol w:w="991"/>
        <w:gridCol w:w="146"/>
        <w:gridCol w:w="676"/>
        <w:gridCol w:w="146"/>
        <w:gridCol w:w="676"/>
        <w:gridCol w:w="146"/>
        <w:gridCol w:w="1461"/>
        <w:gridCol w:w="146"/>
        <w:gridCol w:w="1038"/>
      </w:tblGrid>
      <w:tr>
        <w:trPr/>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38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42"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9"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38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decrease in litigation expense during the three months ended June 30, 2023, as compared to the same period in 2022, was primarily due to a $2.2 million reserve recorded in the second quarter of 2022 for estimated expense reimbursement due to Videotron as a result of the outcome of that litigation matter, partially offset by reduced case activity.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increase in litigation expense during the six months ended June 30, 2023, as compared to the same period in 2022, was primarily due to increased legal fees as a result of increased case activity.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serif" w:hAnsi="Times New Roman;serif"/>
          <w:b w:val="false"/>
          <w:i/>
          <w:sz w:val="20"/>
        </w:rPr>
        <w:t>Legal Proceedings</w:t>
      </w:r>
      <w:r>
        <w:rPr>
          <w:rFonts w:ascii="Times New Roman;serif" w:hAnsi="Times New Roman;serif"/>
          <w:b w:val="false"/>
          <w:sz w:val="20"/>
        </w:rPr>
        <w:t>.</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Interest Expense (in thousands, except for percentages):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146"/>
        <w:gridCol w:w="781"/>
        <w:gridCol w:w="146"/>
        <w:gridCol w:w="676"/>
        <w:gridCol w:w="146"/>
        <w:gridCol w:w="1419"/>
        <w:gridCol w:w="146"/>
        <w:gridCol w:w="991"/>
        <w:gridCol w:w="146"/>
        <w:gridCol w:w="781"/>
        <w:gridCol w:w="146"/>
        <w:gridCol w:w="781"/>
        <w:gridCol w:w="146"/>
        <w:gridCol w:w="1419"/>
        <w:gridCol w:w="146"/>
        <w:gridCol w:w="1038"/>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05"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57"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increase in interest expense during the three and six months ended June 30, 2023, as compared to the same periods in 2022, was primarily due to increased interest rates on our variable interest rate debt due to the rising interest rate environment, partially offset by a lower debt balance and amortization of debt discount and issuance costs.</w:t>
      </w:r>
    </w:p>
    <w:p>
      <w:pPr>
        <w:pStyle w:val="TextBody"/>
        <w:bidi w:val="0"/>
        <w:spacing w:before="240" w:after="0"/>
        <w:jc w:val="left"/>
        <w:rPr>
          <w:rFonts w:ascii="Times New Roman" w:hAnsi="Times New Roman"/>
          <w:sz w:val="20"/>
        </w:rPr>
      </w:pPr>
      <w:r>
        <w:rPr>
          <w:rFonts w:ascii="Times New Roman;serif" w:hAnsi="Times New Roman;serif"/>
          <w:b w:val="false"/>
          <w:sz w:val="20"/>
        </w:rPr>
        <w:t>We anticipate interest expense will continue to increase in the second-half of 2023, when compared to the second-half of 2022, as a result of the effect of rising interest rates on our existing variable-rate debt, partially offset by the lower debt balance and amortization of debt discount and issuance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Other Income and Expense, Net (in thousands, except for percentages):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09"/>
        <w:gridCol w:w="146"/>
        <w:gridCol w:w="676"/>
        <w:gridCol w:w="146"/>
        <w:gridCol w:w="526"/>
        <w:gridCol w:w="146"/>
        <w:gridCol w:w="1398"/>
        <w:gridCol w:w="146"/>
        <w:gridCol w:w="991"/>
        <w:gridCol w:w="146"/>
        <w:gridCol w:w="676"/>
        <w:gridCol w:w="146"/>
        <w:gridCol w:w="526"/>
        <w:gridCol w:w="146"/>
        <w:gridCol w:w="1398"/>
        <w:gridCol w:w="146"/>
        <w:gridCol w:w="1037"/>
      </w:tblGrid>
      <w:tr>
        <w:trPr/>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8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29"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75"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8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8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increase in other income and expense, net during the three and six months ended June 30, 2023, as compared to the same periods in 2022, was primarily due to an increase in interest income from significant financing components from revenue contracts, partially offset by a decrease in realized loss on marketable investments.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Provision for Income Taxes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462"/>
        <w:gridCol w:w="146"/>
        <w:gridCol w:w="676"/>
        <w:gridCol w:w="146"/>
        <w:gridCol w:w="781"/>
        <w:gridCol w:w="146"/>
        <w:gridCol w:w="1264"/>
        <w:gridCol w:w="146"/>
        <w:gridCol w:w="991"/>
        <w:gridCol w:w="146"/>
        <w:gridCol w:w="781"/>
        <w:gridCol w:w="146"/>
        <w:gridCol w:w="781"/>
        <w:gridCol w:w="146"/>
        <w:gridCol w:w="1264"/>
        <w:gridCol w:w="146"/>
        <w:gridCol w:w="1037"/>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4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50"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r>
      <w:tr>
        <w:trPr/>
        <w:tc>
          <w:tcPr>
            <w:tcW w:w="14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4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income tax provision and effective tax rate for interim periods are based on the estimated annual effective tax rate adjusted for discrete items during the period. For the three months ended June 30, 2023, we recorded an income tax expense of $2.4 million on pretax income of $3.8 million, and for the six months ended June 30, 2023, we recorded an income tax expense of $14.2 million on pretax income of $44.6 million, which resulted in effective tax rates of 61.9% and 31.8%, respectively, for the three and six months ended June 30,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June 30, 2022, we recorded an income tax expense of $10.6 million on pretax income of $25.7 million, and for the six months ended June 30, 2022, we recorded an income tax expense of $16.1 million on pretax income of $87.1 million, which resulted in effective tax rates of 41.0% and 18.5%, respectively, for the three and six months ended June 30,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effective tax rate varies from the 21% U.S. federal tax rate due to foreign withholding taxes, state income taxes and unrealized foreign exchange gain or loss from prior year South Korea withholding tax refund claims. The decrease in income tax expense for the three and six months ended June 30, 2023, as compared to the same period in the prior year was primarily due to a decrease in pretax income.</w:t>
      </w:r>
    </w:p>
    <w:p>
      <w:pPr>
        <w:pStyle w:val="TextBody"/>
        <w:bidi w:val="0"/>
        <w:spacing w:before="240" w:after="0"/>
        <w:jc w:val="left"/>
        <w:rPr>
          <w:rFonts w:ascii="Times New Roman" w:hAnsi="Times New Roman"/>
          <w:sz w:val="20"/>
        </w:rPr>
      </w:pPr>
      <w:r>
        <w:rPr>
          <w:rFonts w:ascii="Times New Roman;serif" w:hAnsi="Times New Roman;serif"/>
          <w:b w:val="false"/>
          <w:sz w:val="20"/>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Net Loss from Discontinued Operations, Net of Tax</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results of operations for the three and six months ended June 30, 2022 include three and six months of Xperi Inc.’s operations, which are presented as net loss from discontinued operations, net of tax in the Condensed Consolidated Statement of Operations. Xperi Inc.’s results of operations for the three and six months ended June 30, 2022 were as follows (in thousands):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500" w:type="dxa"/>
        <w:jc w:val="left"/>
        <w:tblInd w:w="0" w:type="dxa"/>
        <w:tblLayout w:type="fixed"/>
        <w:tblCellMar>
          <w:top w:w="28" w:type="dxa"/>
          <w:left w:w="28" w:type="dxa"/>
          <w:bottom w:w="28" w:type="dxa"/>
          <w:right w:w="28" w:type="dxa"/>
        </w:tblCellMar>
      </w:tblPr>
      <w:tblGrid>
        <w:gridCol w:w="4321"/>
        <w:gridCol w:w="146"/>
        <w:gridCol w:w="399"/>
        <w:gridCol w:w="1476"/>
        <w:gridCol w:w="166"/>
        <w:gridCol w:w="146"/>
        <w:gridCol w:w="347"/>
        <w:gridCol w:w="1288"/>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245,091</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271,447</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taxes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27,602</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c>
          <w:tcPr>
            <w:tcW w:w="14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vAlign w:val="center"/>
          </w:tcPr>
          <w:p>
            <w:pPr>
              <w:pStyle w:val="TableContents"/>
              <w:bidi w:val="0"/>
              <w:spacing w:before="0" w:after="0"/>
              <w:ind w:left="0" w:right="0" w:hanging="0"/>
              <w:jc w:val="left"/>
              <w:rPr/>
            </w:pPr>
            <w:r>
              <w:rPr/>
              <w:t> </w:t>
            </w:r>
          </w:p>
        </w:tc>
        <w:tc>
          <w:tcPr>
            <w:tcW w:w="3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(51,686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presents selected financial information related to our liquidity and significant sources and uses of cash, cash equivalents and short-term investments for the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8265" w:type="dxa"/>
        <w:jc w:val="left"/>
        <w:tblInd w:w="0" w:type="dxa"/>
        <w:tblLayout w:type="fixed"/>
        <w:tblCellMar>
          <w:top w:w="28" w:type="dxa"/>
          <w:left w:w="28" w:type="dxa"/>
          <w:bottom w:w="28" w:type="dxa"/>
          <w:right w:w="28" w:type="dxa"/>
        </w:tblCellMar>
      </w:tblPr>
      <w:tblGrid>
        <w:gridCol w:w="4636"/>
        <w:gridCol w:w="146"/>
        <w:gridCol w:w="303"/>
        <w:gridCol w:w="972"/>
        <w:gridCol w:w="146"/>
        <w:gridCol w:w="146"/>
        <w:gridCol w:w="367"/>
        <w:gridCol w:w="1358"/>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debt securities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short-term investments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5590" w:type="dxa"/>
        <w:jc w:val="left"/>
        <w:tblInd w:w="0" w:type="dxa"/>
        <w:tblLayout w:type="fixed"/>
        <w:tblCellMar>
          <w:top w:w="28" w:type="dxa"/>
          <w:left w:w="28" w:type="dxa"/>
          <w:bottom w:w="28" w:type="dxa"/>
          <w:right w:w="28" w:type="dxa"/>
        </w:tblCellMar>
      </w:tblPr>
      <w:tblGrid>
        <w:gridCol w:w="2851"/>
        <w:gridCol w:w="146"/>
        <w:gridCol w:w="217"/>
        <w:gridCol w:w="868"/>
        <w:gridCol w:w="171"/>
        <w:gridCol w:w="150"/>
        <w:gridCol w:w="217"/>
        <w:gridCol w:w="759"/>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left"/>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92,068</w:t>
            </w:r>
          </w:p>
        </w:tc>
        <w:tc>
          <w:tcPr>
            <w:tcW w:w="171"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87,033</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(25,406</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40,800</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financing activities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(120,747</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Our primary sources of liquidity and capital resources are our operating cash flows. Cash, cash equivalents and short-term investments were $84.3 million at June 30, 2023, a decrease of $30.2 million from $114.6 million at December 31, 2022. This decrease resulted primarily from $103.8 million in repayment of our indebtedness, $10.6 million in dividends paid, $23.8 million in purchases of short-term investments, and $1.5 million of capital expenditures, partially offset by $92.1 million of cash generated from operations and $1.1 million in proceeds from the issuance of common stock under our employee stock grant programs and employee stock purchase plans.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The gross realized gains and losses on sales of marketable debt securities were immaterial during the three and six months ended June 30, 2023 and 2022. Unrealized losses on AFS debt securities were immaterial as of June 30, 2023 and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information about our material cash requirements, see “</w:t>
      </w:r>
      <w:r>
        <w:rPr>
          <w:rFonts w:ascii="Times New Roman;serif" w:hAnsi="Times New Roman;serif"/>
          <w:b w:val="false"/>
          <w:i/>
          <w:sz w:val="20"/>
        </w:rPr>
        <w:t>Liquidity and Capital Resources</w:t>
      </w:r>
      <w:r>
        <w:rPr>
          <w:rFonts w:ascii="Times New Roman" w:hAnsi="Times New Roman"/>
          <w:sz w:val="20"/>
        </w:rPr>
        <w:t xml:space="preserve">” </w:t>
      </w:r>
      <w:r>
        <w:rPr>
          <w:rFonts w:ascii="Times New Roman;serif" w:hAnsi="Times New Roman;serif"/>
          <w:b w:val="false"/>
          <w:sz w:val="20"/>
        </w:rPr>
        <w:t>in Part II, Item 7 of our Annual Report on Form 10-K for the year ended December 31, 2022. Other than the principal payment of $103.8 million made by us under the Refinanced Term B Loans during the six months ended June 30, 2023, our cash requirements have not changed materially since December 31, 2022.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expect to continue to make additional payments on our existing debt from cash generated from operations. In addition to our cash requirements, we have returned cash to stockholders through both quarterly dividend payments and repurchases of our common stock under our stock repurchase plan.</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Quarterly Dividends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June 2023, we paid quarterly cash dividends of $0.05 per share of common stock. In July 2023, our board of directors (the “Board”) authorized payment of a quarterly cash dividend of $0.05 per share, to be paid in September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Stock Repurchase Plan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June 30, 2023, we have repurchased an aggregate of approximately 10.0 million shares of common stock at a total cost of $172.2 million at an average price of $17.24. As of June 30, 2023, the total remaining amount available for repurchase under the Plan was $77.8 million. 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from Operating Activities</w:t>
      </w:r>
    </w:p>
    <w:p>
      <w:pPr>
        <w:pStyle w:val="TextBody"/>
        <w:bidi w:val="0"/>
        <w:spacing w:before="240" w:after="0"/>
        <w:jc w:val="left"/>
        <w:rPr>
          <w:rFonts w:ascii="Times New Roman" w:hAnsi="Times New Roman"/>
          <w:sz w:val="20"/>
        </w:rPr>
      </w:pPr>
      <w:r>
        <w:rPr>
          <w:rFonts w:ascii="Times New Roman;serif" w:hAnsi="Times New Roman;serif"/>
          <w:b w:val="false"/>
          <w:sz w:val="20"/>
        </w:rPr>
        <w:t>Our cash flows are presented on a consolidated basis and therefore, also include $144.8 million of cash and cash equivalents included as current assets of discontinued operations in the condensed consolidated balance sheet as of June 30, 2022. Cash flows provided by operations were $92.1 million for the six months ended June 30, 2023, primarily due to our net income of $30.4 million being adjusted for non-cash items of amortization of intangible assets of $47.3 million, deferred income taxes of $1.5 million, amortization of debt issuance costs of $2.2 million and stock-based compensation expense of $8.2 million. These increases were partially offset by $1.7 million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changes in operating assets and liabilities including payment during the period of employee bonuses earned in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flows provided by operations were $87.0 million for the six months ended June 30, 2022, primarily due to our net income of $17.5 million being further adjusted for non-cash items of depreciation of $11.4 million, amortization of intangible assets of $78.5 million and stock-based compensation expense of $32.3 million. These increases were partially offset by $54.1 million in changes in operating assets and liabilities including payment during the first quarter of employee bonuses earned in 2021.</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from Investing Activities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investing activities was $25.4 million for the six months ended June 30, 2023, primarily related to purchases of short-term investments of $23.8 million and capital expenditures of $1.5 million.</w:t>
      </w:r>
    </w:p>
    <w:p>
      <w:pPr>
        <w:pStyle w:val="TextBody"/>
        <w:bidi w:val="0"/>
        <w:spacing w:before="240" w:after="0"/>
        <w:jc w:val="left"/>
        <w:rPr>
          <w:rFonts w:ascii="Times New Roman" w:hAnsi="Times New Roman"/>
          <w:sz w:val="20"/>
        </w:rPr>
      </w:pPr>
      <w:r>
        <w:rPr>
          <w:rFonts w:ascii="Times New Roman;serif" w:hAnsi="Times New Roman;serif"/>
          <w:b w:val="false"/>
          <w:sz w:val="20"/>
        </w:rPr>
        <w:t>Net cash provided by investing activities was $40.8 million for the six months ended June 30, 2022, primarily related to maturities and sales of securities of $54.3 million, partially offset by purchases of short-term investments of $4.5 million and capital expenditures of $8.9 million.</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Capital Expenditures</w:t>
      </w:r>
    </w:p>
    <w:p>
      <w:pPr>
        <w:pStyle w:val="TextBody"/>
        <w:bidi w:val="0"/>
        <w:spacing w:before="240" w:after="0"/>
        <w:jc w:val="left"/>
        <w:rPr>
          <w:rFonts w:ascii="Times New Roman" w:hAnsi="Times New Roman"/>
          <w:sz w:val="20"/>
        </w:rPr>
      </w:pPr>
      <w:r>
        <w:rPr>
          <w:rFonts w:ascii="Times New Roman;serif" w:hAnsi="Times New Roman;serif"/>
          <w:b w:val="false"/>
          <w:sz w:val="20"/>
        </w:rPr>
        <w:t>Our capital expenditures for property and equipment consist primarily of purchases of computer hardware and software, information systems, and production and test equipment. During the six months ended June 30, 2023 and 2022, we spent $1.5 million and $8.9 million on capital expenditures, respectively.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from Financing Activities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was $120.7 million for the six months ended June 30, 2023 due to $103.8 million in repayment of indebtedness, $10.6 million in dividends paid, $7.5 million in repurchases of common stock for tax withholdings on equity awards, partially offset by $1.1 million in proceeds from the issuance of common stock under our employee stock grant programs and employee stock purchase plans.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was $51.3 million for the six months ended June 30, 2022 principally due to $20.3 million in repayment of indebtedness, $10.4 million in dividends paid, and $28.7 million in repurchases of common stock, partially offset by $8.1 million in proceeds due to the issuance of common stock under our employee stock grant programs and employee stock purchase plans.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Long-term Debt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June 8, 2021, we amended (the “Amendment”) that certain Credit Agreement dated June 1, 2020 by and among us,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In connection with the Amendment, we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us with additional flexibility under the covenant governing restricted payments. We commenced repaying quarterly installments under the Refinanced Term B Loans in the third quarter of 2021.</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On May 30, 2023, we amended the 2020 Credit Agreement to replace the reference to LIBOR as the base rate with the reference to the Secured Overnight Financing Rate “SOFR” as administered by the Federal Reserve Bank of New York.</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At June 30, 2023, $645.5 million was outstanding under the Refinanced Term B Loans with an interest rate, including amortization of debt discount and issuance costs of $17.6 million. Interest is payable monthly. Under the existing loan agreements, we have future minimum principal payments for our debt of $20.3 million for the remainder of 2023 and $40.5 million in each year from 2024 through 2027, with the remaining principal balance of $463.3 million due in 2028. After the Separation, we own the debt under the Refinanced B Term Loans. Additionally, we paid $73.5 million during the six months ended June 30, 2023, based on certain leverage ratios and our excess cash flow generated during the year ended December 31, 2022. The payments were made earlier than required under the 2020 Credit Agreement. We are obligated to continue to pay a portion of excess cash flows on an annual basis. The Refinanced Term B Loans contain customary covenants, and as of June 30, 2023, we were in full compliance with such covenants.</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During the six months ended June 30, 2023, there were no significant changes in our critical accounting policies and estimates. See “Note 2 –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 xml:space="preserve">of Notes to the Condensed Consolidated Financial Statements for additional detail. For a discussion of our critical accounting policies and estimates, see Part II, Item 7 – </w:t>
      </w:r>
      <w:r>
        <w:rPr>
          <w:rFonts w:ascii="Times New Roman;serif" w:hAnsi="Times New Roman;serif"/>
          <w:b w:val="false"/>
          <w:i/>
          <w:sz w:val="20"/>
        </w:rPr>
        <w:t>Management’s Discussion and Analysis of Financial Condition and Results of Operations</w:t>
      </w:r>
      <w:r>
        <w:rPr>
          <w:rFonts w:ascii="Times New Roman" w:hAnsi="Times New Roman"/>
          <w:sz w:val="20"/>
        </w:rPr>
        <w:t xml:space="preserve"> </w:t>
      </w:r>
      <w:r>
        <w:rPr>
          <w:rFonts w:ascii="Times New Roman;serif" w:hAnsi="Times New Roman;serif"/>
          <w:b w:val="false"/>
          <w:sz w:val="20"/>
        </w:rPr>
        <w:t>in our Annual Report on Form 10-K.</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See “Note 2 –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of the Notes to Condensed Consolidated Financial Statements for a full description of recent accounting pronouncements including the respective expected dates of adoption.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3" w:name="item_3_quantitative_qualitative_disclosu"/>
      <w:bookmarkEnd w:id="13"/>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For a discussion of our market risk, see Part II, Item 7A – </w:t>
      </w:r>
      <w:r>
        <w:rPr>
          <w:rFonts w:ascii="Times New Roman;serif" w:hAnsi="Times New Roman;serif"/>
          <w:b w:val="false"/>
          <w:i/>
          <w:sz w:val="20"/>
        </w:rPr>
        <w:t>Quantitative and Qualitative Disclosures About Market Risk</w:t>
      </w:r>
      <w:r>
        <w:rPr>
          <w:rFonts w:ascii="Times New Roman" w:hAnsi="Times New Roman"/>
          <w:sz w:val="20"/>
        </w:rPr>
        <w:t xml:space="preserve"> </w:t>
      </w:r>
      <w:r>
        <w:rPr>
          <w:rFonts w:ascii="Times New Roman;serif" w:hAnsi="Times New Roman;serif"/>
          <w:b w:val="false"/>
          <w:sz w:val="20"/>
        </w:rPr>
        <w:t>in our Annual Report on Form 10-K.</w:t>
      </w:r>
    </w:p>
    <w:p>
      <w:pPr>
        <w:pStyle w:val="TextBody"/>
        <w:bidi w:val="0"/>
        <w:spacing w:before="240" w:after="0"/>
        <w:jc w:val="left"/>
        <w:rPr>
          <w:rFonts w:ascii="Times New Roman" w:hAnsi="Times New Roman"/>
          <w:sz w:val="20"/>
        </w:rPr>
      </w:pPr>
      <w:bookmarkStart w:id="14" w:name="item_4_controls_procedures"/>
      <w:bookmarkEnd w:id="14"/>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pStyle w:val="TextBody"/>
        <w:bidi w:val="0"/>
        <w:spacing w:before="240" w:after="0"/>
        <w:jc w:val="left"/>
        <w:rPr>
          <w:rFonts w:ascii="Times New Roman;serif" w:hAnsi="Times New Roman;serif"/>
          <w:b/>
          <w:sz w:val="20"/>
        </w:rPr>
      </w:pPr>
      <w:r>
        <w:rPr>
          <w:rFonts w:ascii="Times New Roman;serif" w:hAnsi="Times New Roman;serif"/>
          <w:b/>
          <w:sz w:val="20"/>
        </w:rPr>
        <w:t>Evaluation of Controls and Procedures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pStyle w:val="TextBody"/>
        <w:bidi w:val="0"/>
        <w:spacing w:before="24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5" w:name="part_ii"/>
      <w:bookmarkEnd w:id="15"/>
      <w:r>
        <w:rPr>
          <w:rFonts w:ascii="Times New Roman;serif" w:hAnsi="Times New Roman;serif"/>
          <w:b/>
          <w:sz w:val="20"/>
        </w:rPr>
        <w:t>PART II - OTHER INFORMATION</w:t>
      </w:r>
    </w:p>
    <w:p>
      <w:pPr>
        <w:pStyle w:val="TextBody"/>
        <w:bidi w:val="0"/>
        <w:spacing w:before="240" w:after="0"/>
        <w:jc w:val="left"/>
        <w:rPr>
          <w:rFonts w:ascii="Times New Roman" w:hAnsi="Times New Roman"/>
          <w:sz w:val="20"/>
        </w:rPr>
      </w:pPr>
      <w:bookmarkStart w:id="16" w:name="item_1_legal_proceedings"/>
      <w:bookmarkEnd w:id="16"/>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normal course of our business, we are involved in legal proceedings. In the past, we have litigated to enforce our patents and other intellectual property rights (“IP”), to enforce the terms of license agreements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bidi w:val="0"/>
        <w:spacing w:before="240" w:after="0"/>
        <w:jc w:val="left"/>
        <w:rPr>
          <w:rFonts w:ascii="Times New Roman;serif" w:hAnsi="Times New Roman;serif"/>
          <w:b/>
          <w:sz w:val="20"/>
        </w:rPr>
      </w:pPr>
      <w:r>
        <w:rPr>
          <w:rFonts w:ascii="Times New Roman;serif" w:hAnsi="Times New Roman;serif"/>
          <w:b/>
          <w:sz w:val="20"/>
        </w:rPr>
        <w:t>Patent Infringement Litigation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ordinary course of our IP licensing business, we are required to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and Trademark Office’s Patent Trial and Appeal Board (and other similar post-grant proceedings outside of the U.S.) seeking to invalidate one or more of our patents. We are currently engaged in multiple lawsuits with several third parties.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Videotron Patent Infringement Litigation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w:t>
      </w:r>
    </w:p>
    <w:p>
      <w:pPr>
        <w:pStyle w:val="TextBody"/>
        <w:bidi w:val="0"/>
        <w:spacing w:before="240" w:after="0"/>
        <w:jc w:val="left"/>
        <w:rPr>
          <w:rFonts w:ascii="Times New Roman" w:hAnsi="Times New Roman"/>
          <w:sz w:val="20"/>
        </w:rPr>
      </w:pPr>
      <w:r>
        <w:rPr>
          <w:rFonts w:ascii="Times New Roman;serif" w:hAnsi="Times New Roman;serif"/>
          <w:b w:val="false"/>
          <w:sz w:val="20"/>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Discovery in the case began in August 2022. The trial is scheduled to start on January 13, 2025.</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Bell and Telus Patent Infringement Litigation</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prevailing party in patent litigation is entitled to reimbursement of certain of its costs and expenses. Accordingly, we paid $2.6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The Bell and Telus memorandum of fact and law is due August 18, 2023.</w:t>
      </w:r>
    </w:p>
    <w:p>
      <w:pPr>
        <w:pStyle w:val="TextBody"/>
        <w:bidi w:val="0"/>
        <w:spacing w:before="240" w:after="0"/>
        <w:jc w:val="left"/>
        <w:rPr>
          <w:rFonts w:ascii="Times New Roman" w:hAnsi="Times New Roman"/>
          <w:sz w:val="20"/>
        </w:rPr>
      </w:pPr>
      <w:r>
        <w:rPr>
          <w:rFonts w:ascii="Times New Roman;serif" w:hAnsi="Times New Roman;serif"/>
          <w:b w:val="false"/>
          <w:sz w:val="20"/>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NVIDIA Patent Infringement Litigation</w:t>
      </w:r>
    </w:p>
    <w:p>
      <w:pPr>
        <w:pStyle w:val="TextBody"/>
        <w:bidi w:val="0"/>
        <w:spacing w:before="240" w:after="0"/>
        <w:jc w:val="left"/>
        <w:rPr>
          <w:rFonts w:ascii="Times New Roman" w:hAnsi="Times New Roman"/>
          <w:sz w:val="20"/>
        </w:rPr>
      </w:pPr>
      <w:r>
        <w:rPr>
          <w:rFonts w:ascii="Times New Roman;serif" w:hAnsi="Times New Roman;serif"/>
          <w:b w:val="false"/>
          <w:sz w:val="20"/>
        </w:rPr>
        <w:t>On May 8, 2019, Adeia Semiconductor Technologies LLC (formerly known as Invensas Corporation) and Adeia Semiconductor Advanced Technologies, Inc. (formerly known as Tessera Advanced Technologies, Inc.) (together, "Adeia Semiconductor") filed a complaint against NVIDIA Corporation (“NVIDIA”) in the United States District Court for the District of Delaware, alleging infringement of five patents, and requesting, among other things, that NVIDIA be ordered to pay compensatory damages in an amount no less than a reasonable royalty. NVIDIA answered the complaint on July 1, 2019, and subsequently moved to transfer the case to the United States District Court for the Northern District of California. The Court denied NVIDIA’s motion to transfer on September 17, 2019.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September 2020, the Patent Trial and Appeal Board (“PTAB”) instituted IPRs of several patents-in-suit. The parties stipulated to an order staying the litigation pending resolution of the IPR proceedings and to dismissal of claims relating to two patents. As a result, there are three patents-in-suit remaining. One patent has no IPRs pending against it and two patents are subject to IPRs. On June 9, 2021, the PTAB held oral arguments in the IPRs. On September 1, 2021, the PTAB issued final written decisions in the IPRs in which it found all challenged claims of the two patents invalid. On November 1, 2021, Adeia Semiconductor filed appeals of each of the IPR decisions with the United States Court of Appeals for the Federal Circuit. On March 22, 2023, the Federal Circuit affirmed the PTAB’s final written decision in both IPRs. The stay of the district court litigation currently remains in effect.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7" w:name="item_1a_risk_factors"/>
      <w:bookmarkEnd w:id="17"/>
      <w:r>
        <w:rPr>
          <w:rFonts w:ascii="Times New Roman;serif" w:hAnsi="Times New Roman;serif"/>
          <w:b/>
          <w:sz w:val="20"/>
        </w:rPr>
        <w:t>Item 1A. Risk Factors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were no material changes to the risk factors previously disclosed in Part 1, Item 1A. of our Annual Report on Form 10-K for the year ended December 31, 2022, which is incorporated by reference herein.</w:t>
      </w:r>
    </w:p>
    <w:p>
      <w:pPr>
        <w:pStyle w:val="TextBody"/>
        <w:bidi w:val="0"/>
        <w:spacing w:before="240" w:after="0"/>
        <w:jc w:val="left"/>
        <w:rPr>
          <w:rFonts w:ascii="Times New Roman;serif" w:hAnsi="Times New Roman;serif"/>
          <w:b/>
          <w:sz w:val="20"/>
        </w:rPr>
      </w:pPr>
      <w:bookmarkStart w:id="18" w:name="unregistered_sales_of_equity_securities"/>
      <w:bookmarkEnd w:id="18"/>
      <w:r>
        <w:rPr>
          <w:rFonts w:ascii="Times New Roman;serif" w:hAnsi="Times New Roman;serif"/>
          <w:b/>
          <w:sz w:val="20"/>
        </w:rPr>
        <w:t>Item 2. Unregistered Sales of Equity Securities and Use of Proceeds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19" w:name="item_3__defaults_upon_senior_securities"/>
      <w:bookmarkEnd w:id="19"/>
      <w:r>
        <w:rPr>
          <w:rFonts w:ascii="Times New Roman;serif" w:hAnsi="Times New Roman;serif"/>
          <w:b/>
          <w:sz w:val="20"/>
        </w:rPr>
        <w:t>Item 3. Defaults Upon Senior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20" w:name="item_4__mine_safety_disclosures"/>
      <w:bookmarkEnd w:id="20"/>
      <w:r>
        <w:rPr>
          <w:rFonts w:ascii="Times New Roman;serif" w:hAnsi="Times New Roman;serif"/>
          <w:b/>
          <w:sz w:val="20"/>
        </w:rPr>
        <w:t>Item 4. Mine Safety Disclosures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21" w:name="item_5__other_information"/>
      <w:bookmarkEnd w:id="21"/>
      <w:r>
        <w:rPr>
          <w:rFonts w:ascii="Times New Roman;serif" w:hAnsi="Times New Roman;serif"/>
          <w:b/>
          <w:sz w:val="20"/>
        </w:rPr>
        <w:t>Item 5. Other Information</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June 30, 2023, there were no</w:t>
      </w:r>
      <w:r>
        <w:rPr>
          <w:rFonts w:ascii="Times New Roman" w:hAnsi="Times New Roman"/>
          <w:sz w:val="20"/>
        </w:rPr>
        <w:t xml:space="preserve"> </w:t>
      </w:r>
      <w:r>
        <w:rPr>
          <w:rFonts w:ascii="Times New Roman;serif" w:hAnsi="Times New Roman;serif"/>
          <w:b w:val="false"/>
          <w:sz w:val="20"/>
        </w:rPr>
        <w:t>Rule 10b5-1 plans or non-Rule 10b5-1 trading arrangements adopted, modified or terminated by any director or officer of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2" w:name="item_6__exhibits"/>
      <w:bookmarkEnd w:id="22"/>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4" w:space="0" w:color="000000"/>
            </w:tcBorders>
            <w:tcMar>
              <w:top w:w="0" w:type="dxa"/>
              <w:left w:w="0" w:type="dxa"/>
              <w:right w:w="0" w:type="dxa"/>
            </w:tcMar>
            <w:vAlign w:val="center"/>
          </w:tcPr>
          <w:p>
            <w:pPr>
              <w:pStyle w:val="TableContents"/>
              <w:bidi w:val="0"/>
              <w:spacing w:before="4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Title</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hyperlink w:anchor="adea-ex31_1.htm">
              <w:r>
                <w:rPr>
                  <w:rStyle w:val="InternetLink"/>
                  <w:rFonts w:ascii="Times New Roman;serif" w:hAnsi="Times New Roman;serif"/>
                  <w:b w:val="false"/>
                  <w:sz w:val="20"/>
                  <w:u w:val="single"/>
                </w:rPr>
                <w:t>Certification of the Chief Executive Officer pursuant to Rule 13a-14(a) of the Securities Exchange Act of 1934</w:t>
              </w:r>
            </w:hyperlink>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hyperlink w:anchor="adea-ex31_2.htm">
              <w:r>
                <w:rPr>
                  <w:rStyle w:val="InternetLink"/>
                  <w:rFonts w:ascii="Times New Roman;serif" w:hAnsi="Times New Roman;serif"/>
                  <w:b w:val="false"/>
                  <w:sz w:val="20"/>
                  <w:u w:val="single"/>
                </w:rPr>
                <w:t>Certification of the Chief Financial Officer pursuant to Rule 13a-14(a) of the Securities Exchange Act of 1934</w:t>
              </w:r>
            </w:hyperlink>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hyperlink w:anchor="adea-ex32_1.htm">
              <w:r>
                <w:rPr>
                  <w:rStyle w:val="InternetLink"/>
                  <w:rFonts w:ascii="Times New Roman;serif" w:hAnsi="Times New Roman;serif"/>
                  <w:b w:val="false"/>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pPr>
            <w:r>
              <w:rPr/>
              <w:t> </w:t>
            </w:r>
          </w:p>
        </w:tc>
      </w:tr>
      <w:tr>
        <w:trPr/>
        <w:tc>
          <w:tcPr>
            <w:tcW w:w="7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3" w:name="signatures"/>
      <w:bookmarkEnd w:id="23"/>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Dated: August 7, 2023</w:t>
      </w:r>
    </w:p>
    <w:p>
      <w:pPr>
        <w:pStyle w:val="TextBody"/>
        <w:bidi w:val="0"/>
        <w:spacing w:before="0" w:after="0"/>
        <w:jc w:val="left"/>
        <w:rPr/>
      </w:pPr>
      <w:r>
        <w:rPr/>
        <w:t> </w:t>
      </w:r>
    </w:p>
    <w:tbl>
      <w:tblPr>
        <w:tblW w:w="2578" w:type="dxa"/>
        <w:jc w:val="left"/>
        <w:tblInd w:w="0" w:type="dxa"/>
        <w:tblLayout w:type="fixed"/>
        <w:tblCellMar>
          <w:top w:w="28" w:type="dxa"/>
          <w:left w:w="28" w:type="dxa"/>
          <w:bottom w:w="28" w:type="dxa"/>
          <w:right w:w="28" w:type="dxa"/>
        </w:tblCellMar>
      </w:tblPr>
      <w:tblGrid>
        <w:gridCol w:w="421"/>
        <w:gridCol w:w="146"/>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ADEIA INC.</w:t>
            </w:r>
          </w:p>
        </w:tc>
      </w:tr>
      <w:tr>
        <w:trPr/>
        <w:tc>
          <w:tcPr>
            <w:tcW w:w="4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4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Keith A. Jones</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24" w:name="adea-ex31_1.htm"/>
      <w:bookmarkStart w:id="25" w:name="ksadeaex31_1"/>
      <w:bookmarkEnd w:id="24"/>
      <w:bookmarkEnd w:id="25"/>
      <w:r>
        <w:rPr>
          <w:rFonts w:ascii="Times New Roman;serif" w:hAnsi="Times New Roman;serif"/>
          <w:b w:val="false"/>
          <w:sz w:val="20"/>
        </w:rPr>
        <w:br/>
      </w:r>
      <w:r>
        <w:rPr>
          <w:rFonts w:ascii="Times New Roman" w:hAnsi="Times New Roman"/>
          <w:sz w:val="20"/>
        </w:rPr>
        <w:t> </w:t>
      </w:r>
      <w:r>
        <w:br w:type="page"/>
      </w:r>
    </w:p>
    <w:p>
      <w:pPr>
        <w:pStyle w:val="TextBody"/>
        <w:bidi w:val="0"/>
        <w:spacing w:before="0" w:after="0"/>
        <w:jc w:val="right"/>
        <w:rPr>
          <w:rFonts w:ascii="Times New Roman;serif" w:hAnsi="Times New Roman;serif"/>
          <w:b/>
          <w:sz w:val="20"/>
        </w:rPr>
      </w:pPr>
      <w:bookmarkStart w:id="26" w:name="exhibit_31_1"/>
      <w:bookmarkEnd w:id="26"/>
      <w:r>
        <w:rPr>
          <w:rFonts w:ascii="Times New Roman;serif" w:hAnsi="Times New Roman;serif"/>
          <w:b/>
          <w:sz w:val="20"/>
        </w:rPr>
        <w:t>Exhibit 31.1</w:t>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the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of the Securities Exchange Act of 1934</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Paul E. Davis, certify that: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Adeia Inc.;</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243" w:type="dxa"/>
        <w:jc w:val="left"/>
        <w:tblInd w:w="0" w:type="dxa"/>
        <w:tblLayout w:type="fixed"/>
        <w:tblCellMar>
          <w:top w:w="28" w:type="dxa"/>
          <w:left w:w="28" w:type="dxa"/>
          <w:bottom w:w="28" w:type="dxa"/>
          <w:right w:w="28" w:type="dxa"/>
        </w:tblCellMar>
      </w:tblPr>
      <w:tblGrid>
        <w:gridCol w:w="1846"/>
        <w:gridCol w:w="146"/>
        <w:gridCol w:w="32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vAlign w:val="center"/>
          </w:tcPr>
          <w:p>
            <w:pPr>
              <w:pStyle w:val="TableContents"/>
              <w:bidi w:val="0"/>
              <w:spacing w:before="0" w:after="0"/>
              <w:ind w:left="0" w:right="0" w:hanging="0"/>
              <w:jc w:val="left"/>
              <w:rPr/>
            </w:pPr>
            <w:r>
              <w:rPr/>
              <w:t> </w:t>
            </w:r>
          </w:p>
        </w:tc>
        <w:tc>
          <w:tcPr>
            <w:tcW w:w="3251" w:type="dxa"/>
            <w:tcBorders>
              <w:bottom w:val="single" w:sz="8" w:space="0" w:color="000000"/>
            </w:tcBorders>
            <w:tcMar>
              <w:top w:w="0" w:type="dxa"/>
              <w:left w:w="0" w:type="dxa"/>
              <w:right w:w="0" w:type="dxa"/>
            </w:tcMar>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/s/ Paul E. Davis</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1" w:type="dxa"/>
            <w:tcBorders/>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Paul E. Davis</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1" w:type="dxa"/>
            <w:tcBorders/>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27" w:name="adea-ex31_2.htm"/>
      <w:bookmarkStart w:id="28" w:name="ksadeaex31_2"/>
      <w:bookmarkEnd w:id="27"/>
      <w:bookmarkEnd w:id="28"/>
      <w:r>
        <w:rPr>
          <w:rFonts w:ascii="Times New Roman;serif" w:hAnsi="Times New Roman;serif"/>
          <w:b w:val="false"/>
          <w:sz w:val="20"/>
        </w:rPr>
        <w:br/>
      </w:r>
      <w:r>
        <w:rPr>
          <w:rFonts w:ascii="Times New Roman" w:hAnsi="Times New Roman"/>
          <w:sz w:val="20"/>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the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of the Securities Exchange Act of 1934</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Keith A. Jones, certify that: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Adeia Inc.;</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043" w:type="dxa"/>
        <w:jc w:val="left"/>
        <w:tblInd w:w="0" w:type="dxa"/>
        <w:tblLayout w:type="fixed"/>
        <w:tblCellMar>
          <w:top w:w="28" w:type="dxa"/>
          <w:left w:w="28" w:type="dxa"/>
          <w:bottom w:w="28" w:type="dxa"/>
          <w:right w:w="28" w:type="dxa"/>
        </w:tblCellMar>
      </w:tblPr>
      <w:tblGrid>
        <w:gridCol w:w="1846"/>
        <w:gridCol w:w="146"/>
        <w:gridCol w:w="20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vAlign w:val="center"/>
          </w:tcPr>
          <w:p>
            <w:pPr>
              <w:pStyle w:val="TableContents"/>
              <w:bidi w:val="0"/>
              <w:spacing w:before="0" w:after="0"/>
              <w:ind w:left="0" w:right="0" w:hanging="0"/>
              <w:jc w:val="left"/>
              <w:rPr/>
            </w:pPr>
            <w:r>
              <w:rPr/>
              <w:t> </w:t>
            </w:r>
          </w:p>
        </w:tc>
        <w:tc>
          <w:tcPr>
            <w:tcW w:w="2051" w:type="dxa"/>
            <w:tcBorders>
              <w:bottom w:val="single" w:sz="8" w:space="0" w:color="000000"/>
            </w:tcBorders>
            <w:tcMar>
              <w:top w:w="0" w:type="dxa"/>
              <w:left w:w="0" w:type="dxa"/>
              <w:right w:w="0" w:type="dxa"/>
            </w:tcMar>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1" w:type="dxa"/>
            <w:tcBorders/>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Keith A. Jones</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1" w:type="dxa"/>
            <w:tcBorders/>
            <w:vAlign w:val="center"/>
          </w:tcPr>
          <w:p>
            <w:pPr>
              <w:pStyle w:val="TableContents"/>
              <w:bidi w:val="0"/>
              <w:spacing w:before="0" w:after="0"/>
              <w:ind w:left="0" w:right="4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29" w:name="adea-ex32_1.htm"/>
      <w:bookmarkStart w:id="30" w:name="ksadeaex32_1"/>
      <w:bookmarkEnd w:id="29"/>
      <w:bookmarkEnd w:id="30"/>
      <w:r>
        <w:rPr>
          <w:rFonts w:ascii="Times New Roman;serif" w:hAnsi="Times New Roman;serif"/>
          <w:b w:val="false"/>
          <w:sz w:val="20"/>
        </w:rPr>
        <w:br/>
      </w:r>
      <w:r>
        <w:rPr>
          <w:rFonts w:ascii="Times New Roman" w:hAnsi="Times New Roman"/>
          <w:sz w:val="20"/>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13a-14(b)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AND 18 U.S.C. SECTION 1350</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of Adeia Inc., a Delaware corporation (the “Company”), on Form 10-Q for the period ended June 30, 2023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Paul E. Davis</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Paul E. Davis</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bl>
    <w:p>
      <w:pPr>
        <w:pStyle w:val="TextBody"/>
        <w:bidi w:val="0"/>
        <w:spacing w:before="0" w:after="0"/>
        <w:jc w:val="left"/>
        <w:rPr/>
      </w:pPr>
      <w:r>
        <w:rPr/>
        <w:t> </w:t>
      </w:r>
    </w:p>
    <w:p>
      <w:pPr>
        <w:pStyle w:val="TextBody"/>
        <w:bidi w:val="0"/>
        <w:spacing w:before="1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13a-14(b)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AND 18 U.S.C. SECTION 1350</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of Adeia Inc., a Delaware corporation (the “Company”), on Form 10-Q for the period ended June 30, 2023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Keith A. Jones</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22927</Words>
  <Characters>124361</Characters>
  <CharactersWithSpaces>149205</CharactersWithSpaces>
  <Paragraphs>7742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