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0"/>
        </w:rPr>
      </w:pPr>
      <w:bookmarkStart w:id="0" w:name="adea-20251231.htm"/>
      <w:bookmarkStart w:id="1" w:name="ksadea20251231"/>
      <w:bookmarkEnd w:id="0"/>
      <w:bookmarkEnd w:id="1"/>
      <w:r>
        <w:rPr>
          <w:rFonts w:ascii="Times New Roman" w:hAnsi="Times New Roman"/>
          <w:color w:val="000000"/>
          <w:sz w:val="20"/>
        </w:rPr>
        <w:b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9"/>
        </w:rPr>
      </w:pPr>
      <w:r>
        <w:rPr>
          <w:rFonts w:ascii="Times New Roman" w:hAnsi="Times New Roman"/>
          <w:b/>
          <w:color w:val="000000"/>
          <w:sz w:val="19"/>
        </w:rPr>
        <w:t>(Mark One)</w:t>
      </w:r>
    </w:p>
    <w:p>
      <w:pPr>
        <w:pStyle w:val="TextBody"/>
        <w:bidi w:val="0"/>
        <w:jc w:val="left"/>
        <w:rPr/>
      </w:pPr>
      <w:r>
        <w:rPr>
          <w:color w:val="000000"/>
        </w:rPr>
        <w:t xml:space="preserve">☒ </w:t>
      </w:r>
      <w:r>
        <w:rPr>
          <w:rFonts w:ascii="Times New Roman" w:hAnsi="Times New Roman"/>
          <w:b/>
          <w:color w:val="000000"/>
          <w:sz w:val="19"/>
        </w:rPr>
        <w:t>ANNUAL REPORT PURSUANT TO SECTION 13 OR 15(d)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60" w:after="283"/>
        <w:jc w:val="left"/>
        <w:rPr/>
      </w:pPr>
      <w:r>
        <w:rPr>
          <w:color w:val="000000"/>
        </w:rPr>
        <w:t xml:space="preserve">☐ </w:t>
      </w:r>
      <w:r>
        <w:rPr>
          <w:rFonts w:ascii="Times New Roman" w:hAnsi="Times New Roman"/>
          <w:b/>
          <w:color w:val="000000"/>
          <w:sz w:val="19"/>
        </w:rPr>
        <w:t>TRANSITION REPORT PURSUANT TO SECTION 13 OR 15(d) OF THE SECURITIES EXCHANGE ACT OF 1934</w:t>
      </w:r>
    </w:p>
    <w:p>
      <w:pPr>
        <w:pStyle w:val="TextBody"/>
        <w:bidi w:val="0"/>
        <w:spacing w:before="60" w:after="283"/>
        <w:jc w:val="center"/>
        <w:rPr>
          <w:rFonts w:ascii="Times New Roman" w:hAnsi="Times New Roman"/>
          <w:b/>
          <w:color w:val="000000"/>
          <w:sz w:val="17"/>
        </w:rPr>
      </w:pPr>
      <w:r>
        <w:rPr>
          <w:rFonts w:ascii="Times New Roman" w:hAnsi="Times New Roman"/>
          <w:b/>
          <w:color w:val="000000"/>
          <w:sz w:val="17"/>
        </w:rPr>
        <w:t>Commission File Number: 001-39304</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13" w:type="dxa"/>
        <w:jc w:val="left"/>
        <w:tblInd w:w="0" w:type="dxa"/>
        <w:tblLayout w:type="fixed"/>
        <w:tblCellMar>
          <w:top w:w="28" w:type="dxa"/>
          <w:left w:w="28" w:type="dxa"/>
          <w:bottom w:w="28" w:type="dxa"/>
          <w:right w:w="28" w:type="dxa"/>
        </w:tblCellMar>
      </w:tblPr>
      <w:tblGrid>
        <w:gridCol w:w="3421"/>
        <w:gridCol w:w="146"/>
        <w:gridCol w:w="124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84-4734590</w:t>
            </w:r>
          </w:p>
        </w:tc>
      </w:tr>
      <w:tr>
        <w:trPr/>
        <w:tc>
          <w:tcPr>
            <w:tcW w:w="342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4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16"/>
              </w:rPr>
            </w:pPr>
            <w:r>
              <w:rPr>
                <w:rFonts w:ascii="Times New Roman" w:hAnsi="Times New Roman"/>
                <w:b/>
                <w:color w:val="000000"/>
                <w:sz w:val="16"/>
              </w:rPr>
              <w:t xml:space="preserve">3025 </w:t>
            </w:r>
            <w:r>
              <w:rPr>
                <w:rFonts w:ascii="Times New Roman" w:hAnsi="Times New Roman"/>
                <w:b/>
                <w:caps/>
                <w:color w:val="000000"/>
                <w:sz w:val="16"/>
              </w:rPr>
              <w:t>O</w:t>
            </w:r>
            <w:r>
              <w:rPr>
                <w:rFonts w:ascii="Times New Roman" w:hAnsi="Times New Roman"/>
                <w:b/>
                <w:color w:val="000000"/>
                <w:sz w:val="16"/>
              </w:rPr>
              <w:t xml:space="preserve">rchard </w:t>
            </w:r>
            <w:r>
              <w:rPr>
                <w:rFonts w:ascii="Times New Roman" w:hAnsi="Times New Roman"/>
                <w:b/>
                <w:caps/>
                <w:color w:val="000000"/>
                <w:sz w:val="16"/>
              </w:rPr>
              <w:t>P</w:t>
            </w:r>
            <w:r>
              <w:rPr>
                <w:rFonts w:ascii="Times New Roman" w:hAnsi="Times New Roman"/>
                <w:b/>
                <w:color w:val="000000"/>
                <w:sz w:val="16"/>
              </w:rPr>
              <w:t>arkway, San Jose, California</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95134</w:t>
            </w:r>
          </w:p>
        </w:tc>
      </w:tr>
      <w:tr>
        <w:trPr/>
        <w:tc>
          <w:tcPr>
            <w:tcW w:w="342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14"/>
              </w:rPr>
            </w:pPr>
            <w:r>
              <w:rPr>
                <w:rFonts w:ascii="Times New Roman" w:hAnsi="Times New Roman"/>
                <w:b/>
                <w:color w:val="000000"/>
                <w:sz w:val="14"/>
              </w:rPr>
              <w:t>(Address of Principal Executive Offices)</w:t>
            </w:r>
            <w:r>
              <w:rPr>
                <w:rFonts w:ascii="Times New Roman" w:hAnsi="Times New Roman"/>
                <w:color w:val="000000"/>
                <w:sz w:val="14"/>
              </w:rPr>
              <w:t xml:space="preserve">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(408) 473-2500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293" w:type="dxa"/>
        <w:jc w:val="left"/>
        <w:tblInd w:w="0" w:type="dxa"/>
        <w:tblLayout w:type="fixed"/>
        <w:tblCellMar>
          <w:top w:w="28" w:type="dxa"/>
          <w:left w:w="28" w:type="dxa"/>
          <w:bottom w:w="28" w:type="dxa"/>
          <w:right w:w="28" w:type="dxa"/>
        </w:tblCellMar>
      </w:tblPr>
      <w:tblGrid>
        <w:gridCol w:w="3151"/>
        <w:gridCol w:w="82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ADEA</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jc w:val="left"/>
        <w:rPr/>
      </w:pPr>
      <w:r>
        <w:rPr/>
        <w:t> </w:t>
      </w:r>
    </w:p>
    <w:p>
      <w:pPr>
        <w:pStyle w:val="TextBody"/>
        <w:bidi w:val="0"/>
        <w:jc w:val="left"/>
        <w:rPr>
          <w:rFonts w:ascii="Times New Roman" w:hAnsi="Times New Roman"/>
          <w:b/>
          <w:color w:val="000000"/>
          <w:sz w:val="15"/>
        </w:rPr>
      </w:pPr>
      <w:r>
        <w:rPr>
          <w:rFonts w:ascii="Times New Roman" w:hAnsi="Times New Roman"/>
          <w:b/>
          <w:color w:val="000000"/>
          <w:sz w:val="15"/>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Section 15(d) of the Securities Exchange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3904" w:type="dxa"/>
        <w:jc w:val="left"/>
        <w:tblInd w:w="0" w:type="dxa"/>
        <w:tblLayout w:type="fixed"/>
        <w:tblCellMar>
          <w:top w:w="28" w:type="dxa"/>
          <w:left w:w="28" w:type="dxa"/>
          <w:bottom w:w="28" w:type="dxa"/>
          <w:right w:w="28" w:type="dxa"/>
        </w:tblCellMar>
      </w:tblPr>
      <w:tblGrid>
        <w:gridCol w:w="1411"/>
        <w:gridCol w:w="376"/>
        <w:gridCol w:w="1696"/>
        <w:gridCol w:w="421"/>
      </w:tblGrid>
      <w:tr>
        <w:trPr/>
        <w:tc>
          <w:tcPr>
            <w:tcW w:w="14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Large accelerated filer</w:t>
            </w:r>
            <w:r>
              <w:rPr>
                <w:rFonts w:ascii="Times New Roman" w:hAnsi="Times New Roman"/>
                <w:color w:val="000000"/>
                <w:sz w:val="20"/>
              </w:rPr>
              <w:t xml:space="preserve">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Accelerated filer </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Non-accelerated filer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Smaller reporting company </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Securities Exchange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The aggregate market value of the registrant’s common stock held by non-affiliates of the registrant as of June 30, 2025 was approximately $887,181,255</w:t>
      </w:r>
      <w:r>
        <w:rPr>
          <w:rFonts w:ascii="Times New Roman" w:hAnsi="Times New Roman"/>
          <w:color w:val="000000"/>
          <w:sz w:val="20"/>
        </w:rPr>
        <w:t xml:space="preserve"> </w:t>
      </w:r>
      <w:r>
        <w:rPr>
          <w:rFonts w:ascii="Times New Roman" w:hAnsi="Times New Roman"/>
          <w:color w:val="000000"/>
          <w:sz w:val="14"/>
        </w:rPr>
        <w:t>(based on the closing sale price of the registrant’s common stock as reported on The Nasdaq Global Select Market).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The number of shares outstanding of the registrant’s common stock as of February 6, 2026 was 109,052,507</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Portions of the registrant’s Proxy Statement for the registrant’s 2026 Annual Meeting of Stockholders will be filed with the Commission within 120 days after the close of the registrant’s 2025 fiscal year and are incorporated by reference in Part III of this Annual Report on Form 10-K to the extent stated herein.</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ANNUAL REPORT ON FORM 10-K</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FOR THE YEAR ENDED DECEMBER 31, 2025</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9"/>
        <w:gridCol w:w="8834"/>
        <w:gridCol w:w="572"/>
      </w:tblGrid>
      <w:tr>
        <w:trPr/>
        <w:tc>
          <w:tcPr>
            <w:tcW w:w="799" w:type="dxa"/>
            <w:tcBorders/>
            <w:vAlign w:val="center"/>
          </w:tcPr>
          <w:p>
            <w:pPr>
              <w:pStyle w:val="TableContents"/>
              <w:bidi w:val="0"/>
              <w:spacing w:before="0" w:after="283"/>
              <w:jc w:val="left"/>
              <w:rPr>
                <w:sz w:val="4"/>
                <w:szCs w:val="4"/>
              </w:rPr>
            </w:pPr>
            <w:r>
              <w:rPr>
                <w:sz w:val="4"/>
                <w:szCs w:val="4"/>
              </w:rPr>
            </w:r>
          </w:p>
        </w:tc>
        <w:tc>
          <w:tcPr>
            <w:tcW w:w="883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Item 1.</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Item 1B.</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Item 1C.</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Cybersecurity</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Item 2.</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Item 3.</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Item 5.</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Item 6.</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(Reserved)</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Item 7.</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Item 7A.</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Item 8.</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Item 9.</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Item 9A.</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Item 9B.</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Item 9C.</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Item 10.</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Item 11.</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Item 12.</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Item 13.</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Item 14.</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exhibitsandfinancial">
              <w:r>
                <w:rPr>
                  <w:rStyle w:val="InternetLink"/>
                  <w:rFonts w:ascii="Times New Roman" w:hAnsi="Times New Roman"/>
                  <w:color w:val="0000FF"/>
                  <w:sz w:val="20"/>
                  <w:u w:val="single"/>
                </w:rPr>
                <w:t>Item 15.</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exhibitsandfinancial">
              <w:r>
                <w:rPr>
                  <w:rStyle w:val="InternetLink"/>
                  <w:rFonts w:ascii="Times New Roman" w:hAnsi="Times New Roman"/>
                  <w:color w:val="0000FF"/>
                  <w:sz w:val="20"/>
                  <w:u w:val="single"/>
                </w:rPr>
                <w:t>Exhibits and Financial Statement Schedules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Item 16.</w:t>
              </w:r>
            </w:hyperlink>
          </w:p>
        </w:tc>
        <w:tc>
          <w:tcPr>
            <w:tcW w:w="8834"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_10k">
              <w:r>
                <w:rPr>
                  <w:rStyle w:val="InternetLink"/>
                  <w:rFonts w:ascii="Times New Roman" w:hAnsi="Times New Roman"/>
                  <w:color w:val="0000FF"/>
                  <w:sz w:val="20"/>
                  <w:u w:val="single"/>
                </w:rPr>
                <w:t>Signatures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cautionary_statement_regarding_forwardlo"/>
      <w:bookmarkEnd w:id="2"/>
      <w:r>
        <w:rPr>
          <w:rFonts w:ascii="Times New Roman" w:hAnsi="Times New Roman"/>
          <w:b/>
          <w:color w:val="000000"/>
          <w:sz w:val="20"/>
        </w:rPr>
        <w:t>Cautionary Statement Regarding Forward-Looking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annual report on Form 10-K (this “Annual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the Company’s ability to pay dividends on a consistent basis or at all; legislative, regulatory, geopolitical and economic developments affecting the Company’s business; general economic and market developments and conditions; the Company’s ability to grow and expand its patent portfolios and expand into additional addressable markets; changes in technology and development of new technology in the industries in which the Company operates; the evolving legal, regulatory and tax regimes under which the Company operates; unforeseen liabilities and expenses; the Company’s ability to carry out its share repurchase program and the timing of any such repurchases;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Although forward-looking statements in this Annual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Annual Report and are based on information currently and reasonably known to us. We undertake no obligation to revise or update any forward-looking statements in order to reflect any event or circumstance that may arise after the date of this Annual Report, other than as required by law. Readers are urged to carefully review and consider the various disclosures made in this Annual Report, which attempt to advise interested parties of the risks and factors that may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part_i"/>
      <w:bookmarkEnd w:id="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principal executive offices are located at 3025 Orchard Parkway, San Jose, California. Our telephone number is 408-473-2500. We maintain a corporate website at </w:t>
      </w:r>
      <w:r>
        <w:rPr>
          <w:rFonts w:ascii="Times New Roman" w:hAnsi="Times New Roman"/>
          <w:sz w:val="20"/>
        </w:rPr>
        <w:t>www.adeia.com</w:t>
      </w:r>
      <w:r>
        <w:rPr>
          <w:rFonts w:ascii="Times New Roman" w:hAnsi="Times New Roman"/>
          <w:color w:val="000000"/>
          <w:sz w:val="20"/>
        </w:rPr>
        <w:t>. The reference to our website does not constitute incorporation by reference of the information contained on this website. Adeia and the Adeia logo are trademarks or registered trademarks of Adeia Inc. or its affiliated companies in the U.S. All other company, brand and product names may be trademarks or registered trademarks of their respective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“Company,” “Adeia,” “we,” “our,” and “us”) are a technology company and an innovation incubator. We have spent decades investing in advanced research and development to create market-leading technologies for the entertainment, media, consumer electronics, and semiconductor industries. Our innovative solutions support practically every aspect of consumers’ day-to-day interaction with media, consumer electronics and entertainment, enabling our customers to build customized, next-generation solutions for users around the globe. We believe our commitment to and investment in innovation has resulted in a leading intellectual property (“IP”) licensing platform in these industries, with an extensive portfolio of media and semiconductor IP. In order to serve an increasingly connected world, we invent, develop, acquire and license fundamental innovations that enhance billions of devices and shape the way millions of people explore and experience entertainment and technology across a variety of platforms.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Ideas are at the heart of our business and are embedded in our name, which means “to license” in Greek. Licensing these ideas is how we go to market – by making our ideas broadly available to the media and semiconductor industries. Our innovations address one of the biggest consumer trends in entertainment today – the massive proliferation of entertainment content and the rapidly changing habits of how consumers are finding, engaging with and enjoying entertainment and evolving technology, such as artificial intelligence (“AI”).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IP licensing platform provides access to innovations that allow our customers, who include some of the largest media, entertainment, consumer electronics, social media and semiconductor companies in the world, to create cutting-edge technology solutions and products. Our engineers and scientists are focused on innovating and creating advanced and forward-thinking solutions to help solve challenges facing the media and semiconductor industries. Our internal innovation engine accounts for approximately 80% of our combined patent portfolio and generates ideas that are converted into our powerful IP, which enables fundamental technologies in our target markets.</w:t>
      </w:r>
    </w:p>
    <w:p>
      <w:pPr>
        <w:pStyle w:val="TextBody"/>
        <w:bidi w:val="0"/>
        <w:spacing w:before="240" w:after="283"/>
        <w:jc w:val="left"/>
        <w:rPr>
          <w:rFonts w:ascii="Times New Roman" w:hAnsi="Times New Roman"/>
          <w:sz w:val="20"/>
        </w:rPr>
      </w:pPr>
      <w:r>
        <w:rPr>
          <w:rFonts w:ascii="Times New Roman" w:hAnsi="Times New Roman"/>
          <w:color w:val="000000"/>
          <w:sz w:val="20"/>
        </w:rPr>
        <w:t>We have a long history of innovation across an extensive set of applications and technologies and have grown an IP portfolio of approximately 13,750 media and semiconductor patent assets, which are specifically designed to meet the evolving needs of businesses and consumers. Our media portfolio covers fundamental aspects of the entertainment experience across platforms, including how users search, save, stream, discover, consume, personalize and interact with content. Many of our media solutions have become ubiquitous across the industry and are being incorporated into emerging solutions that span new and adjacent markets. Our semiconductor portfolio is comprised of patents and technology know-how that we believe enables the new era in semiconductors, including the next generation of logic and memory semiconductors that are powering the increasing demand for generative AI applications. Our semiconductor portfolio generally covers fundamental technology areas, hybrid bonding (or Direct Bond Interconnect (DBI</w:t>
      </w:r>
      <w:r>
        <w:rPr>
          <w:rFonts w:ascii="Times New Roman" w:hAnsi="Times New Roman"/>
          <w:color w:val="000000"/>
          <w:sz w:val="13"/>
        </w:rPr>
        <w:t>®</w:t>
      </w:r>
      <w:r>
        <w:rPr>
          <w:rFonts w:ascii="Times New Roman" w:hAnsi="Times New Roman"/>
          <w:color w:val="000000"/>
          <w:sz w:val="20"/>
        </w:rPr>
        <w:t>)), advanced processing nodes, and advanced packaging solutions. We are also inventing and investing in emerging technology domains, such as thermal solutions (like our RapidCool</w:t>
      </w:r>
      <w:r>
        <w:rPr>
          <w:rFonts w:ascii="Times New Roman" w:hAnsi="Times New Roman"/>
          <w:color w:val="000000"/>
          <w:sz w:val="13"/>
        </w:rPr>
        <w:t>TM</w:t>
      </w:r>
      <w:r>
        <w:rPr>
          <w:rFonts w:ascii="Times New Roman" w:hAnsi="Times New Roman"/>
          <w:color w:val="000000"/>
          <w:sz w:val="20"/>
        </w:rPr>
        <w:t xml:space="preserve"> technology), co-optimization, and microLEDs. Specifically, our portfolio enables us to address the semiconductor market demands of higher bandwidth, improved compute performance, thermal management, and cost management in heterogeneous integration.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technologies span the media and semiconductor industries and our inventions are relevant across the entire AI stack. Our semiconductor innovations enable critical advancements in logic and memory devices that form the backbone of today’s AI infrastructure. Our media portfolio also includes innovations in areas such as natural language processing and reinforcement learning that are core to imaging and video technologies found in a broad array of user experiences in search and recommendation, e-commerce and social media. Our innovations in low latency inferencing and chain of thought are highly relevant across numerous AI applications including large language models and emerging vision language models that are powering the future of content personalization and discovery.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Separation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2022, Xperi Holding Corporation (“Xperi Hold Co”) introduced “Adeia” as the new brand for its IP licensing business. On October 1, 2022, Xperi Hold Co’s product business was separated from Xperi Hold Co through a tax-efficient spin-off transaction (the “Separation”) and became an independent, publicly-traded company named Xperi Inc. The IP licensing business was retained by Xperi Hold Co, which was renamed Adeia Inc.</w:t>
      </w:r>
    </w:p>
    <w:p>
      <w:pPr>
        <w:pStyle w:val="TextBody"/>
        <w:bidi w:val="0"/>
        <w:spacing w:before="24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a proactive strategy designed to protect and extend our technology and IP. We grow our patent portfolios in size and relevance through ongoing investment in internal innovation, strategic management and targeted acquisitions within our expanding addressable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 our business primarily by licensing our innovations to leading companies in the broader media and semiconductor industries and companies adopting new technologies that will help drive these industries forward. License arrangements include access to one or more of our foundational IP portfolios and may also include access to some of our industry-leading technologies and proven know-how.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Media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invent, develop, and license fundamental innovations that shape the way millions of people explore and experience entertainment and enhance media services that span billions of devices in an increasingly connected world. From TVs to smartphones, from home to work to on the go, and in various types of entertainment experiences, from Pay-TV to over-the-top (“OTT”) to social media and to the metaverse, managing content and connections in a way that is smart, immersive, and personal is what our innovations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patented innovations broadly cover all aspects of the entertainment experience, including (i) guidance, (ii) discovery, (iii) search, (iv) recommendations, (v) multi-screen, (vi) personalization, (vii) data analytics, (viii) advertising, (ix) computer vision, (x) content storage and (xi) high-performance computing.</w:t>
      </w:r>
    </w:p>
    <w:p>
      <w:pPr>
        <w:pStyle w:val="TextBody"/>
        <w:bidi w:val="0"/>
        <w:spacing w:before="240" w:after="283"/>
        <w:jc w:val="left"/>
        <w:rPr>
          <w:rFonts w:ascii="Times New Roman" w:hAnsi="Times New Roman"/>
          <w:b/>
          <w:color w:val="5014D7"/>
          <w:sz w:val="40"/>
        </w:rPr>
      </w:pPr>
      <w:r>
        <w:rPr>
          <w:rFonts w:ascii="Times New Roman" w:hAnsi="Times New Roman"/>
          <w:b/>
          <w:color w:val="5014D7"/>
          <w:sz w:val="40"/>
        </w:rPr>
        <w:t>Example of Adeia’s Media Innovation</w:t>
      </w:r>
    </w:p>
    <w:p>
      <w:pPr>
        <w:pStyle w:val="TextBody"/>
        <w:bidi w:val="0"/>
        <w:jc w:val="left"/>
        <w:rPr>
          <w:rFonts w:ascii="Times New Roman" w:hAnsi="Times New Roman"/>
          <w:color w:val="000000"/>
          <w:sz w:val="24"/>
        </w:rPr>
      </w:pPr>
      <w:r>
        <w:rPr>
          <w:rFonts w:ascii="Times New Roman" w:hAnsi="Times New Roman"/>
          <w:color w:val="000000"/>
          <w:sz w:val="24"/>
        </w:rPr>
        <w:t>Shaping How Customers Explore, Experience, and Enhance Video</w:t>
      </w:r>
    </w:p>
    <w:p>
      <w:pPr>
        <w:pStyle w:val="TextBody"/>
        <w:bidi w:val="0"/>
        <w:jc w:val="left"/>
        <w:rPr/>
      </w:pPr>
      <w:r>
        <w:rPr/>
        <w:t> </w:t>
      </w:r>
    </w:p>
    <w:p>
      <w:pPr>
        <w:pStyle w:val="TextBody"/>
        <w:bidi w:val="0"/>
        <w:jc w:val="center"/>
        <w:rPr/>
      </w:pPr>
      <w:r>
        <w:rPr/>
        <w:drawing>
          <wp:inline distT="0" distB="0" distL="0" distR="0">
            <wp:extent cx="6496050" cy="3409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96050" cy="340995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license our patented media innovations for use with traditional linear television, both in North America and internationally, as well as in connection with OTT and social media services that provide access to entertainment inside and outside the home on a broad array of devices. We also license our patented media innovations to consumer electronic companies, for e-commerce applications, and other adjacent media markets, such as automotive, gaming and gambling. We believe the continued growth of video consumption, the evolution of how consumers explore and experience video, and the need for content storage and high-performance computing present new opportunities for us to continue to develop patentable innovations, expand the industries we serve and license additional patent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Semiconductor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semiconductor business invents, develops, and licenses the fundamental technologies that enable the current and next generation devices that we use to watch and enjoy entertainment. We are focused on emerging technologies, including hybrid bonding, thermal solutions (like our RapidCool technology), microLEDs and advanced processing nodes, which address semiconductor market demands for higher bandwidth, improved compute performance and cost management with 2.5 and 3D heterogeneous integration. We license our patented innovations to leading semiconductor companies, and partner with the industry to accelerate the adoption of these technologies. We believe that the multi-generational nature of our DBI platforms will be beneficial to the greater semiconductor sector for years to come.</w:t>
      </w:r>
    </w:p>
    <w:p>
      <w:pPr>
        <w:pStyle w:val="TextBody"/>
        <w:bidi w:val="0"/>
        <w:spacing w:before="240" w:after="283"/>
        <w:jc w:val="left"/>
        <w:rPr>
          <w:rFonts w:ascii="Times New Roman" w:hAnsi="Times New Roman"/>
          <w:b/>
          <w:color w:val="5014D7"/>
          <w:sz w:val="40"/>
        </w:rPr>
      </w:pPr>
      <w:r>
        <w:rPr>
          <w:rFonts w:ascii="Times New Roman" w:hAnsi="Times New Roman"/>
          <w:b/>
          <w:color w:val="5014D7"/>
          <w:sz w:val="40"/>
        </w:rPr>
        <w:t>Leading Semiconductor Innovator</w:t>
      </w:r>
    </w:p>
    <w:p>
      <w:pPr>
        <w:pStyle w:val="TextBody"/>
        <w:bidi w:val="0"/>
        <w:jc w:val="left"/>
        <w:rPr>
          <w:rFonts w:ascii="Times New Roman" w:hAnsi="Times New Roman"/>
          <w:color w:val="000000"/>
          <w:sz w:val="24"/>
        </w:rPr>
      </w:pPr>
      <w:r>
        <w:rPr>
          <w:rFonts w:ascii="Times New Roman" w:hAnsi="Times New Roman"/>
          <w:color w:val="000000"/>
          <w:sz w:val="24"/>
        </w:rPr>
        <w:t>Driving the Future of Semiconductor Technology</w:t>
      </w:r>
    </w:p>
    <w:p>
      <w:pPr>
        <w:pStyle w:val="TextBody"/>
        <w:bidi w:val="0"/>
        <w:jc w:val="left"/>
        <w:rPr/>
      </w:pPr>
      <w:r>
        <w:rPr/>
        <w:t> </w:t>
      </w:r>
    </w:p>
    <w:p>
      <w:pPr>
        <w:pStyle w:val="TextBody"/>
        <w:bidi w:val="0"/>
        <w:jc w:val="center"/>
        <w:rPr/>
      </w:pPr>
      <w:r>
        <w:rPr/>
        <w:drawing>
          <wp:inline distT="0" distB="0" distL="0" distR="0">
            <wp:extent cx="6505575" cy="420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05575" cy="42005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 xml:space="preserve">The pervasiveness and rapid adoption of AI has created tremendous demand for data centers throughout the globe. In those data centers are servers running the most advanced, high performance semiconductors. These semiconductors not only consume an enormous amount of power, but they also create a tremendous amount of heat. The AI era is driving up the power densities of these semiconductors and traditional cooling solutions are unable to meet the thermal loads.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RapidCool technology is a revolutionary direct-to-chip liquid cooling technology for high-performance semiconductor devices. This groundbreaking technology, which has evolved from our deep experience in hybrid bonding and advanced packaging technologies, eliminates thermal interface materials used in conventional processes. RapidCool thereby increases heat dissipation efficiency and lowers the temperature of the semiconductor.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This technology bonds the silicon cold plate directly to the semiconductor, thereby eliminating the thermal interface materials others use and lowers thermal resistance by 70%. This allows RapidCool to effectively manage heat in semiconductors running at 3-times today’s current power densities. </w:t>
      </w:r>
    </w:p>
    <w:p>
      <w:pPr>
        <w:pStyle w:val="TextBody"/>
        <w:bidi w:val="0"/>
        <w:spacing w:before="120" w:after="283"/>
        <w:jc w:val="left"/>
        <w:rPr>
          <w:rFonts w:ascii="Times New Roman" w:hAnsi="Times New Roman"/>
          <w:b/>
          <w:color w:val="5014D7"/>
          <w:sz w:val="40"/>
        </w:rPr>
      </w:pPr>
      <w:r>
        <w:rPr>
          <w:rFonts w:ascii="Times New Roman" w:hAnsi="Times New Roman"/>
          <w:b/>
          <w:color w:val="5014D7"/>
          <w:sz w:val="40"/>
        </w:rPr>
        <w:t>RapidCool</w:t>
      </w:r>
    </w:p>
    <w:p>
      <w:pPr>
        <w:pStyle w:val="TextBody"/>
        <w:bidi w:val="0"/>
        <w:jc w:val="left"/>
        <w:rPr>
          <w:rFonts w:ascii="Times New Roman" w:hAnsi="Times New Roman"/>
          <w:color w:val="000000"/>
          <w:sz w:val="24"/>
        </w:rPr>
      </w:pPr>
      <w:r>
        <w:rPr>
          <w:rFonts w:ascii="Times New Roman" w:hAnsi="Times New Roman"/>
          <w:color w:val="000000"/>
          <w:sz w:val="24"/>
        </w:rPr>
        <w:t>A Revolutionary Direct-to-Chip Liquid Cooling Technology for High Performance Semiconductors</w:t>
      </w:r>
    </w:p>
    <w:p>
      <w:pPr>
        <w:pStyle w:val="TextBody"/>
        <w:bidi w:val="0"/>
        <w:jc w:val="left"/>
        <w:rPr/>
      </w:pPr>
      <w:r>
        <w:rPr/>
        <w:t> </w:t>
      </w:r>
    </w:p>
    <w:p>
      <w:pPr>
        <w:pStyle w:val="TextBody"/>
        <w:bidi w:val="0"/>
        <w:jc w:val="left"/>
        <w:rPr/>
      </w:pPr>
      <w:r>
        <w:rPr/>
        <w:drawing>
          <wp:inline distT="0" distB="0" distL="0" distR="0">
            <wp:extent cx="6505575" cy="2352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05575" cy="23526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also launched a co-optimization effort that builds on our core fundamental semiconductor IP. Co-optimization is a holistic approach whereby the circuit design, process design and system design are optimized simultaneously. We believe that co-optimization is necessary given the limitations of Moore’s Law and that we are uniquely positioned to capitalize on this need given our existing portfolio of semiconductor technologies.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IP Portfolio Licensing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a strong foundation of recurring, annual revenue. That revenue is derived from licensing our patent portfolios across multiple markets,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Multichannel Video Programming Distributors (“MVPD”): </w:t>
      </w:r>
      <w:r>
        <w:rPr>
          <w:rFonts w:ascii="Times New Roman" w:hAnsi="Times New Roman"/>
          <w:color w:val="000000"/>
          <w:sz w:val="20"/>
        </w:rPr>
        <w:t>includes cable, satellite and telecommunications television providers that aggregate and distribute linear content over their own networks (MVPDs), as well as television providers that aggregate and stream linear content over broadband networks (virtual MVPDs). Customers typically pay us a monthly per-subscriber fee and include many of the leading MVPDs and virtual MVPDs such as Charter, Comcast (including Sky), Cox, DISH Network (including Sling TV), Google (including YouTube TV), Hulu + Live TV, Optimum (formerly Altice USA), Verizon and Vodafone.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OTT Video Service Providers: </w:t>
      </w:r>
      <w:r>
        <w:rPr>
          <w:rFonts w:ascii="Times New Roman" w:hAnsi="Times New Roman"/>
          <w:color w:val="000000"/>
          <w:sz w:val="20"/>
        </w:rPr>
        <w:t>includes subscription video-on-demand (“SVOD”) and free advertising-supported streaming service (FAST) providers that offer online services and devices that enable internet streaming and downloading of movies, television shows, music and other types of media content, as well as content providers, networks and media companies that provide content directly to consumers through a variety of business models. Customers have typically paid us fixed fees for specified periods of time and include some of the leading media companies and services including Amazon (including Amazon Prime), DAZN, Disney+, ESPN+, Google (including YouTube), Hulu, Starz and Peacock.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Consumer Electronics (“CE”) Manufacturers: </w:t>
      </w:r>
      <w:r>
        <w:rPr>
          <w:rFonts w:ascii="Times New Roman" w:hAnsi="Times New Roman"/>
          <w:color w:val="000000"/>
          <w:sz w:val="20"/>
        </w:rPr>
        <w:t xml:space="preserve">includes producers of content access points such as smart televisions, streaming media devices, video game consoles, mobile devices, content storage devices, digital cameras and other connected media devices. Our CE licenses are typically structured as license fees based on the number of units licensed, for specified products, in defined territories. Our agreements with some of the larger CE manufacturers generally allow customers to ship an unlimited number of units, provided they pay us fixed fees for specified periods of time. Select customers include LG, Panasonic, Roku, Samsung, Sharp, Canon and TCL.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0"/>
        </w:rPr>
        <w:t xml:space="preserve">Social Media Companies: </w:t>
      </w:r>
      <w:r>
        <w:rPr>
          <w:rFonts w:ascii="Times New Roman" w:hAnsi="Times New Roman"/>
          <w:color w:val="000000"/>
          <w:sz w:val="20"/>
        </w:rPr>
        <w:t xml:space="preserve">includes social media companies that allow users to stream and upload user-generated content, often leveraging a variety of computer vision technologies. Customers have typically paid us fixed fees for specified periods of time and include several of the leading social media companies.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Semiconductors: </w:t>
      </w:r>
      <w:r>
        <w:rPr>
          <w:rFonts w:ascii="Times New Roman" w:hAnsi="Times New Roman"/>
          <w:color w:val="000000"/>
          <w:sz w:val="20"/>
        </w:rPr>
        <w:t>includes providers of memory, logic, sensors, and radio frequency (“RF”) devices commonly used in electronic products such as mobile phones, laptops, PCs, game consoles and servers. Our agreements with our semiconductor customers can include fixed fees, per-unit fees, production based fees, milestone based fees, or a combination of these fees. These agreements are typically for specified periods of time, and our customers include Kioxia, Micron, Samsung, SanDisk, SK Hynix, Sony, ST Microelectronics, and UMC.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grow our business with several specific opportunities, including:</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0"/>
        </w:rPr>
        <w:t xml:space="preserve">Greater penetration in OTT: </w:t>
      </w:r>
      <w:r>
        <w:rPr>
          <w:rFonts w:ascii="Times New Roman" w:hAnsi="Times New Roman"/>
          <w:color w:val="000000"/>
          <w:sz w:val="20"/>
        </w:rPr>
        <w:t>The OTT market continues to grow. For example, the leading provider of SVOD now has worldwide subscribers in excess of 300 million. While these services have significantly lower ARPUs as compared to traditional Pay-TV, the scale of the overall OTT video market continues to grow and presents an increasingly important licensing opportunity for our business. In December of 2024 we announced that Amazon signed a multi-year license agreement for access to our media portfolio. In November of 2024, we initiated litigation against Disney and in December of 2025 we resolved all outstanding litigation and signed a long-term license agreement with Disney for access to our media portfolio. Amazon and Disney are two of the top providers of OTT services and we believe represent a significant proof point that our fundamental innovations from our patent portfolios are similarly relevant to these new and widely-adopted OTT video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Accelerate the Semiconductor licensing business: </w:t>
      </w:r>
      <w:r>
        <w:rPr>
          <w:rFonts w:ascii="Times New Roman" w:hAnsi="Times New Roman"/>
          <w:color w:val="000000"/>
          <w:sz w:val="20"/>
        </w:rPr>
        <w:t xml:space="preserve">With the rising cost and complexity of developing cutting-edge semiconductor manufacturing processes, the industry is increasingly looking beyond Moore’s Law towards advanced packaging and 3D integration technologies. Leveraging the combination of our highly-experienced technologists, scientists and engineers and our advanced research and development (“R&amp;D”) labs, we continue to develop industry-leading 3D integration solutions such as hybrid bonding that meet the demand for greater functionality, higher performance and smaller size for the next generation of electronics. In November of 2025 we initiated litigation against AMD, one of leading companies powering next generation semiconductors for the AI ecosystem. We believe our semiconductor portfolio, including our advanced process node and hybrid bonding technologies, are utilized by AMD and that AMD needs a license to our portfolio.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 into new and adjacent markets: </w:t>
      </w:r>
      <w:r>
        <w:rPr>
          <w:rFonts w:ascii="Times New Roman" w:hAnsi="Times New Roman"/>
          <w:color w:val="000000"/>
          <w:sz w:val="20"/>
        </w:rPr>
        <w:t>With the proliferation of media discovery and distribution and computer vision technologies into new and adjacent markets outside of our current MVPD, OTT, and social media markets, new opportunities have emerged for us to leverage our existing IP portfolios to seek license arrangements with many new companies within a variety of new markets. Some of these new markets include companies that provide advertising technology, automotive, e-commerce, gaming, and music streaming products and services. We have begun to see traction in these adjacent markets and announced multiple new e-commerce deals since November of 2024.</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Expansion of MVPD licensing internationally: </w:t>
      </w:r>
      <w:r>
        <w:rPr>
          <w:rFonts w:ascii="Times New Roman" w:hAnsi="Times New Roman"/>
          <w:color w:val="000000"/>
          <w:sz w:val="20"/>
        </w:rPr>
        <w:t>We continue to license MVPDs internationally and have already successfully licensed several leading providers. Licensing unlicensed international MVPD providers presents a significant opportunity for expanding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&amp;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demonstrated by our portfolio of industry recognized, widely-deployed, advanced technologies and IP, we have a long track record of innovating in the fields of media and semiconductors. We believe that ongoing investment in R&amp;D is required for us to remain competitive in the markets we serve. Today, we have a collection of world-class talent and strong R&amp;D capabilities. Our ongoing investment in R&amp;D, which is supported by a strong industry network of partners, enables us to create original inventions which shape and anticipate future market trends in markets we serve. We continue to focus our R&amp;D efforts on IP development and next generation technology solutions, including semiconductor hardware research, machine learning, generative AI and advanced algorithm development. Our R&amp;D projects follow a forward-looking technology roadmap and aim to execute a pragmatic technology strategy to position us with a sustainable competitive advantage for decades to come.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exclusionary nature of patent rights, we do not compete, in a traditional sense, with other patent holders for patent licensing relationships. Other patent holders do not have the same rights to the inventions and technologies encompassed by our patent portfolio. In any service, device, or piece of equipment that contains IP, the provider or manufacturer may need to obtain licenses from multiple holders of the 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Protecting 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an industry in which innovation, investment in new ideas and protection of our IP rights are critical for success. We protect our innovations and inventions through a variety of means, including applying for patent protection domestically and internationally. As of December 31, 2025, we held approximately 13,750 patent and patent applications worldwide, including approximately 6,250 United States issued patents and 1,950 patent applications, as well as approximately 4,100 foreign issued patents and 1,450 patent applications. The last of our currently issued patents is set to expire in March 2045. From time to time, we acquire complementary IP portfolios. Our criteria for patent acquisitions include: compatibility with our existing portfolios, the number and jurisdiction of patent assets, the technical and legal strength of the patents, the actual or likely adoption by the industry and the economic value of the inventions.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are engaged with and have successfully licensed and transferred our technologies to many companies, some of the companies that use our patented technologies have nonetheless chosen not to enter into license agreements with us. Consequently, we have, at times, initiated litigation to enforce our IP rights and protect our investment.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opportunities for our success and growth depend in large part on our ability to attract, develop and retain a talented and engaged workforce. In particular, we are competing for technical talent and we need to offer not only robust and attractive compensation packages but also provide broad opportunities for our employees to make an impact, grow and develop. As of December 31, 2025, we had a talent base consisting of approximately 150 full-time employees, with substantially all of our employees located in the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enable our talent to actively contribute to, and have a positive impact on our overall business, we develop and maintain programs and initiatives ranging from competitive compensation and benefits offerings to goal and performance management. In support of these efforts, our board of directors (the “Board of Directors”) monitors many of these programs and initiatives and provides guidance and feedback as appropriate. Our goal is to provide a work environment that empowers our teams and enables employees to enjoy a healthy and productive work-life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incentives are based on merits, and we have a strong pay-for-performance culture. We benchmark our total rewards annually to ensure our compensation and benefit programs remain competitive with industry peers. Our compensation framework for employees reflects a combination of fixed and variable pay including base salary, bonuses, performance stock awards and stock-based compensation. We offer competitive employee benefits that are designed to meet or exceed local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invest in the career growth of our employees by providing a wide range of development opportunities, including face-to-face, virtual, social and self-directed learning, mentoring, coaching, training and external development. We also conduct annual assessments of employees to identify development needs based on department goals. We believe in the principles of a learning organization and strive to provide continuous educational opportunities for our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leverage our manager ecosystem to align corporate goals with employee objectives. We have delivered management training and supplementary resources to enable our management community to provide excellent support and guidance to their teams. Employees are encouraged to create and align individual, functional and team-based goals, track performance against goals, write self-evaluations and provide feedback to supervisors or management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employees are covered by a collective bargaining agreement or are represented by a labor union. We have not experienced any organized work stoppages, and we consider the relationships with our employees to be positive.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internet address is www.adeia.com, where we make available, free of charge, our annual reports on Form 10-K, quarterly reports on Form 10-Q, current reports on Form 8-K and any amendments to those reports, as soon as reasonably practicable after we electronically file such material with, or furnish it to, the SEC. Our SEC reports can be accessed through the investor relations section of our website. The information found on or accessible through our website is not incorporated into this or any other report we file with or furnish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and financial results are subject to various risks and uncertainties, including those described below, that could adversely affect our business, financial condition, results of operations, cash flows, and the trading price of our common stock.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principal risks that could adversely affect our business, operations and financial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Our Business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IP licensing business is dependent on the strength of our patent portfolios.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IP license agreements that have fixed expiration dates and if, upon expiration or termination, we are unable to renew or replace such license agreements on terms favorable to us, our results of operations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adequately protect, maintain and enforce our IP rights, contract rights, and our confidential information, our business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use adequate mechanisms to protect our technology and IP, or if a court fails to enforce our IP rights, our business will suffer. We cannot be certain that these protection mechanisms can be successfully asserted in the future or will not be invalidated or challenged.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nature of our business, we could continue to be involved in a number of costly litigation, arbitration and administrative proceedings to enforce or defend our IP rights and to defend our licensing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IP license agreements contain “most favored nations” clauses, which may restrict our ability to offer more competitive terms to other customers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make strategic decisions about our patent portfolios. Although we seek to focus our operations in areas where we see the potential for growth and to divest assets where we see more limited opportunities, dispositions we decide to undertake may involve risks, and the anticipated benefits of such actions may not be realized.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structure and timing of our IP license agreements may cause fluctuations in our quarterly or annual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IP license agreements may convert to fully paid-up licenses at the expiration of their terms, or upon the occurrence of certain events, and in such event, we will not receive fees thereafter.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long-term success of our business is partially dependent on a royalty-based business model, which is inherently risky.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revenue and cash flow is dependent upon our customers’ sales and other factors that are beyond our control or are difficult to forecast.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lose any of our key personnel or are unable to attract, train and retain qualified personnel, we may not be able to execute our business strategy effectively.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Financial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significant indebtedness which could adversely affect our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variable interest rate indebtedness exposes us to the risk of rising interest rates, which would cause our debt costs to increase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cash to service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Repayment of debt is dependent on cash flow generated by our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or interpretations of, tax rules and regulations, could adversely affect our effective tax rates and negatively affect our business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use net operating losses to offset future taxable income may be subject to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Regulatory and Legal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regulations, or interpretations of existing laws, relating to IP rights or the internet could create uncertainties and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deterioration of trade relations between the United States and China, other trade conflicts and barriers, economic sanctions, and national security protection policies could limit or prevent existing or potential customers from doing business with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Separation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distribution, together with certain related transactions, were to fail to qualify for non-recognition treatment for U.S. federal income tax purposes, then we could be subject to significant tax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Separation, we assumed, and indemnified Xperi Inc. for certain liabilities. If we are required to make payments pursuant to these indemnities, we may need to divert cash to meet those obligations and our financial results could be negatively impacted. In addition, Xperi Inc. assumed, and must indemnify us for certain liabilities. These indemnities may not be sufficient to insure us against the full amount of liabilities for which we will be allocated responsibility, and Xperi Inc. may not be able to satisfy its indemnification obligations in the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and operating results may vary, which may cause the price of our common stock to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pay dividends or pay dividends at a consistent rate, and any decrease in or suspension of the dividend could cause our stock price to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repurchase program could increase the volatility of the price of our common stock, and the program may be suspended or terminated at any time, which may cause the trading price of our common stock to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of our certificate of incorporation and bylaws or Delaware law might delay or prevent a change of control transaction and depress the market price of our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Our Business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success of our IP licensing business is dependent on the strength of our patent portfolios.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derive our revenue from the licensing of our patents and other intellectual property, including patent licenses and technology transfer agreements. The success of our business depends on our ability to continue to develop, acquire, maintain, defend and enforce patents that address the evolving needs of the industries in which our current or future customers operate. We devote significant resources to develop and acquire such patents and we must continue to do so in the future to remain competitive. Competition for acquiring such patents is intense and there is no assurance that we can continue to acquire such patents on favorable terms or develop such patents in a timely or economical fashion. Furthermore, our patents will expire in the future, the timing of which varies from jurisdiction to jurisdiction. Our current U.S. issued patents expire at various times through the next two decades. Consequently, to maintain and grow our licensable portfolio of IP rights we need to develop or acquire successful innovations and obtain patents on those innovations, or acquire patents from third parties, before our current patents expire. Our failure to do so would harm our business, financial position, results of operations, and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enter into IP license agreements that have fixed expiration dates and if, upon expiration or termination, we are unable to renew or replace such license agreements on terms favorable to us, our results of operations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IP license agreements that have fixed expiration dates. Upon expiration of such agreements, we need to renew or replace these agreements in order to maintain our revenue base. If we are unable to replace the revenue from an expiring license, either through a renewal of such license or with licenses from other customers, our results of operations would be adversely impacted as compared to periods prior to such expiration.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not be able to continue entering into licenses on terms that are favorable to us, which would harm our results of operations. While we have expanded our licensable technology portfolio through internal development and third-party acquisitions, there is no guarantee that these measures will lead to continued revenue. If we fail to continue to do business with our current customers, our business would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 small number of our customers represent a significant percentage of our revenue. For the year ended December 31, 2025, five customers represented 55.7% of aggregate revenue. Agreements with some of these customers do not require any minimum license fees. Consumer demand for our technologies can shift quickly as many of the markets in which we serve are rapidly evolving. As a result, these customers may lose subscribers, which would reduce our revenue. Accordingly, the possibility that a customer, including a customer that represents a significant portion of our revenue, may reduce or eliminate its use of our technologies, presents a risk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adequately protect, maintain and enforce our IP rights, contract rights, and our confidential information, our business will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primarily on a combination of license, development and nondisclosure agreements and other contractual provisions, as well as IP laws, to protect our technology and IP. If we fail to protect our technology or IP, including by failing to enforce the terms of our contracts or IP rights through litigation, our customers and others may seek to use our technology and IP without a license or without the payment of license fees, which could weaken our competitive position, reduce our operating results and increase the likelihood of costly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Others, including our customers, may also develop new technologies that are similar or superior to our technologies, duplicate our technologies or design around our technologies. The growth of our business depends in large part on our ability to anticipate technological developments, secure relevant IP rights in a timely manner, convince third parties of the applicability of our IP rights to their products and services, and maintain and enforce our IP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attempt to obtain patent protection for our innovations, and our license agreements typically include both issued patents and pending patent applications. If we fail to file for patents in a timely manner or if the patents issued to us do not cover all of the inventions disclosed in our patent applications, others could use portions of our technology and IP without a license or without the payment of license fees.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use adequate mechanisms to protect our technology and IP, or if a court fails to enforce our IP rights, our business will suffer. We cannot be certain that these protection mechanisms can be successfully asserted in the future or will not be invalidated or challenged.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laws and enforcement regimes of certain countries may not protect our technology and IP to the same extent as do the laws and enforcement regimes of the U.S. In certain jurisdictions we may be unable to protect our technology and IP adequately against unauthorized use, which could adversely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times, we are engaged in disputes regarding the licensing of our IP rights, including matters related to our license fees and other terms of our licensing arrangements. These types of disputes can be asserted by our customers, prospective customers, or by other third parties as part of negotiations with us or in private actions seeking monetary damages or injunctive relief, or in regulatory actions. Any such disputes, regardless of their merit, could be difficult and costly to defend or settle and could adversely impact our revenue and harm our reputation. Damages and requests for injunctive relief asserted in disputes like these could be significant and disruptive to our business, require significant management time and resources, and could limit or delay our ability to offer certain technologies or enter into or maintain certain license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Due to the nature of our business, we could continue to be involved in a number of costly litigation, arbitration and administrative proceedings to enforce or defend our IP rights and to defend our licensing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some companies seek licenses before they commence manufacturing and/or selling products, services or solutions that use our patented inventions, most do not. Consequently, we proactively approach companies and seek to establish license agreements for using our inventions. We expend significant time and effort identifying users and potential users of our inventions and negotiating license agreements with companies, including those that may be reluctant to pay for licenses to our IP. However, if we believe that a third party is required to take a license to our patents in order to manufacture, sell, offer for sale, import or use products and services, we have in the past commenced, and may in the future, commence legal or administrative action against the third party if they refuse to enter into a license agreement with us. In addition, in connection with such legal or administrative actions to defend our IP rights and our licensing practices, we have faced, and could continue to face, counterclaims and other legal proceedings that claim that our patents are invalid, unenforceable or not infringed. Litigation adversaries have also filed against us, and other third parties may in the future file validity challenges such as Inter Partes Review proceedings in the USPTO, which can lead to delays of our patent infringement actions as well as potential findings of invalidity. Further, in certain jurisdictions where we may pursue protections of our IP rights, if we are unsuccessful in litigation, we may be liable for the costs of defendants that receive favorable rulings. Given the nature of our business, such proceedings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Some of our IP license agreements contain “most favored nations” clauses, which may restrict our ability to offer more competitive terms to other customers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license agreements contain “most favored nation” clauses, which typically provide that if we enter into an agreement with another customer on more favorable terms, we must offer some of those terms to our existing customers with the “most favored nation” clauses. We have entered into a number of license agreements with terms that differ in some respects from those contained in other agreements. These agreements may obligate us to provide different, more favorable, terms to those customers, which could, if applied, result in lower revenue or otherwise adversely affect our business, financial condition, and results of operations. While we believe that we have appropriately complied with the most favored nation terms included in our license agreements, these contracts are complex and other parties could reach a different conclusion that, if enforced, could have an adverse effect on our financial condition or results of operations. Disputes over such terms may be costly, difficult and time-consuming to resolve, and could divert our management’s attention and resources.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regularly make strategic decisions about our patent portfolios. Although we seek to focus our operations in areas where we see the potential for growth and to divest assets where we see more limited opportunities, dispositions we decide to undertake may involve risks, and the anticipated benefits of such actions may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intend to make strategic decisions about our patent portfolio, whether through a formal portfolio review or opportunistic dispositions. Cost savings expectations of any portfolio review are inherently uncertain and, therefore, we cannot provide assurance that we will achieve any expected or actual cost savings from any such action. Our portfolio review activities may place substantial demands on our management, which could lead to the diversion of management’s attention from other business priorities. Any assets that we divest could turn out to be more valuable than we had anticipated, and we may not realize the anticipated benefits of any strategic decision about our patent portfolio.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structure and timing of our IP license agreements may cause fluctuations in our quarterly or annual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enter into IP license agreements that include pricing or payment terms that may result in quarter-to-quarter or year-over-year fluctuations in our revenue and cash flows. Further, we recognize both recurring and non-recurring revenue in various periods depending on the timing and content of the contractual arrangements. See “Management’s Discussion and Analysis of Financial Condition and Results of Operations – Critical Accounting Policies and Estimates - Revenue Recognition.” As a result, the effects of these terms may cause our aggregate annual revenue to fluctuate significantly or to grow less rapidly than annual growth in the applicable end market. Additionally, our customers may fail to pay, delay payment of, or underpay what they owe to us under our IP license agreements, which may in turn require us to enforce our contractual rights through legal proceedings, resulting in payment amounts and timing different than expected based on the terms of our license agreements. This also may cause our revenue and cash flows to fluctuate on a quarter-to-quarter or year-over-year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Some of our IP license agreements may convert to fully paid-up licenses at the expiration of their terms, or upon the occurrence of certain events, and in such event we will not receive fees thereafter.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and may continue to enter into semiconductor IP license agreements that automatically convert to fully paid-up licenses upon expiration of a specified term or upon the occurrence of certain events. We may not receive further fees from customers for any licensed technology under those agreements if they convert to fully paid-up licenses because such customers will be entitled to continue using some, if not all, of the relevant IP or technology under the terms of the license agreements without further payment, even if relevant patents or technologies are still in effect. If we cannot find another source of fees to replace the fees from these license agreements converting to fully paid-up licenses, our results of operations following such conversion would be materially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long-term success of our business is partially dependent on a royalty-based business model, which is inherently risky.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long-term success of our business is partially dependent on royalties paid to us by customers. Fees under our licenses may be based upon, among other things, the number of subscribers for Pay-TV, a per-unit sold basis, or a fixed quarterly or annual amount. We are dependent upon our ability to structure, negotiate, and enforce agreements for the determination and payment of such fees, as well as upon our customers’ compliance with their agreements. We face risks inherent in a license-based business model, many of which are outside of our control, such as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subscribers our Pay-TV customers have;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of adoption and incorporation of our technology by semiconductor manufacturers, assemblers, foundries, and manufacturers of consumer and communication electronics;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products that incorporate our licensed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cyclicality of supply and demand for products using our licensed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economic downturns;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poor financial performance of our customers.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portion of our revenue and cash flow is dependent upon our customers’ sales and other factors that are beyond our control or are difficult to forecast.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revenue is dependent on sales by our customers that are outside our control and that could be negatively affected by a variety of factors, including global, regional and/or country-specific economic conditions and/or public health concerns, outbreaks or pandemics, country-specific natural disasters, hostilities, or armed conflicts impacting licensee manufacturing and sales, demand and buying patterns of end users, which are often driven by increasingly rapid replacement and innovation cycles, the service life of products incorporating our technologies, competition for our customers’ products, trade regulations and the imposition of tariffs, supply chain disruptions, and any decline in the sale prices our customers receive for their covered products and services. The foregoing factors are difficult to forecast and could adversely affect both our quarterly and annual operating results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our customers to continue paying their obligations under their license agreements to provide us cash flow, and our customers may delay, refuse to or be unable to make payments to us due to financial difficulties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our customers sign multi-year agreements with us providing for periodic payments through the term of the agreement. As such, we are dependent upon our customers to make timely payments to provide us with our cash flows. A number of our customers may face severe financial difficulties from time to time, which may result in their inability to make payments to us in a timely manner, or at all. In addition, we have had a history of, and we may in the future experience, customers that delay or refuse to make payments owed to us under IP license or settlement agreements, which may result in us filing lawsuits to enforce our rights. For example, in October of 2023, our affiliates filed a complaint against Shaw Cablesystems G.P. and Shaw Satellite G.P. (together “Shaw”) in the United States District Court for the Southern District of New York, alleging breach of contract for failure to pay royalties under a license agreement. Such lawsuits can require us to devote significant time and resources to enforce our rights. Our customers may also merge with or may shift the manufacture of licensed products to companies that are not currently customers of our technology. This could make the collection process complex, difficult and costly, which could adversely impact our business, financial condition, results of operations and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 is difficult for us to verify royalty amounts owed to us under our IP license agreements, and this may cause us to lose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our IP license agreements often require our customers to report on the number of subscribers or unit sales on a periodic basis. However, we may have difficulty independently determining whether our customers are reporting such data accurately. In addition, although our license terms generally give us the right to audit books and records of our customers to verify this information, audits can be expensive, time consuming, potentially detrimental to our ongoing business relationships with our customers and, in some cases, may not be cost justified based on our understanding of our customers’ businesses.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competitive risks in the provision of IP licenses to the industries that we serve, including the entertainment industry and electronic industries.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exclusionary nature of patent rights, we do not compete, in a traditional sense, with other patent holders for patent licensing relationships. Other patent holders do not have the same rights to the inventions and technologies encompassed by our patent portfolio. However, our future success depends on our ability to establish and maintain licensing relationships with companies in the industries that we currently serve and may enter in the future, including Pay-TV service providers, CE manufacturers, semiconductor and equipment manufacturers, and the entertainment and electronics businesses.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pursuit of acquisitions and divestures may adversely affect our business operations or stock price if we cannot successfully execute our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made several acquisitions and it is our current plan to continue to acquire assets, patents or companies that we believe are strategic to our future business. Acquisitions involve challenges in terms of successful integration of IP, technologies, and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will depend, in part, upon the ability of our management team to manage any growth effectively, requiring our management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 hire, and train additional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 and improve our operational and financial systems, procedures, and controls;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our cost structure at an appropriate level based on the revenue and cash we forecast and generate;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 multiple concurrent IP development projects;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 operations in multiple time zones with different cultures and languages.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realize the anticipated benefits of the other acquisitions or other strategic transactions we may complete in the future, and we may not be able to incorporate any acquired IP or technologies with our existing operations, or integrate personnel, systems, processes and operations from the acquired businesses, in which case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Financing for future acquisitions or other strategic transactions may not be available on favorable terms, or at all. If we use our equity securities to fund the acquisition, it may result in significant dilution to our existing stockholders. If we identify an appropriate acquisition candidate for any of our businesses, we may not be able to negotiate the terms of the acquisition successfully, finance the acquisition or integrate the acquired technologies or employees into our existing business and operations. Future acquisitions and divestitures may not be well-received by the investment community, which may cause the value of our stock to fall. We cannot ensure that we will be able to successfully complete any acquisition or divestiture in the future. Further, the terms of our indebtedness constrain our ability to make and finance additional acquisitions or divestitures.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exposed to the risks related to international sales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derive a portion of our total revenue from operations outside of the United States. Therefore, we face exposure to risks of operating in many foreign countries,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difficulties and costs associated with complying with a wide variety of complex laws, treaties, regulations and compliance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political or regulatory environments;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regional hostilities, armed conflicts and wars;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earnings and cash flows that may be subject to tax withholding requirements or the imposition of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controls or other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trade conflict, and wars;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sanctions, import and export restrictions, and other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anti-bribery and anti-corruption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constrained supply chains;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overseas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obtaining approval for significant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one or more of the above factors could adversely affect our international operations and could significantly affect our results of operations, financial condition, cash flows, and reputation. The results of our operations are dependent to a large extent upon the global economy. Geopolitical factors such as terrorist activities, armed conflict, global health conditions, outbreaks or pandemics that adversely affect the global economy may adversely affect our operating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risks associated with compliance with applicable anti-corruption laws, including the Foreign Corrupt Practices Act (FCPA), which generally prohibits companies and their employees and intermediaries from making payments to foreign officials for the purpose of obtaining an advantage or benefits, and requires public companies to maintain accurate books and records and a system of internal accounting controls. Under these laws, companies may be held liable for actions taken by directors, officers, employees, agents, or other partners or representatives. If we or our intermediaries fail to comply with the requirements of the FCPA or similar laws, governmental authorities could commence an investigation or seek to impose civil and criminal fines and penalties which could have a material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systems, networks and business activities and those of third parties that we utilize in our operations are subject to cybersecurity and stability risks, including information technology system failures, and security breaches.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provisions for system redundancy and the implementation and integration of security and risk management measures within our internal and external information technology and networking systems, our information technology systems and those of third parties that we utilize in our operations may be subject to security breaches, unauthorized access (malicious or accidental), misuse of information by authorized users, data leaks or unintentional exposure of information, failed processes or other bugs, loss of data, damages from computer viruses or malware, natural disasters, terrorism, telecommunication failures or disruption of service. In addition, our business activities depend on the ability to store and transmit confidential or proprietary information and data securely on our systems and third-party systems and over private, and public networks.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compromise of our ability to store or transmit such information and data securely or reliably, and any costs associated with preventing, assessing or eliminating such problems, could harm our business. Our activities are subject to a number of cybersecurity and stability risks: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own or licensed encryption and authentication technology, or access or security procedures, may be compromised, breached or otherwise be insufficient to ensure the security of confidential or proprietary information or data, including customer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experience damage from unauthorized access, computer viruses, ransomware, system interference or destruction, “denial of service” attacks and other disruptive problems, whether intentional or accidental, that may inhibit or prevent access to our websites and infrastructure, or cause confidential or proprietary information to be disclosed to a perpetrator, others or the general public;</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hackers could circumvent our integrated risk management processes and security measures and misappropriate our information, or our customers’ proprietary information or content, interrupt operations, or jeopardize our licensing arrangements, many of which are contingent on our sustaining appropriate security protections;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inadvertently disclose confidential or proprietary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foregoing risks also applies to the computer systems of third parties that we rely upon in our operations, including providers of cloud storage and services. The occurrence of any of these or similar events could damage our business, hurt our ability to license IP and collect revenue, threaten the proprietary or confidential nature of our technology, harm our reputation, increase the costs of our ongoing cybersecurity monitoring, protections and enhancements, require us to incur significant expenses to evaluate, address, remediate or resolve such issues and expose us to litigation and other liabilities. Because some of our technologies are intended to inhibit use of or restrict access to our customers’ IP, we may become the target of hackers or other persons whose use of, or access to, our customers’ IP is affected by our technologies. Also, hackers may, for financial gain or other motives, seek to infiltrate or damage our systems, or obtain sensitive business information or customer information from our systems. Further, the use of AI by cybercriminals may increase the frequency and severity of cybersecurity attacks against us or our third-party vendors and clients. We also may be exposed to customer claims, or other liability, in connection with any security breach or inadvertent disclosure. We may be required to expend significant capital or other resources to protect against the threat of security breaches, hacker attacks or system malfunctions or to alleviate and remediate problems caused by such breaches, attacks or failures.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lose any of our key personnel or are unable to attract, train and retain qualified personnel, we may not be able to execute our business strategy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large part, on the continued contributions of our key management, IP, sales, marketing, legal and finance personnel, many of whom are highly skilled and would be difficult to replace. None of our senior management or key sales personnel are bound by written employment contracts that require them to remain with us for a specified period. In addition, we do not currently maintain key-person life insurance covering our key personnel or have restrictions on their post-employment ability to solicit our employees, contractors or customers if key personnel voluntarily terminate their employment. The loss of any of our senior management or other key personnel could harm our ability to implement our business strategy and respond to the rapidly changing market conditions in which we operate. Our future success will depend to a significant extent on the ability of these executives to effectively drive execution of our business strategy, and on the ability of our management team to work together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also depends on our ability to attract, train and retain highly skilled managerial, sales, marketing, research and development, legal and finance personnel and on the abilities of new personnel to function effectively, both individually and as a group. Competition for qualified personnel is intense, particularly in the technology industry in which we operate, and we may not be successful in attracting and retaining such personnel. If we fail to attract and retain qualified employees, including internationally, our ability to grow our business could be harmed. In order to attract and retain personnel in a competitive marketplace, we believe that we must provide a competitive compensation package, including cash and equity-based compensation. Some of the companies with which we compete for experienced personnel may be able to offer more attractive terms of employment to potential candidates. Volatility in our stock price may from time to time adversely affect our ability to recruit or retain employees.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Financial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significant indebtedness which could adversely affect our financial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$426.7 million of total debt outstanding under our Term Loan B. Our Term Loan B is guaranteed by us and our wholly-owned material domestic subsidiaries and are secured by substantially all of our and the subsidiary guarantors’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indebtedness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 our ability to borrow additional funds for working capital, capital expenditures, acquisitions or other general business purposes;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 our ability to use our cash flow or obtain additional financing for future working capital, capital expenditures, acquisitions or other general business purposes;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 us to use a substantial portion of our cash flow from operations to make debt service payments;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 our flexibility to plan for, or react to, changes in our business and industry;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 our vulnerability to the impact of adverse economic and industry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meet our debt service obligations will depend on our future performance, which will be subject to financial, business and other factors affecting our operations, many of which are beyond our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variable interest rate indebtedness exposes us to the risk of rising interest rates, which would cause our debt costs to increase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$426.7 million of outstanding indebtedness that is subject to floating interest rates. Changes in economic conditions outside of our control could result in higher interest rates, thereby increasing our interest expense and reducing the funds available for capital investment, operations or other purposes. At December 31, 2025, a 1% increase in the effective interest rate on our outstanding debt throughout a one-year period would result in an annual increase in our interest expense of approximately $4.2 million. Any significant increase in our interest expense would negatively impact our results of operations and cash flows and also our ability to pay dividends in the future. If the U.S. Federal Reserve raises its benchmark interest rate through one or more rate hikes, the increases would likely impact the borrowing rate on our outstanding indebtedness and increase our interest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generate sufficient cash to service our debt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make payments on and to refinance our indebtedness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and interest on our indebtedness when due.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cash flows and capital resources are insufficient to timely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absence of cash flows and capital resources, we could face substantial liquidity problems and might be required to dispose of material assets or operations to meet our debt service and other obligations. Our credit agreement restricts our ability to dispose of assets, use the proceeds from any disposition of assets and refinance our indebtedness. We may not be able to consummate those dispositions or to maximize the proceeds that we could realize from them and these proceeds may not be adequate to meet any debt service obligations then due.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Repayment of debt is dependent on cash flow generated by our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subsidiaries own a significant portion of our assets and conduct substantially all of our operations. Each subsidiary is a distinct legal entity, and, under certain circumstances, legal and contractual restrictions may limit our ability to obtain cash from our subsidiaries. Our subsidiaries may not be able to, or may not be permitted to, make distributions to enable us to make payments in respect of our indebtedness.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could be impaired, which could increase our operating costs and affect our ability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Ensuring that we have adequate internal controls and procedures in place to facilitate the production of accurate financial statements on a timely basis is a costly and time-consuming effort that needs to be re-evaluated frequently. We continually document, review and, if appropriate, improve our internal controls and procedures in connection with Section 404 of the Sarbanes-Oxley Act of 2002 (“SOX”). Section 404 of SOX requires annual management assessments of the effectiveness of our internal control over financial reporting and a report by our independent registered public accountants on the effectiveness of our internal control over financial reporting. If we identify areas for further attention or improvement, implementing any appropriate changes to our internal controls may require specific compliance training of our directors, officers and employees, entail substantial costs in order to modify our existing accounting systems, and take a significant amount of time to complete. We have in the past identified, and may in the future identify, significant deficiencies in the design and operation of our internal controls, which have been or will need to be remediated.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in the event we make a significant acquisition, we may face significant challenges in implementing the required processes and procedures in the acquired operations. This could result in an adverse reaction in the financial markets due to investors’ perceptions that our internal controls are inadequate or that we are unable to produce accurate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or interpretations of, tax rules and regulations, could adversely affect our effective tax rates and negatively affect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U.S. federal and state income taxes, as well as taxes in various international jurisdictions. As a result, our effective tax rate is derived from a combination of applicable tax rates in the various jurisdictions where we operate. In preparing our financial statements, we estimate the amount of tax to accrue in each tax jurisdiction. Nevertheless, our effective tax rate may be different than what we experienced in the past due to numerous factors, including from the passage of new tax laws, changes in the mix of our profitability from state to state and from country to country, the amount of payments from the Company’s U.S. entities to related foreign entities, the results of examinations and audits of our tax filings, our inability to secure or sustain acceptable agreements with tax authorities and changes in accounting for income taxes. Our future effective tax rates could be unfavorably affected by changes in tax rates, tax laws or the interpretation of tax laws, by changes in the amount of pre-tax income derived from countries with high statutory income tax rates, or by changes in our deferred tax assets and liabilities, including changes in our ability to realize our deferred tax assets. Our effective income tax rate could be unfavorably affected by changes in the amount of sales to customers in countries with high withholding tax rates. Any of these factors could cause us to experience an effective tax rate significantly different from previous periods or our current expectations and may result in tax obligations in excess of amounts accrued in our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U.S. federal, U.S. state, and foreign tax jurisdictions may examine our income tax returns, including income tax returns of acquired companies and acquired tax attributes included therein. We regularly assess the likelihood of outcomes resulting from these examinations to determine the adequacy of our provision for income taxes. In making such assessments, we exercise judgment in estimating our provision for income taxes. While we believe our estimates are reasonable, we cannot assure you that the final determination from these examinations will not be materially different from that reflected in our historical income tax provisions and accruals. Any adverse outcome from these examinations may have a material adverse effect on our business and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use net operating losses to offset future taxable income may be subject to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U.S. federal and state net operating losses of approximately $2.1 million and $847.9 million, respectively, on a tax return basis. A portion of the state net operating loss carryforwards will begin to expire, if not utilized, in 2026. Net operating losses that expire unused will be unavailable to offset future income tax liabilities. Under the Tax Cuts and Jobs Act, federal net operating losses incurred in 2018 and in future years may be carried forward indefinitely, but the deductibility of such federal net operating losses is limited. In addition, under Sections 382 and 383 of the Internal Revenue Code (the “Code”) and corresponding provisions of state law, if a corporation undergoes an “ownership change,” which is generally defined as a greater than fifty-percent (50%) change, by value, in its equity ownership over a three-year period, the corporation’s ability to use its pre-change net operating loss carryforwards and other pre-change tax attributes to offset its post-change income or taxes may be limited.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ownership changes in the future as a result of subsequent shifts in our stock ownership, some of which may be outside of our control. If an ownership change occurs and our ability to utilize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by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the laws and regulations relating to payment of income taxes in the various states and foreign jurisdictions in which we do business, we could be exposed to unexpected costs, expenses, penalties and fees as a result of our noncompliance in which case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business grows and expands, we will continue to do business in an increasing number of states nationally and in new foreign jurisdictions. By engaging in business activities in these states and foreign jurisdictions, we become subject to their various laws and regulations, including the payment of income taxes on revenue generated from activities in those states and foreign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and regulations governing the payment of income taxes are numerous, complex, and vary among states and foreign jurisdictions. If we fail to comply with these laws and regulations requiring the payment of income taxes in one or more states and foreign jurisdictions where we do business, we could be subject to significant costs, expenses, penalties and fees in which case our business would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subsidiaries have in the past recorded, and may in the future record, significant valuation allowances on our deferred tax assets, and the recording and release of such allowances may have a material impact on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for a valuation allowance requires an assessment of both positive and negative evidence on a jurisdiction-by-jurisdiction basis when determining whether it is more-likely-than-not that deferred tax assets are realizable. In making such assessment, significant weight is given to evidence that can be objectively verified. New facts and circumstances, historic profits or losses, and future financial results may require us to reevaluate our valuation allowance positions which could potentially affect our effective tax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monitor the likelihood that we will be able to realize our deferred tax assets, including those for which a valuation allowance is recorded. There can be no assurance that we will generate profits in future periods enabling us to fully realize our deferred tax assets. We have applied a valuation allowance on certain state, and foreign deferred tax assets to the extent they are not realizable by utilizing deferred tax liabilities as sources of income. The timing of recording a valuation allowance or the reversal of such valuation allowance is subject to objective factors that cannot be readily predicted in advance. Both the establishment of a valuation allowance and the reversal of a previously recorded valuation allowance may have a material impact on our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investment of our cash, cash equivalents and investments in marketable debt and equity securities is subject to risks which may cause losses and affect the liquidity of these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we held approximately $73.1 million in cash and cash equivalents and $63.6 million in marketable securities. Marketable securities typically include various financial securities such as corporate bonds and notes, municipal bonds and notes, commercial paper, treasury and agency notes and bills, and money market funds. Although we invest in high quality securities, ongoing financial events have at times adversely impacted the general credit, liquidity, market and interest rates for these and other types of debt securities. Changes in monetary policy by the Federal Reserve, government fiscal policies, and global economic and market conditions may adversely affect the value of our investment portfolio. We may in the future have a need to sell investments before their maturity dates, which could result in losses on the sale of those investments. The financial market and monetary risks associated with our investment portfolio have had and may in the future have a material adverse effect on our financial condition, results of operations or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and Legal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laws, regulations, or interpretations of existing laws relating to IP rights or the internet could create uncertainties and adversely affect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business relies in part on the uniform and historically consistent application of U.S. patent laws, rules, and regulations. The standards that courts use to interpret patents are not always applied predictably or uniformly and may evolve, particularly as new technologies develop. For example, the Supreme Court of the United States has modified some legal standards applied by the U.S. Patent and Trademark Office in the examination of U.S. patent applications, which may decrease the likelihood that we will be able to obtain patents and may increase the likelihood of challenges to patents we obtain or license. As such, our patents face challenges in the U.S. from </w:t>
      </w:r>
      <w:r>
        <w:rPr>
          <w:rFonts w:ascii="Times New Roman" w:hAnsi="Times New Roman"/>
          <w:i/>
          <w:color w:val="000000"/>
          <w:sz w:val="20"/>
        </w:rPr>
        <w:t>ex parte</w:t>
      </w:r>
      <w:r>
        <w:rPr>
          <w:rFonts w:ascii="Times New Roman" w:hAnsi="Times New Roman"/>
          <w:color w:val="000000"/>
          <w:sz w:val="20"/>
        </w:rPr>
        <w:t xml:space="preserve"> reexaminations in the United States Patent and Trademark Office and from </w:t>
      </w:r>
      <w:r>
        <w:rPr>
          <w:rFonts w:ascii="Times New Roman" w:hAnsi="Times New Roman"/>
          <w:i/>
          <w:color w:val="000000"/>
          <w:sz w:val="20"/>
        </w:rPr>
        <w:t xml:space="preserve">inter partes </w:t>
      </w:r>
      <w:r>
        <w:rPr>
          <w:rFonts w:ascii="Times New Roman" w:hAnsi="Times New Roman"/>
          <w:color w:val="000000"/>
          <w:sz w:val="20"/>
        </w:rPr>
        <w:t xml:space="preserve">review (“IPR”) proceedings before the Patent Trial and Appeal Board. Historically, IPRs have a high rate of invalidation of patents, and patents we have asserted in litigation have been and may continue to be invalidated in either IPRs or </w:t>
      </w:r>
      <w:r>
        <w:rPr>
          <w:rFonts w:ascii="Times New Roman" w:hAnsi="Times New Roman"/>
          <w:i/>
          <w:color w:val="000000"/>
          <w:sz w:val="20"/>
        </w:rPr>
        <w:t>ex parte</w:t>
      </w:r>
      <w:r>
        <w:rPr>
          <w:rFonts w:ascii="Times New Roman" w:hAnsi="Times New Roman"/>
          <w:color w:val="000000"/>
          <w:sz w:val="20"/>
        </w:rPr>
        <w:t xml:space="preserve"> reexaminations. Additionally, there have been and may be bills introduced in the U.S. Congress relating to patent law that could adversely impact our business depending on the scope of any bills that may ultimately be enacted into law. Some of these changes or potential changes may may make it more difficult to obtain adequate patent protection, or to enforce our patents against parties using them without a license or payment of royalties. These changes or potential changes could increase the costs and uncertainties surrounding the prosecution of our patent applications and the enforcement of our patent rights. Other potential changes in the law, such as with respect to patent exhaustion and permissible licensing practices, could have a negative effect on our ability to license our patents and, therefore, on the royalties we can collect. We may be required to reevaluate and modify our licensing practices and strategies in response to such changes and, given the nature of our business, any resulting modifications could have a material adverse effect on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laws and regulations are pending and may be adopted by the U.S. federal government, individual states and local jurisdictions and other countries with respect to the internet and digital technologies more broadly. These laws may relate to many areas that impact our business, including IP rights, privacy, artificial intelligence and taxation. These types of regulations are likely to differ between countries and other political and geographic divisions. It is difficult to anticipate the impact of current or future laws and regulations on our business, and changes to these laws, or the interpretation or enforcement thereof, could increase our costs, expose us to increased litigation risk, substantial defense costs and other liabilities or require us or our customers to change business practices, which could materially and adversely affect our business, financial condition, and results of operations. We may have significant expenses associated with staying apprised of and in compliance with local, state, federal, and international legislation and regulation of our business and in presenting the Company’s positions on proposed laws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Further deterioration of trade relations between the United States and China, other trade conflicts and barriers, economic sanctions, and national security protection policies could limit or prevent existing or potential customers from doing business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increased trade conflicts between the United States and its major trading partners in recent years, evidenced by trade restrictions such as tariffs, taxes, export controls, economic sanctions, foreign investment controls and enhanced policies designed to protect national security, have had and may continue to have adverse impact on our revenue if such policies continue. In particular, our business has been impacted due to increased and ongoing trade conflicts and the imposition of tariffs and retaliatory tariffs between the United States and China. Further United States government actions to protect domestic economic and security interests could lead to further restrictions or additional or increased conflicts.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growing trade conflicts and uncertainties and foreign investment controls may lead to decreased use of foreign-owned technologies in China and other countries, due to efforts by foreign governments and enterprises to find alternative sources of supply, the development of proprietary domestic technologies, and the reduction of reliance on foreign technology sources. Any such conflicts or trends could have a material adverse impact on our revenue. In addition, any failure by us to comply with these complex restrictions, or other restrictions that may be imposed in the future, in the United States or internationally, could subject us to fines and penalties, require changes to our business practices and result in reputational harm.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Separation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distribution, together with certain related transactions, were to fail to qualify for non-recognition treatment for U.S. federal income tax purposes, then we could be subject to significant tax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taken the position, based on the opinions of tax counsel and a private letter ruling from the IRS, that our distribution of Xperi Inc. common stock in connection with the 2022 spin-off (“Spin-Off”) qualifies as a transaction that is tax-free for U.S. federal income tax purposes. During the 2025 tax year, the IRS completed an examination of our 2022 U.S. federal income tax return, including the tax treatment of the Spin-Off, and did not propose any adjustments with respect to the Spin-Off (a “no-change” audit result). The tax-free qualification of the Spin-Off depends on a number of facts, assumptions, and representations. If such requirements are not satisfied, or if any material fact, representation, or assumption underlying the tax opinions were to be incorrect or otherwise not satisfied, the Spin-Off may not qualify for tax-free treatment, which could result in significant U.S. federal income tax liabilities for the Company and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connection with the Separation we assumed, and indemnified Xperi Inc. for, certain liabilities. If we are required to make payments pursuant to these indemnities, we may need to divert cash to meet those obligations and our financial results could be negatively impacted. In addition, Xperi Inc. assumed, and must indemnify us for certain liabilities. These indemnities may not be sufficient to insure us against the full amount of liabilities for which we will be allocated responsibility, and Xperi Inc. may not be able to satisfy its indemnification obligations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separation and distribution agreement, the employee matters agreement, and the tax matters agreement with Xperi Inc., we agreed to assume, and indemnify Xperi Inc. for certain liabilities for uncapped amounts, which could include, among other items, associated defense costs, settlement amounts and judgments. Payments pursuant to these indemnities could be significant and could negatively impact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could also seek to hold us responsible for any of the liabilities allocated to Xperi Inc., including those related to Xperi Inc.’s business. Xperi Inc. agreed to indemnify us for such liabilities, but such indemnities may not be sufficient to protect us against the full amount of such liabilities. Even if we ultimately succeed in recovering from Xperi Inc. any amounts for which we are held liable, we may be temporarily required to bear these losses ourselves. Each of these risks could negatively affect our business,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financial and operating results may vary, which may cause the price of our common stock to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quarterly operating results have fluctuated in the past and are likely to do so in the future. Because our operating results are difficult to predict, one should not rely on quarterly or annual comparisons of our results of operations as an indication of our future performance. Factors that could cause our operating results to fluctuate during any period or that could adversely affect our ability to achieve our strategic objectives include those listed in this “Risk Factors” section of this report and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and compliance with the terms and conditions for, payment by third parties to us of fees (including royalties) under IP license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fluctuations in our royalties caused by the pricing terms of certain of our IP license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our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level of our operating expenses;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substantial research and development expenses that we have incurred and will continue to incur in connection with the development of new IP, as well as the uncertainty that such new technologies will generate material revenue for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protect or enforce our IP rights or the terms of our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affecting our patents, patent applications or IP license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the introduction of new technologies that replace technologies covered by our IP;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establishing new IP license agreements and expiration of existing IP license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generally accepted accounting principles including new accounting standards which may materially affect our revenue recognition and the comparability between revenue recognition and cash flow from customer royalties;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cyclical fluctuations in semiconductor and CE markets generally;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supply chain constraints, and attendant effects, including but not limited to increased costs or shipping delays that may impact our customers;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trade regulations and the imposition of tariffs;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labor market conditions, and any impacts on our ability to attract and retain qualified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inflation and/or changes in central bank interest rate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related to and the financial impact of possible acquisitions of other businesses and the integration of such businesses;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consequences of the separation transaction;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related to and the financial impact of the disposition of assets, including post-closing indemnification obligations;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changes in the level of economic activity in the U.S. or other major economies in which we do business as a result of the threat of terrorism, military actions taken by the U.S. or its allies, civil unrest, hostilities, global health concerns, outbreaks, pandemics, natural disasters or generally weak and uncertain economic and industry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fluctuations in our operating results, reports from market and security analysts, litigation-related developments, and other factors including general market conditions, the price at which our common stock will trade may be volatile. In future periods, if our revenue, royalties, cash flows or operating results are below the estimates or expectations of public market analysts and investors, our stock price could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pay dividends or pay dividends at a consistent rate, and any decrease in or suspension of the dividend could cause our stock price to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all dividends and stock repurchases will be paid out of our cash, cash equivalents and short-term investments. The payment of any future cash dividends is subject to the final determination by our Board of Directors based on a number of factors, including our earnings, financial condition, actual and forecasted cash flows, capital resources and capital requirements, alternative uses of capital including business combinations, economic condition and other factors considered relevant by management and the Board of Directors. Since July 2020, the Board of Directors has declared quarterly cash dividends of $0.05 per share. Any decrease in the amount of the dividend, or suspension or discontinuance of payment of a dividend,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stock repurchase program could increase the volatility of the price of our common stock, and the program may be suspended or terminated at any time, which may cause the trading price of our common stock to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2020, our Board of Directors authorized a stock repurchase program. In October 2024, our Board of Directors approved an increase of the existing share repurchase authorization up to a total of $200.0 million. As of December 31, 2025, the total amount available for repurchase under the plan was $160.0 million. The amount of repurchases under our stock repurchase program will vary depending on various factors. The timing of repurchases is at our discretion and the program may be suspended or discontinued at any time. Any suspension or discontinuation could cause the market price of our stock to decline. The timing of repurchases pursuant to our stock repurchase program could affect our stock price and increase its volatility. There can be no assurance that any stock repurchases will enhance stockholder value because the market price of our common stock may decline below the levels at which we effected repurchases. Furthermore, we may engage in mergers, acquisitions, or other activity that could result in us reducing or discontinuing share repurchases for a period of time.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of our certificate of incorporation and bylaws or Delaware law might delay or prevent a change of control transaction and depress the market price of our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provisions of our certificate of incorporation and bylaws might have the effect of making it more difficult for a third party to acquire, or discouraging a third party from attempting to acquire, control of our company. These provisions could limit the price that certain investors might be willing to pay in the future for shares of our common stock. Certain of these provisions eliminate cumulative voting in the election of directors, authorize the Board of Directors to issue “blank check” preferred stock, prohibit stockholder action by written consent, eliminate the right of stockholders to call special meetings, and establish advance notice procedures for director nominations by stockholders and the submission of other proposals for consideration at stockholder meetings. We are also subject to provisions of Delaware law that could delay or make more difficult a merger, tender offer or proxy contest involving our company. In particular, Section 203 of the Delaware General Corporation Law prohibits a Delaware corporation from engaging in any business combination with any interested stockholder for a period of three years unless specific conditions are met. Any of these provisions could have the effect of delaying, deferring or preventing a change in control, including without limitation, discouraging a proxy contest or making more difficult the acquisition of a substantial block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Decreased effectiveness of stock-based compensation could adversely affect our ability to attract and retain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used stock options, restricted stock grants and other forms of stock-based compensation as key components of employee compensation in order to align employees’ interests with the interests of our stockholders, encourage employee retention and provide competitive compensation and benefit packages. We incur significant compensation costs associated with our stock-based compensation programs. Failure to obtain stockholder approval of equity compensation plans or changes to the plans could make it harder or more expensive for us to grant stock-based compensation to employees in the future. As a result, we may find it difficult to attract, retain and motivate employees, and any such difficulty could have a materially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internally generated cash or debt to complete acquisitions could substantially limit our operational and financial flexibility. If we are unable to obtain additional capital on acceptable terms, we may be required to reduce the scope of any expansion or redirect resources committed to internal purposes. Inability to use our common stock in acquisitions may hinder our ability to actively make future acquisitions and recruit talent through acquisitions and restricts the flexibility in which we can make acquisition bids.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certificate of incorporation contains forum limitations for certain disputes between us and our stockholders that could limit the ability of stockholders to bring claims against us and our directors, officers and employees in jurisdictions preferred by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provides that, unless we consent in writing to the selection of an alternative forum, the Court of Chancery of the State of Delaware is the sole and exclusive forum for (i) any derivative lawsuit brought on our stockholders, (ii) any lawsuit against our current or former directors, officers, employees, stockholders or agents asserting a breach of a duty (including any fiduciary duty) owed by any such current or former director, officer, stockholder, employee or agent to us or our stockholders, (iii) any lawsuit asserting a claim against us or any of our current or former director, officer, employee, stockholder or agent arising out of or relating to any provision of the DGCL, our charter or our bylaws (each, as in effect from time to time), or (iv) any lawsuit asserting a claim against us or any of our current or former director, officer, employee, stockholder or agent governed by the internal affairs doctrine of the State of Delaware. Our certificate of incorporation also provides that, unless we consent in writing to the selection of an alternative forum, the federal district courts of the United States of America are the sole and exclusive forum for the resolution of any complaint asserting a cause of action arising under the Securities Act. The foregoing forum provisions may prevent or limit a stockholder’s ability to file a lawsuit in a judicial forum that it prefers for disputes with us or our directors, officers, employees, stockholders or agents, which may discourage such lawsuits, make them more difficult or expensive to pursue, and result in outcomes that are less favorable to such stockholders than outcomes that may have been attainable in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notwithstanding the inclusion of the foregoing forum provisions in the certificate of incorporation, courts may find the foregoing forum provisions to be inapplicable or unenforceable in certain cases that the foregoing forum provisions purport to address, including claims brought under the Securities Act. If this were to occur in any particular lawsuit, we may incur additional costs associated with resolving such lawsuit in other jurisdictions or resolving lawsuits involving similar claims in multiple jurisdictions, all of which could harm our business, results of operations, and financial condition.</w:t>
      </w:r>
    </w:p>
    <w:p>
      <w:pPr>
        <w:pStyle w:val="TextBody"/>
        <w:bidi w:val="0"/>
        <w:spacing w:before="24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7" w:name="item1c_cybersecurity"/>
      <w:bookmarkEnd w:id="7"/>
      <w:r>
        <w:rPr>
          <w:rFonts w:ascii="Times New Roman" w:hAnsi="Times New Roman"/>
          <w:b/>
          <w:color w:val="000000"/>
          <w:sz w:val="20"/>
        </w:rPr>
        <w:t>Item 1C. Cybersecurity</w:t>
      </w:r>
    </w:p>
    <w:p>
      <w:pPr>
        <w:pStyle w:val="TextBody"/>
        <w:bidi w:val="0"/>
        <w:spacing w:before="240" w:after="283"/>
        <w:jc w:val="left"/>
        <w:rPr>
          <w:rFonts w:ascii="Times New Roman" w:hAnsi="Times New Roman"/>
          <w:sz w:val="20"/>
        </w:rPr>
      </w:pPr>
      <w:r>
        <w:rPr>
          <w:rFonts w:ascii="Times New Roman" w:hAnsi="Times New Roman"/>
          <w:b/>
          <w:i/>
          <w:color w:val="000000"/>
          <w:sz w:val="20"/>
        </w:rPr>
        <w:t>Cybersecurity 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is integrated in our overall risk management program and is based on recognized cybersecurity industry frameworks and standards, including those from the National Institute of Standards and Technology (NIST), and the International Organization for Standardization (ISO). We use these frameworks, together with information collected from internal assessments, to develop policies and defined procedures for use of our information assets, access to specific intellectual property or technologies, and protection of personal information. We intend to protect these information assets through industry-standard techniques, such as multifactor authentication, malware defenses and zero trust principles. We work with internal stakeholders across the Company to integrate foundational cybersecurity principles throughout our organization’s operations, including employment of multiple layers of cybersecurity defenses, restricted access based on business need, and integrity of our business information. Throughout the year, we regularly train our employees on cybersecurity awareness and, confidential information protection. We routinely test our employees using simulated phishing attacks. Risks from cybersecurity threats have not materially affected our company, business strategy, results of operations or financial condition; however, we remain subject to cybersecurity risks in the future. See Item 1A. Risk Factors – “Our systems, networks and business activities and those of third parties that we utilize in our operations are subject to cybersecurity and stability risks, including information technology system failures, and security breaches.”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third-party assessors to conduct penetration testing and measure our program to industry standard frameworks. We also have standing engagements with incident response experts and external counsel. Our information technology team led by our Vice President of Information Technology (VP of IT) frequently collaborates with industry experts and cybersecurity practitioners at other companies to exchange information about potential cybersecurity threats, best practices, and industry trends.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extends to risks associated with our use of third-party service providers. We routinely conduct risk and compliance assessments of third-party service providers that request access to our information assets. We re-assess our third-party vendors on an ongoing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is integrated into our comprehensive business continuity program and enterprise risk management. Our information technology team periodically engages with a cross-functional group of subject matter experts and leaders to assess and refine our cybersecurity risk posture and preparedness.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Governance of Cybersecurity 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as a whole, has oversight responsibility for our strategic and operational risks. The Board of Directors has delegated to the audit committee the responsibility of reviewing and discussing our risk assessment and risk management practices, including cybersecurity risks, with members of management. The audit committee, in turn, regularly reports on its review with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is responsible for day-to-day implementation of risk management strategies and recommends process improvements. Our VP of IT has primary oversight of material risks from cybersecurity threats. Our VP of IT has more than 25 years of experience across various engineering, business and management roles focused on information technology, including roles at global, public companies, as well as across multiple industries including fintech, research, and high tech. Our VP of IT regularly presents updates to the audit committee regarding Company cybersecurity matters and developing industry trends.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retained an outside cybersecurity firm for our managed security services, which reports to our VP of IT. The cybersecurity firm has professionals with more than 20 years of experience working in information technology-related roles and degrees in Information Technology, including cybersecurity, Certified in Risk and Information Systems Control (CRISC), and Global Information Assurance Certifications in Security Essentials (GSEC) as an Intrusion Analyst (GCIA). The cybersecurity firm has extensive experience in supporting firms in applied knowledge of information technology governance and security frameworks that include, for example: ISO 27000, NIST, HITRUST, ISC2, ITIL, and COBIT.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assesses our cybersecurity readiness through internal assessment tools as well as third-party control tests, vulnerability assessments, audits and regular evaluation against industry standards. We have governance and compliance structures that are designed to elevate issues relating to cybersecurity to management and the audit committee, such as potential threats or vulnerabilities. We also employ various defensive and continuous monitoring techniques using recognized industry frameworks and cybersecurity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VP of IT meets with the audit committee quarterly to review our information technology systems and discuss key cybersecurity risks, and these matters are also presented to the Board of Directors annually. In addition, our chief financial officer reviews with the audit committee, at least annually, our global enterprise risk management program, which includes cybersecurity risks, and is also reported to the Board of Directors. </w:t>
      </w:r>
    </w:p>
    <w:p>
      <w:pPr>
        <w:pStyle w:val="TextBody"/>
        <w:bidi w:val="0"/>
        <w:spacing w:before="24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lease our 62,000 square foot corporate headquarters, which houses our administrative, sales, marketing and research and development facilities, in San Jose, California. We also lease another office building with approximately 5,336 square feet in Burbank, California to house additional administrative, sales, and marketing personnel. Further, we also lease another facility in the Morrisville, North Carolina with approximately 2,737 square feet. We believe that our existing space is adequate for our current operations and that suitable replacement and additional space, to the extent needed, will be available in the future on commercially reasonable terms.</w:t>
      </w:r>
    </w:p>
    <w:p>
      <w:pPr>
        <w:pStyle w:val="TextBody"/>
        <w:bidi w:val="0"/>
        <w:spacing w:before="24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our business, we are involved in legal proceedings. In the past, we have litigated to enforce our patents and other intellectual property rights (“IP”), to enforce the terms of license agreements, to protect trade secrets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Patent Infringement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Videotron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21, 2021, Adeia Guides Inc. (formerly known as Rovi Guides, Inc.) (“Adeia Guides”) filed a patent infringement complaint against Videotron Ltd. (“Videotron”) in Toronto, Canada, alleging infringement of four patents (the “Videotron Litigation”). The trial commenced on February 3, 2025. On October 24, 2025, the Federal Court of Canada issued a decision in the case and awarded Adeia Guides a permanent injunction, finding that Videotron’s Helix, illico+ and illico video platforms infringe an Adeia Guides patent. The Court also ruled that Videotron’s Helix video platform infringes an additional Adeia Guides patent and awarded Adeia Guides damages for both patents. Two other patents asserted in the case were found invalid. On November 24, 2025, Adeia Guides filed a Notice of Appeal with the Federal Court of Appeal of Canada appealing portions of the decision of the Federal Court of Canada. On December 4, 2025, Videotron filed a Notice of Cross-Appeal. No date has been set yet for a hearing on the appeal.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Bell and Telus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27, 2021, Adeia Guides and Adeia Media Holdings LLC (formerly known as TiVo LLC) (together,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(the “Bell Litigation”). On September 30, 2022, Defendants filed a motion for bifurcation, asking the Federal Court of Canada to bifurcate the case into two phases: a first phase related to liability and injunction and second phase addressing damages if liability is found. On February 15, 2023, the Court issued an order granting the motion for bifurcation in which the Court bifurcated the liability and injunction phase from the damages quantification phase of the case. The trial commenced on April 28, 2025. Closing arguments were held June 2-4, 2025. There is no set deadline for the Federal Court of Canada to issue a decision.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Shaw Breach of Contract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October 8, 2024, Shaw filed a motion to dismiss the complaint. On September 29, 2025, the Court denied Shaw’s motion to dismiss Adeia Media Companies’ breach of contract claim and granted Shaw’s motion to dismiss the declaratory relief claim as duplicative. On October 14, 2025, Shaw filed its answer to the complaint. Discovery is ongoing. The trial date has not been set.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Disney Patent Infringement Litigation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U.S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2024, Adeia Technologies, Inc., Adeia Guides Inc., and Adeia Media Holdings LLC (collectively “Adeia”) filed a complaint against The Walt Disney Company, Disney Media and Entertainment Distribution LLC, Disney DTC LLC, Disney Streaming Services LLC, Disney Entertainment &amp; Sports LLC, Disney Platform Distribution, Inc., BAMTech, LLC, Hulu, LLC, and ESPN, Inc. (collectively, “Disney U.S. Defendants”) in the United States District Court for the District of Delaware, alleging infringement of six patents (“U.S. Asserted Patents”). On December 29, 2025, the Court granted the parties’ Joint Stipulation and Order of Dismissal, dismissing the case with prejudice.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31, 2025, Disney U.S. Defendants filed three petitions for IPR before the Patent Trial and Appeal Board (“PTAB”) of the U.S. Patent and Trademark Office – one petition against each of three of the U.S. Asserted Patents. On November 5, 2025, Disney U.S. Defendants filed two petitions for IPR – one petition against each of two additional U.S. Asserted Patents. On November 7, 2025, Disney U.S. Defendants filed one petition for IPR against the last of the six U.S. Asserted Patents. On December 24, 2025, following the settlement between the parties, Disney U.S. Defendants filed an Unopposed Motion to Dismiss the Proceeding Pre-Institution in each of the six IPRs. The PTAB has terminated all six IPR petitions.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European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2024, Adeia Solutions LLC filed a complaint against The Walt Disney Company Benelux (B.V.), Disney Interactive Studios, Inc., and The Walt Disney Company Limited (collectively, “Disney Europe Defendants”) in the Regional Court of Munich, Germany, alleging infringement of one patent (“German Patent”). On December 23, 2025, Adeia Solutions LLC filed a request to withdraw the complaint following settlement between the parties. The Court has terminated the case.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23, 2025, The Walt Disney Company Benelux (B.V.) filed a nullity action in the German Federal Patent Court, challenging the validity of the German Patent. On December 24, 2025, The Walt Disney Company Benelux (B.V.) filed a brief requesting withdrawal of the nullity action following settlement between the parties. The Court has terminated the case.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2024, Adeia Guides Inc. (“Adeia Guides”) filed a complaint against the Disney Europe Defendants in the Unified Patent Court (“UPC”) Munich Local Division, Germany, alleging infringement of one patent. On December 23, 2025, Adeia Guides filed a request to withdraw the complaint following settlement between the parties. The Court has terminated the case.</w:t>
      </w:r>
    </w:p>
    <w:p>
      <w:pPr>
        <w:pStyle w:val="TextBody"/>
        <w:bidi w:val="0"/>
        <w:jc w:val="left"/>
        <w:rPr>
          <w:rFonts w:ascii="Times New Roman" w:hAnsi="Times New Roman"/>
          <w:color w:val="000000"/>
          <w:sz w:val="20"/>
        </w:rPr>
      </w:pPr>
      <w:r>
        <w:rPr>
          <w:rFonts w:ascii="Times New Roman" w:hAnsi="Times New Roman"/>
          <w:color w:val="000000"/>
          <w:sz w:val="20"/>
        </w:rPr>
        <w:t>On November 7, 2024, Adeia Guides filed a complaint against the Disney Europe Defendants in the UPC The Hague Local Division, The Netherlands, alleging infringement of one patent. On December 23, 2025, Adeia Guides filed a request to withdraw the complaint following settlement between the parties. The Court has terminated the case.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Brazil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11, 2024, Adeia Inc. and Adeia Guides Inc. (collectively, “Adeia Brazil Plaintiffs”) filed a complaint against The Walt Disney Company (Brasil) LTDA (“Disney Brazil”) in Rio de Janeiro State Court, Brazil, (“Trial Court”) alleging infringement of four patents (the “Brazil Asserted Patents”) and seeking a preliminary injunction against Disney Brazil for infringement of one of the four Brazil Asserted Patents. On December 23, 2025, Adeia Brazil Plaintiffs filed a request to terminate the case following settlement between the parties. The Court has terminated the case.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27, 2025, Disney Brazil filed a patent invalidity lawsuit against Adeia Inc. and Adeia Guides Inc. (collectively, “Adeia Brazil Invalidity Defendants”) at the Brazilian Patent and Trademark Office in Rio de Janeiro Federal Court, Brazil, alleging the Brazil Asserted Patents are invalid. On December 23, 2025, Disney Brazil filed a request to terminate the proceeding following settlement between the parties. The Court has yet to rule on the request to terminate the case.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AMD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3, 2025, Adeia Semiconductor Bonding Technologies Inc., Adeia Semiconductor Inc., and Adeia Semiconductor Solutions LLC (collectively, “Adeia Semi”) filed a patent infringement complaint against Advanced Micro Devices, Inc. (“AMD”) in the United States District Court for the Western District of Texas (“WDTX 1 Litigation”), alleging infringement of six patents. On January 8, 2026, AMD filed a Motion to Dismiss the complaint. On January 22, 2026, Adeia Semi filed its opposition to AMD’s Motion to Dismiss. On January 29, 2026, AMD filed its reply on the Motion to Dismiss. There is no set deadline for the Court to rule on AMD’s Motion to Dismiss. No dates have been set by the Court.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3, 2025, Adeia Semiconductor Bonding Technologies Inc. filed a separate patent infringement complaint against AMD in the United States District Court for the Western District of Texas (“WDTX 2 Litigation”), alleging infringement of four patents. On January 9, 2026, the Court granted AMD’s unopposed motion to stay the proceedings pending a final resolution of the ITC Litigation No. 337-TA-1465 (see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Adeia Semiconductor Bonding Technologies Inc. filed a patent infringement complaint against Advanced Micro Devices, Inc., Lenovo (United States) Inc., Lenovo Group Limited, Lenovo Information Products (Shenzhen) Co., Ltd., and Super Micro Computer, Inc. in the International Trade Commission (“ITC Litigation”), alleging infringement of the same four patents asserted in the WDTX 2 Litigation. On December 16, 2025, the ITC issued a Notice of Institution of Investigation, assigning the case Investigation No. 337-TA-1465. The evidentiary hearing is set for October 26-30, 2026. The Final Initial Determination shall issue by February 19, 2027. The target date for completion of investigation is set for June 21,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DIRECTV Litigation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NDCA Declaratory Judgment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29, 2025, DIRECTV LLC (“DIRECTV”) filed a complaint against Adeia Inc, Adeia Guides Inc., Adeia Media Holdings LLC, Adeia Technologies Inc. and Adeia Media Solutions Inc. (collectively, “Adeia Media”) in the United States District Court for the Northern District of California seeking a declaratory judgment of noninfringement of seven Adeia Media patents and a declaratory judgement of invalidity of three different Adeia Media patents (“NDCA DJ Action”). Adeia Media’s response to the complaint is due March 13, 2026. No other dates have been set by the Court.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SDNY Breach of Contract and Misappropriation of Trade Secrets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12, 2026, Adeia Media filed a complaint against DIRECTV in the United States District Court for the Southern District of New York alleging Breach of Contract and Misappropriation of Trade Secrets Pursuant to The Defend Trade Secrets Act. DIRECTV’s response to the complaint is due March 27, 2026. On January 15, 2026, Adeia Media filed a Motion for Preliminary Injunction, requesting that the Court order DIRECTV to withdraw its NDCA DJ Action and cease its misuse of Adeia’s confidential information. On February 10, 2026, DIRECTV filed its response to Adeia Media’s Motion for Preliminary Injunction . On February 23, 2026, Adeia Media filed its reply to DIRECTV’s response. No other dates have been set by the Court.</w:t>
      </w:r>
    </w:p>
    <w:p>
      <w:pPr>
        <w:pStyle w:val="TextBody"/>
        <w:bidi w:val="0"/>
        <w:spacing w:before="24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left"/>
        <w:rPr/>
      </w:pPr>
      <w:r>
        <w:rPr/>
        <w:t> </w:t>
      </w:r>
    </w:p>
    <w:p>
      <w:pPr>
        <w:pStyle w:val="TextBody"/>
        <w:bidi w:val="0"/>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 2020, Xperi Holding Corporation’s common stock, par value $0.001 per share, commenced trading on the Nasdaq Global Select Market (“Nasdaq”) under the ticker symbol “XPER”. Following the separation of Xperi Holding Corporation’s product business, and effective at the open of business on October 3, 2022, Adeia Inc.’s shares of common stock began trading on Nasdaq under the new ticker symbol “ADEA”.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February 6, 2026, there were 109,052,507 outstanding shares of common stock held by 333 stockholders of record. In addition, a substantially greater number of stockholders may be “street name” or beneficial holders, whose shares are held of record by banks, brokers and other financial institutions.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historically returned capital to shareholders through cash dividends and stock repurchases. Future declarations of dividends and the establishment of future record and payment dates are subject to the final determination of our Board of Directors.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 Repurchases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our Board of Directors authorized the Plan which was subsequently amended in April 2021 and most recently in October 2024. During the year ended December 31, 2025, we repurchased a total of approximately 1.5 million shares of common stock, at an average price of $13.55 per share for a total cost of $20.0 million. We may continue to execute authorized repurchases from time to time under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repurchases of our common stock during the three months ended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1"/>
        <w:gridCol w:w="346"/>
        <w:gridCol w:w="349"/>
        <w:gridCol w:w="901"/>
        <w:gridCol w:w="346"/>
        <w:gridCol w:w="346"/>
        <w:gridCol w:w="286"/>
        <w:gridCol w:w="746"/>
        <w:gridCol w:w="346"/>
        <w:gridCol w:w="346"/>
        <w:gridCol w:w="361"/>
        <w:gridCol w:w="934"/>
        <w:gridCol w:w="346"/>
        <w:gridCol w:w="346"/>
        <w:gridCol w:w="292"/>
        <w:gridCol w:w="1037"/>
        <w:gridCol w:w="396"/>
      </w:tblGrid>
      <w:tr>
        <w:trPr/>
        <w:tc>
          <w:tcPr>
            <w:tcW w:w="2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w:t>
              <w:br/>
              <w:t>paid per share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number of </w:t>
              <w:br/>
              <w:t xml:space="preserve">shares purchased </w:t>
              <w:br/>
              <w:t xml:space="preserve">as part of our </w:t>
              <w:br/>
              <w:t xml:space="preserve">share repurchase </w:t>
              <w:br/>
              <w:t xml:space="preserve">program </w:t>
            </w:r>
            <w:r>
              <w:rPr>
                <w:rFonts w:ascii="Times New Roman" w:hAnsi="Times New Roman"/>
                <w:b/>
                <w:color w:val="000000"/>
                <w:sz w:val="12"/>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Approximate </w:t>
              <w:br/>
              <w:t xml:space="preserve">dollar value of </w:t>
              <w:br/>
              <w:t xml:space="preserve">shares that may </w:t>
              <w:br/>
              <w:t xml:space="preserve">yet be purchased </w:t>
              <w:br/>
              <w:t xml:space="preserve">under our share </w:t>
              <w:br/>
              <w:t xml:space="preserve">repurchase </w:t>
              <w:br/>
              <w:t xml:space="preserve">program </w:t>
            </w:r>
            <w:r>
              <w:rPr>
                <w:rFonts w:ascii="Times New Roman" w:hAnsi="Times New Roman"/>
                <w:b/>
                <w:color w:val="000000"/>
                <w:sz w:val="12"/>
              </w:rPr>
              <w:t>(1)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price)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October 1, 2025 – October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November 1, 2025 – November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159,958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December 1, 2025 –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159,958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 October 2024, our Board of Directors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As of December 31, 2025, the total remaining amount available for repurchase under the Plan was $160.0 million.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graph shows a comparison of total stockholder return for holders of our common stock, the Nasdaq Composite Index, the Russell 2000 Index and the S&amp;P 500 from December 31, 2020 through December 31, 2025. The graph and table assume that $100 was invested on December 31, 2020 in each of our common stock, the Nasdaq Composite Index, the Russell 2000 Index and the S&amp;P 500, and that all dividends were reinvested. The Company’s performance through September 30, 2022 has been adjusted to reflect the impact of the separation of the Company’s product business, which occurred on October 1, 2022 and is reflected in the table below as a special dividend. This graphic comparison is presented pursuant to Item 201 of Regulation S-K. The comparisons in the graphs below are based on historical data and are not indicative of, nor intended to forecast, future performance of our common stock. </w:t>
      </w:r>
    </w:p>
    <w:p>
      <w:pPr>
        <w:pStyle w:val="TextBody"/>
        <w:bidi w:val="0"/>
        <w:spacing w:before="240" w:after="283"/>
        <w:jc w:val="center"/>
        <w:rPr/>
      </w:pPr>
      <w:r>
        <w:rPr/>
        <w:drawing>
          <wp:inline distT="0" distB="0" distL="0" distR="0">
            <wp:extent cx="5524500" cy="2590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24500" cy="2590800"/>
                    </a:xfrm>
                    <a:prstGeom prst="rect">
                      <a:avLst/>
                    </a:prstGeom>
                  </pic:spPr>
                </pic:pic>
              </a:graphicData>
            </a:graphic>
          </wp:inline>
        </w:drawing>
      </w:r>
    </w:p>
    <w:p>
      <w:pPr>
        <w:pStyle w:val="TextBody"/>
        <w:bidi w:val="0"/>
        <w:jc w:val="left"/>
        <w:rPr/>
      </w:pPr>
      <w:r>
        <w:rPr/>
        <w:t> </w:t>
      </w:r>
    </w:p>
    <w:tbl>
      <w:tblPr>
        <w:tblW w:w="7918" w:type="dxa"/>
        <w:jc w:val="left"/>
        <w:tblInd w:w="0" w:type="dxa"/>
        <w:tblLayout w:type="fixed"/>
        <w:tblCellMar>
          <w:top w:w="28" w:type="dxa"/>
          <w:left w:w="28" w:type="dxa"/>
          <w:bottom w:w="28" w:type="dxa"/>
          <w:right w:w="28" w:type="dxa"/>
        </w:tblCellMar>
      </w:tblPr>
      <w:tblGrid>
        <w:gridCol w:w="1501"/>
        <w:gridCol w:w="146"/>
        <w:gridCol w:w="916"/>
        <w:gridCol w:w="146"/>
        <w:gridCol w:w="916"/>
        <w:gridCol w:w="146"/>
        <w:gridCol w:w="916"/>
        <w:gridCol w:w="146"/>
        <w:gridCol w:w="916"/>
        <w:gridCol w:w="146"/>
        <w:gridCol w:w="916"/>
        <w:gridCol w:w="146"/>
        <w:gridCol w:w="96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12/30/2022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12/31/2025</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Adeia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$143.17</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Nasdaq Composite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$180.33</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Russell 2000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$125.68</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S&amp;P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section is not “soliciting material,” is not deemed “filed” with the SEC and is not incorporated by reference in any filing of the Company under the Securities Act of 1933 or the Securities Exchange Act of 1934 (“Exchange Act”), whether made before or after the date hereof and irrespective of any general incorporation language in any such filing.</w:t>
      </w:r>
    </w:p>
    <w:p>
      <w:pPr>
        <w:pStyle w:val="TextBody"/>
        <w:bidi w:val="0"/>
        <w:jc w:val="left"/>
        <w:rPr/>
      </w:pPr>
      <w:r>
        <w:rPr/>
        <w:t> </w:t>
      </w:r>
    </w:p>
    <w:p>
      <w:pPr>
        <w:pStyle w:val="TextBody"/>
        <w:bidi w:val="0"/>
        <w:jc w:val="left"/>
        <w:rPr>
          <w:rFonts w:ascii="Times New Roman" w:hAnsi="Times New Roman"/>
          <w:sz w:val="20"/>
        </w:rPr>
      </w:pPr>
      <w:bookmarkStart w:id="13" w:name="reserved"/>
      <w:bookmarkEnd w:id="13"/>
      <w:r>
        <w:rPr>
          <w:rFonts w:ascii="Times New Roman" w:hAnsi="Times New Roman"/>
          <w:b/>
          <w:color w:val="000000"/>
          <w:sz w:val="20"/>
        </w:rPr>
        <w:t>Item 6. (Reserved</w:t>
      </w: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_management_s_discussion_and_anal"/>
      <w:bookmarkEnd w:id="14"/>
      <w:r>
        <w:rPr>
          <w:rFonts w:ascii="Times New Roman" w:hAnsi="Times New Roman"/>
          <w:b/>
          <w:color w:val="000000"/>
          <w:sz w:val="20"/>
        </w:rPr>
        <w:t>Item 7. Management’s Discussion and Analysis of</w:t>
      </w:r>
      <w:bookmarkStart w:id="15" w:name="item_7_managements_discussion_analysis_f"/>
      <w:bookmarkEnd w:id="15"/>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is intended to promote understanding of the results of operations and financial condition and should be read in conjunction with our consolidated financial statements and notes thereto.</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section of this Form 10-K generally discusses 2025 and 2024 items and year-to-year comparisons of 2025 against 2024. A discussion regarding 2023 items and year-to-year comparisons of 2024 against 2023 can be found in “Management’s Discussion and Analysis of Financial Condition and Results of Operations” in Part II, Item 7 of our Annual Report on Form 10-K for the fiscal year ended December 31, 2024. The following discussion of our financial condition and results of operations should be read together with the audited consolidated financial statements and notes to the consolidated financial statements included elsewhere in this Form 10-K. This discussion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“Risk Factors” in Part I, Item 1A above.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Adeia Inc. (formerly known as Xperi Holding Corporation) (“Adeia”, “we”) is a leading IP licensing platform in the consumer and entertainment space, with an extensive portfolio of media and semiconductor intellectual property and approximately 13,750 media and semiconductor patent assets worldwide. In order to serve an increasingly connected world, we invent, develop, and license fundamental innovations that enhance billions of devices and shape the way millions of people explore and experience entertainment. Our inventions are key enabling technologies that drive how consumers interact with entertainment and devices at home and on the go around the world. Our foundational technologies help elevate content and improve how audiences connect with it in a way that is more intelligent, immersive and personal. Our innovative solutions help power smart devices, entertainment experiences and more, and have created a unified ecosystem that reaches highly-engaged consumers and uncovered new business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Headquartered in Silicon Valley with more than 35 years of operating experience, we have approximately 150 full-time employees, with substantially all of our employees located in the U.S.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Macroeconomic conditions due to inflation, geopolitical instability and global health events have in the past, and may in the future have, an adverse impact on our business. For example,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a significant portion of our revenue is derived from fixed-fee and minimum-guarantee arrangements from large, well-capitalized customers, our per-unit and variable-fee based revenue will continue to be susceptible to global health concerns, outbreaks, pandemics, armed conflict, geopolitical factors, trade regulations and tariffs, market volatility, labor shortages, supply chain disruptions, microchip shortages, changes in demand for semiconductors and market downturns.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Reportable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Key Metrics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our financial condition and operating performance, we primarily focus on revenue and cash flows from operations. For the year ended December 31, 2025, as compared to the same period in 2024:</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increased by $67.4 million, or 18%, from $376.0 million in 2024 to $443.4 million in 2025.</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Recurring revenues increased by $9.8 million, or 3% from $341.5 million in 2024 to $351.3 million in 2025.</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Non-recurring revenues increased by $57.4 million, or 166% from $34.6 million in 2024 to $92.0 million in 2025.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operating activities decreased by $54.4 million, or 26%, from $212.5 million in 2024 to $158.1 million in 2025.</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made $60.4 million in principal payments, bringing the outstanding balance to $426.7 million as of December 31, 2025.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repurchased $20.0 million of our common stock in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derive the majority of our revenue from the licensing of our IP rights to customers. For our revenue recognition policy, including descriptions of revenue-generating activities, refer to “Note 4 – </w:t>
      </w:r>
      <w:r>
        <w:rPr>
          <w:rFonts w:ascii="Times New Roman" w:hAnsi="Times New Roman"/>
          <w:i/>
          <w:color w:val="000000"/>
          <w:sz w:val="20"/>
        </w:rPr>
        <w:t>Revenue</w:t>
      </w:r>
      <w:r>
        <w:rPr>
          <w:rFonts w:ascii="Times New Roman" w:hAnsi="Times New Roman"/>
          <w:color w:val="000000"/>
          <w:sz w:val="20"/>
        </w:rPr>
        <w:t xml:space="preserve">” of the Notes to Consolidated Financial Statements. The following table presents our historical operating results for the periods indicated as a percentage of revenue: </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3156"/>
        <w:gridCol w:w="146"/>
        <w:gridCol w:w="220"/>
        <w:gridCol w:w="635"/>
        <w:gridCol w:w="409"/>
        <w:gridCol w:w="220"/>
        <w:gridCol w:w="220"/>
        <w:gridCol w:w="635"/>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sets forth our revenue by year (in thousands, except for percentages):</w:t>
      </w:r>
    </w:p>
    <w:tbl>
      <w:tblPr>
        <w:tblW w:w="5561" w:type="dxa"/>
        <w:jc w:val="left"/>
        <w:tblInd w:w="0" w:type="dxa"/>
        <w:tblLayout w:type="fixed"/>
        <w:tblCellMar>
          <w:top w:w="28" w:type="dxa"/>
          <w:left w:w="28" w:type="dxa"/>
          <w:bottom w:w="28" w:type="dxa"/>
          <w:right w:w="28" w:type="dxa"/>
        </w:tblCellMar>
      </w:tblPr>
      <w:tblGrid>
        <w:gridCol w:w="736"/>
        <w:gridCol w:w="146"/>
        <w:gridCol w:w="196"/>
        <w:gridCol w:w="691"/>
        <w:gridCol w:w="146"/>
        <w:gridCol w:w="146"/>
        <w:gridCol w:w="196"/>
        <w:gridCol w:w="691"/>
        <w:gridCol w:w="146"/>
        <w:gridCol w:w="146"/>
        <w:gridCol w:w="196"/>
        <w:gridCol w:w="601"/>
        <w:gridCol w:w="146"/>
        <w:gridCol w:w="146"/>
        <w:gridCol w:w="314"/>
        <w:gridCol w:w="617"/>
        <w:gridCol w:w="30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revenue during the year ended December 31, 2025, as compared to the prior year, was primarily attributable to the execution of a new long-term license agreement with Disney in the fourth quarter of 2025, partially offset by a multi-year license agreement with Amazon in the fourth quarter of 2024. A portion of revenue from both license agreements was recognized up-front in the respective period each agreement was executed.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revenues for the years ended December 31, 2025 and 2024 were $351.3 million and $341.5 million, respectively. The increase of $9.8 million was driven primarily by the execution of license agreements with new customers in 2024 and 2025, and increased royalty revenue from certain semiconductor customers, which were partially offset by declines in royalty revenue from certain Pay-TV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Non-recurring revenues for the years ended December 31, 2025 and 2024 were $92.0 million and $34.6 million, respectively. The increase of $57.4 million was primarily attributable to the execution a new long-term license agreement with Disney in the fourth quarter of 2025, partially offset by a multi-year license agreement with Amazon in the fourth quarter of 2024. A portion of revenue from both license agreements was recognized up-front in the respective period each agreement was executed.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Research and development (“R&amp;D”) costs consist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costs are expensed as incurred. We intend to make a continued investment in our R&amp;D efforts because we believe they are essential to grow our patent portfolios to secure new customers and renew agreements with existing customers.</w:t>
      </w:r>
    </w:p>
    <w:tbl>
      <w:tblPr>
        <w:tblW w:w="6912" w:type="dxa"/>
        <w:jc w:val="left"/>
        <w:tblInd w:w="0" w:type="dxa"/>
        <w:tblLayout w:type="fixed"/>
        <w:tblCellMar>
          <w:top w:w="28" w:type="dxa"/>
          <w:left w:w="28" w:type="dxa"/>
          <w:bottom w:w="28" w:type="dxa"/>
          <w:right w:w="28" w:type="dxa"/>
        </w:tblCellMar>
      </w:tblPr>
      <w:tblGrid>
        <w:gridCol w:w="2011"/>
        <w:gridCol w:w="146"/>
        <w:gridCol w:w="227"/>
        <w:gridCol w:w="698"/>
        <w:gridCol w:w="169"/>
        <w:gridCol w:w="169"/>
        <w:gridCol w:w="227"/>
        <w:gridCol w:w="698"/>
        <w:gridCol w:w="146"/>
        <w:gridCol w:w="146"/>
        <w:gridCol w:w="208"/>
        <w:gridCol w:w="543"/>
        <w:gridCol w:w="146"/>
        <w:gridCol w:w="146"/>
        <w:gridCol w:w="314"/>
        <w:gridCol w:w="617"/>
        <w:gridCol w:w="3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67,519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R&amp;D costs during the year ended December 31, 2025, as compared to the prior year, was primarily due to an increase in patent portfolio expenses, patent technical support expenses, and an increase in personnel related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 </w:t>
      </w:r>
    </w:p>
    <w:tbl>
      <w:tblPr>
        <w:tblW w:w="7496" w:type="dxa"/>
        <w:jc w:val="left"/>
        <w:tblInd w:w="0" w:type="dxa"/>
        <w:tblLayout w:type="fixed"/>
        <w:tblCellMar>
          <w:top w:w="28" w:type="dxa"/>
          <w:left w:w="28" w:type="dxa"/>
          <w:bottom w:w="28" w:type="dxa"/>
          <w:right w:w="28" w:type="dxa"/>
        </w:tblCellMar>
      </w:tblPr>
      <w:tblGrid>
        <w:gridCol w:w="2551"/>
        <w:gridCol w:w="146"/>
        <w:gridCol w:w="207"/>
        <w:gridCol w:w="732"/>
        <w:gridCol w:w="154"/>
        <w:gridCol w:w="154"/>
        <w:gridCol w:w="207"/>
        <w:gridCol w:w="732"/>
        <w:gridCol w:w="146"/>
        <w:gridCol w:w="146"/>
        <w:gridCol w:w="196"/>
        <w:gridCol w:w="601"/>
        <w:gridCol w:w="146"/>
        <w:gridCol w:w="146"/>
        <w:gridCol w:w="314"/>
        <w:gridCol w:w="617"/>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119,534</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SG&amp;A expense during the year ended December 31, 2025, as compared to the prior year, was primarily due to increases in personnel related costs and advertising expense, partially offset by decreases in outside services.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Amortization Expense</w:t>
      </w:r>
    </w:p>
    <w:tbl>
      <w:tblPr>
        <w:tblW w:w="6753" w:type="dxa"/>
        <w:jc w:val="left"/>
        <w:tblInd w:w="0" w:type="dxa"/>
        <w:tblLayout w:type="fixed"/>
        <w:tblCellMar>
          <w:top w:w="28" w:type="dxa"/>
          <w:left w:w="28" w:type="dxa"/>
          <w:bottom w:w="28" w:type="dxa"/>
          <w:right w:w="28" w:type="dxa"/>
        </w:tblCellMar>
      </w:tblPr>
      <w:tblGrid>
        <w:gridCol w:w="1666"/>
        <w:gridCol w:w="146"/>
        <w:gridCol w:w="227"/>
        <w:gridCol w:w="698"/>
        <w:gridCol w:w="169"/>
        <w:gridCol w:w="169"/>
        <w:gridCol w:w="227"/>
        <w:gridCol w:w="698"/>
        <w:gridCol w:w="146"/>
        <w:gridCol w:w="146"/>
        <w:gridCol w:w="196"/>
        <w:gridCol w:w="661"/>
        <w:gridCol w:w="166"/>
        <w:gridCol w:w="146"/>
        <w:gridCol w:w="276"/>
        <w:gridCol w:w="655"/>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56,621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amortization expense during the year ended December 31, 2025, as compared to the prior year, was primarily due to certain intangible assets becoming fully amortized during 2024. The decrease was partially offset by the acquisition of patent portfolios and the resulting amortization of those assets.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Litigation Expense</w:t>
      </w:r>
    </w:p>
    <w:tbl>
      <w:tblPr>
        <w:tblW w:w="6358" w:type="dxa"/>
        <w:jc w:val="left"/>
        <w:tblInd w:w="0" w:type="dxa"/>
        <w:tblLayout w:type="fixed"/>
        <w:tblCellMar>
          <w:top w:w="28" w:type="dxa"/>
          <w:left w:w="28" w:type="dxa"/>
          <w:bottom w:w="28" w:type="dxa"/>
          <w:right w:w="28" w:type="dxa"/>
        </w:tblCellMar>
      </w:tblPr>
      <w:tblGrid>
        <w:gridCol w:w="1411"/>
        <w:gridCol w:w="146"/>
        <w:gridCol w:w="227"/>
        <w:gridCol w:w="698"/>
        <w:gridCol w:w="169"/>
        <w:gridCol w:w="169"/>
        <w:gridCol w:w="227"/>
        <w:gridCol w:w="698"/>
        <w:gridCol w:w="146"/>
        <w:gridCol w:w="146"/>
        <w:gridCol w:w="196"/>
        <w:gridCol w:w="601"/>
        <w:gridCol w:w="146"/>
        <w:gridCol w:w="146"/>
        <w:gridCol w:w="314"/>
        <w:gridCol w:w="617"/>
        <w:gridCol w:w="30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litigation expense during the year ended December 31, 2025, as compared to the prior year, was primarily due to increased activity in current litigation matters. See Part I, Item 3. – Legal Proceedings for additional information regarding these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litigation expense will continue to be a significant portion of our operating expenses, as it is used to enforce and protect our IP and contract rights. Litigation expense may fluctuate between periods because of planned or ongoing litigation, as described in Part I, Item 3 – Legal Proceedings.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Interest Expense</w:t>
      </w:r>
    </w:p>
    <w:tbl>
      <w:tblPr>
        <w:tblW w:w="6348" w:type="dxa"/>
        <w:jc w:val="left"/>
        <w:tblInd w:w="0" w:type="dxa"/>
        <w:tblLayout w:type="fixed"/>
        <w:tblCellMar>
          <w:top w:w="28" w:type="dxa"/>
          <w:left w:w="28" w:type="dxa"/>
          <w:bottom w:w="28" w:type="dxa"/>
          <w:right w:w="28" w:type="dxa"/>
        </w:tblCellMar>
      </w:tblPr>
      <w:tblGrid>
        <w:gridCol w:w="1261"/>
        <w:gridCol w:w="146"/>
        <w:gridCol w:w="227"/>
        <w:gridCol w:w="698"/>
        <w:gridCol w:w="169"/>
        <w:gridCol w:w="169"/>
        <w:gridCol w:w="227"/>
        <w:gridCol w:w="698"/>
        <w:gridCol w:w="146"/>
        <w:gridCol w:w="146"/>
        <w:gridCol w:w="196"/>
        <w:gridCol w:w="661"/>
        <w:gridCol w:w="166"/>
        <w:gridCol w:w="146"/>
        <w:gridCol w:w="276"/>
        <w:gridCol w:w="655"/>
        <w:gridCol w:w="36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40,359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interest expense during the year ended December 31, 2025, as compared to the prior year, was primarily due to lower debt balances, the reduction of the interest rate margin resulting from the repricing of our Term Loan B during the second quarter of 2024 and the first quarter of 2025, and the effects of the Federal Reserve interest rate cuts during 2024 and 2025.</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Other Income and Expense, Net</w:t>
      </w:r>
    </w:p>
    <w:tbl>
      <w:tblPr>
        <w:tblW w:w="7197" w:type="dxa"/>
        <w:jc w:val="left"/>
        <w:tblInd w:w="0" w:type="dxa"/>
        <w:tblLayout w:type="fixed"/>
        <w:tblCellMar>
          <w:top w:w="28" w:type="dxa"/>
          <w:left w:w="28" w:type="dxa"/>
          <w:bottom w:w="28" w:type="dxa"/>
          <w:right w:w="28" w:type="dxa"/>
        </w:tblCellMar>
      </w:tblPr>
      <w:tblGrid>
        <w:gridCol w:w="2296"/>
        <w:gridCol w:w="146"/>
        <w:gridCol w:w="251"/>
        <w:gridCol w:w="656"/>
        <w:gridCol w:w="187"/>
        <w:gridCol w:w="187"/>
        <w:gridCol w:w="251"/>
        <w:gridCol w:w="656"/>
        <w:gridCol w:w="146"/>
        <w:gridCol w:w="146"/>
        <w:gridCol w:w="257"/>
        <w:gridCol w:w="494"/>
        <w:gridCol w:w="146"/>
        <w:gridCol w:w="146"/>
        <w:gridCol w:w="314"/>
        <w:gridCol w:w="617"/>
        <w:gridCol w:w="30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and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other income and expense, net during the year ended December 31, 2025, as compared to the prior year, was primarily due to an increase in interest income from significant financing components from certain revenue contracts and interest income from our cash, cash equivalents and marketable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on Debt Extinguishment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2024, we recognized $0.5 million associated with the repricing of our Term Loan B. There were no such costs in 2025. Refer to discussion below for further detail on the repricing of our Term Loan B.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Provision for Income Taxes</w:t>
      </w:r>
    </w:p>
    <w:tbl>
      <w:tblPr>
        <w:tblW w:w="6380" w:type="dxa"/>
        <w:jc w:val="left"/>
        <w:tblInd w:w="0" w:type="dxa"/>
        <w:tblLayout w:type="fixed"/>
        <w:tblCellMar>
          <w:top w:w="28" w:type="dxa"/>
          <w:left w:w="28" w:type="dxa"/>
          <w:bottom w:w="28" w:type="dxa"/>
          <w:right w:w="28" w:type="dxa"/>
        </w:tblCellMar>
      </w:tblPr>
      <w:tblGrid>
        <w:gridCol w:w="2026"/>
        <w:gridCol w:w="146"/>
        <w:gridCol w:w="990"/>
        <w:gridCol w:w="209"/>
        <w:gridCol w:w="990"/>
        <w:gridCol w:w="146"/>
        <w:gridCol w:w="751"/>
        <w:gridCol w:w="146"/>
        <w:gridCol w:w="976"/>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$29,848</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 ended December 31, 2025, we recorded an income tax expense of $29.8 million on pretax income of $140.9 million, resulting in an effective tax rate of 21.2%. The income tax expense for the year was primarily attributable to tax on current year income, partially offset by foreign tax credits, the foreign-derived intangible income deduction, and releases of uncertain tax positions. The increase in income tax expense for the year ended December 31, 2025, as compared to the prior year, was primarily attributable to higher pretax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 ended December 31, 2024, we recorded an income tax expense of $16.6 million on pretax income of $81.2 million, resulting in an effective tax rate of 20.4%. The income tax expense for the year was primarily attributable to tax on current year income, foreign withholding taxes, and unrealized foreign exchange losses related to prior year South Korea refund claims, partially offset by releases of uncertain tax positions.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Korea Supreme Court issued a decision overturning the long-standing territorial sourcing framework for royalty income, under which royalty income was sourced by reference to the place of patent registration, and adopted a new sourcing rule based on where a licensed patent is used. In the fourth quarter of 2025, we were notified by Korea tax authorities that our pending withholding tax refund claims were denied, reducing the likelihood of the recovery of withholding tax receivables in Korea. Given this development, we determined that we could not sufficiently demonstrate eligibility for a refund under the revised sourcing rule. As a result, we concluded that realization of the related income tax receivable was no longer more-likely-than-not and derecognized the asset. The derecognition contributed $1.6 million in income tax expense for the year ended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need for a valuation allowance requires an assessment of both positive and negative evidence when determining whether it is more-likely-than-not that deferred tax assets are recoverable. Such assessment is required on a jurisdiction-by-jurisdiction basis. In making such an assessment, significant weight is given to evidence that can be objectively verified. Given our history of sustained profitability, we concluded that it was more-likely-than-not that we would realize our U.S. federal and certain state deferred tax assets. We continue to maintain a valuation allowance against tax attributes in California and other state tax attributes that can only be utilized against the income of specific legal entities.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selected financial information related to our liquidity and significant sources and uses of cash and cash equivalents as of and for the years ended December 31, 2025 and 2024: </w:t>
      </w:r>
    </w:p>
    <w:tbl>
      <w:tblPr>
        <w:tblW w:w="7114" w:type="dxa"/>
        <w:jc w:val="left"/>
        <w:tblInd w:w="0" w:type="dxa"/>
        <w:tblLayout w:type="fixed"/>
        <w:tblCellMar>
          <w:top w:w="28" w:type="dxa"/>
          <w:left w:w="28" w:type="dxa"/>
          <w:bottom w:w="28" w:type="dxa"/>
          <w:right w:w="28" w:type="dxa"/>
        </w:tblCellMar>
      </w:tblPr>
      <w:tblGrid>
        <w:gridCol w:w="4501"/>
        <w:gridCol w:w="146"/>
        <w:gridCol w:w="211"/>
        <w:gridCol w:w="781"/>
        <w:gridCol w:w="146"/>
        <w:gridCol w:w="146"/>
        <w:gridCol w:w="211"/>
        <w:gridCol w:w="781"/>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3061"/>
        <w:gridCol w:w="146"/>
        <w:gridCol w:w="211"/>
        <w:gridCol w:w="841"/>
        <w:gridCol w:w="166"/>
        <w:gridCol w:w="146"/>
        <w:gridCol w:w="211"/>
        <w:gridCol w:w="841"/>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sources of liquidity and capital resources are our operating cash flows and our short-term investments in marketable securities. Cash, cash equivalents and marketable securities were $136.7 million at December 31, 2025, an increase of $26.3 million from $110.4 million at December 31, 2024. This increase resulted primarily from $158.1 million of cash generated from operations and $2.4 million in proceeds from our employee stock purchase program and exercise of stock options, partially offset by $60.4 million in repayment of long-term debt, $8.8 million in purchases of long-lived assets, $21.8 million in dividends paid, $20.0 million in repurchases of common stock ($1.3 million in repurchases of common stock executed during the year ended December 31, 2024 were settled in January 2025), and $22.5 million in repurchases of common stock for tax withholdings on 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make additional payments on our existing debt from cash generated from operations. Our material cash requirements include the following contractual and other obligations: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outstanding long-term debt in an aggregate principal amount of $426.7 million, with a minimum of $24.4 million payable within the next 12 months. Based on achieving certain leverage ratios and as a result of voluntary prepayments, we were not required to make excess cash flow payments as pursuant to the agreement for either of the years ended December 31, 2024 and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Future interest payments associated with the debt, based on current interest rates, total $63.4 million, with $27.2 million payable within 12 months. The interest payments may vary with changes in interest rates, as well as due to reductions of the principal amount. Refer to “Note 10 – </w:t>
      </w:r>
      <w:r>
        <w:rPr>
          <w:rFonts w:ascii="Times New Roman" w:hAnsi="Times New Roman"/>
          <w:i/>
          <w:color w:val="000000"/>
          <w:sz w:val="20"/>
        </w:rPr>
        <w:t>Debt</w:t>
      </w:r>
      <w:r>
        <w:rPr>
          <w:rFonts w:ascii="Times New Roman" w:hAnsi="Times New Roman"/>
          <w:color w:val="000000"/>
          <w:sz w:val="20"/>
        </w:rPr>
        <w:t>” of the Notes to Consolidated Financial Statements for additional information on debt obligations and maturities.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lease arrangements for office and research facilities, data centers and office equipment. As of December 31, 2025, fixed lease payment obligations amounted to $9.3 million, with $0.7 million payable within 12 months. Refer to “Note 8 – </w:t>
      </w:r>
      <w:r>
        <w:rPr>
          <w:rFonts w:ascii="Times New Roman" w:hAnsi="Times New Roman"/>
          <w:i/>
          <w:color w:val="000000"/>
          <w:sz w:val="20"/>
        </w:rPr>
        <w:t>Leases</w:t>
      </w:r>
      <w:r>
        <w:rPr>
          <w:rFonts w:ascii="Times New Roman" w:hAnsi="Times New Roman"/>
          <w:color w:val="000000"/>
          <w:sz w:val="20"/>
        </w:rPr>
        <w:t>” of the Notes to Consolidated Financial Statements for additional information on lease obligations and maturities.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Separation, we and a subsidiary of Xperi Inc. (“Xperi Sub”) entered into an agreement (the “Specified Agreement”) with a third party pursuant to which we guarantee the performance of Xperi Sub under the Specified Agreement, including its payment obligations to such third party. In connection with the Separation, we and Xperi Sub entered into a separate cross business agreement (the “Cross Business Agreement”) effective as of October 1, 2022 under which we agreed to make guarantee payments to Xperi Sub in amounts based on certain of its operating expenses and other minimum performance obligations under the Specified Agreement through 2031. Consequently, on October 1, 2022, we recognized a guarantee liability of $19.7 million, which represents the fair value of Adeia Media’s projected payments of such operating expenses during the term of the Cross Business Agreement. Subsequent changes to the carrying value of the guarantee are recognized as part of our results of operations. As of December 31, 2025, the balance of the guarantee liability is $16.3 million, including a current portion of $0.8 million. Operating expense reimbursements are capped at a maximum of $7.5 million per annum. To date, such reimbursements have not been material.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Purchase Obligations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other purchase obligations primarily consist of non-cancelable obligations related to advertising, engineering services and internet and telecommunications services. As of December 31, 2025, we had purchase obligations of $7.5 million, including $3.2 million due in 2026, $2.4 million due in 2027, and $1.9 million due thereafter. These purchase obligations represent commitments under enforceable and legally binding agreements and do not represent the entire anticipated purchases in the future. Refer to “Note 15 – </w:t>
      </w:r>
      <w:r>
        <w:rPr>
          <w:rFonts w:ascii="Times New Roman" w:hAnsi="Times New Roman"/>
          <w:i/>
          <w:color w:val="000000"/>
          <w:sz w:val="20"/>
        </w:rPr>
        <w:t>Commitments and Contingencies</w:t>
      </w:r>
      <w:r>
        <w:rPr>
          <w:rFonts w:ascii="Times New Roman" w:hAnsi="Times New Roman"/>
          <w:color w:val="000000"/>
          <w:sz w:val="20"/>
        </w:rPr>
        <w:t>” of the Notes to Consolidated Financial Statements for additional detail.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accrued $7.3 million of unrecognized tax benefits in long-term income taxes payable related to uncertain tax positions, which include an immaterial amount of accrued interest and penalties. At this time, we are unable to reasonably estimate the timing of the long-term payments or the amount by which the liability will increase or decrease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cash requirements outlined above, we have returned cash to stockholders through both quarterly dividend payments and repurchases of our common stock under our stock repurchase plan, as further described below: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Quarterly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and 2024, we paid quarterly dividends of $0.05 per share in each of the March, June, September and December quarterly periods. Our capacity to pay dividends in the future depends on many factors, including our financial condition, results of operations, capital requirements, capital structure, industry practice and other business conditions that the Board of Directors considers relevant. We anticipate that any quarterly dividends if and when paid, will be paid out of cash, cash equivalents and short-term investments in marketable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Repurchase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our Board of Directors approved an increase to the existing share repurchase authorization up to a total of $200.0 million. The stock repurchases may be made from time to time, through solicited or unsolicited transactions in the open market, in privately negotiated transactions, or pursuant to a Rule 10b5-1 plan. During the year ended December 31, 2025, we repurchased a total of approximately 1.5 million shares of common stock, at an average price of $13.55 per share for a total cost of $20.0 million. During the year ended December 31, 2024, we repurchased a total of approximately 1.4 million shares of common stock, at an average price of $13.95 per share for a total cost of $20.0 million. As of December 31, 2025, the total remaining amount available for repurchase under this plan was $160.0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continue to execute authorized repurchases from time to time under our existing stock repurchase plan. The amount and timing of any repurchases under the stock repurchase plan depend on a number of factors, including, but not limited to, the trading price, volume and availability of our common shares. There is no guarantee that such repurchases under the stock repurchase plan will enhance the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flows provided by operations were $158.1 million for the year ended December 31, 2025, primarily due to our net income of $111.1 million being adjusted for non-cash items of amortization of intangible assets of $56.6 million, stock-based compensation expense of $34.7 million, amortization of debt issuance costs of $3.4 million, depreciation of $2.0 million, and change in deferred income tax and other of $33.7 million, partially offset by $(82.8) million net change in operating assets and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flows provided by operations were $212.5 million for the year ended December 31, 2024, primarily due to our net income of $64.6 million being adjusted for non-cash items of amortization of intangible assets of $70.7 million, stock-based compensation expense of $26.6 million, amortization of debt issuance costs of $3.5 million, depreciation of $2.1 million, partially offset by the change in deferred income tax of $(7.1) million, and $53.2 million net change in operating assets and liabilities.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was $40.3 million for the year ended December 31, 2025, primarily related to purchases of short-term investments in marketable securities of $57.3 million, and purchases of long-lived assets of $8.8 million, partially offset by maturities of marketable securities of $24.3 million and proceeds from sales of short-term investments of $1.5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$24.0 million for the year ended December 31, 2024, primarily related to purchases of short-term investments in marketable securities of $33.2 million, and purchases of long-lived assets of $22.3 million, partially offset by maturities of marketable securities of $31.5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capital expenditures for property and equipment consist primarily of leasehold improvements, purchases of computer hardware and software, information systems, and production and test equipment. During each of the years ended December 31, 2025 and 2024, we spent $1.8 million on capital expenditures. Our capital expenditures for intangible assets consists primarily of acquired patents. During the years ended December 31, 2025 and 2024, we spent $7.0 million and $20.5 million on purchases of intangible assets, respectively. There can be no assurance that current expectations will be realized, and plans are subject to change upon further review of our capital expenditure needs.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$123.5 million for the year ended December 31, 2025 principally due to $60.4 million in repayment of indebtedness, $21.8 million in dividends paid, $20.0 million in repurchases of common stock ($1.3 million in repurchases of common stock were pending settlement as of December 31, 2024), and $22.5 million in repurchases of common stock for tax withholdings on equity awards, partially offset by $2.4 million in proceeds from our employee stock purchase program and exercise of stock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$164.2 million for the year ended December 31, 2024 principally due to $114.2 million in repayment of indebtedness, $21.8 million in dividends paid, $20.0 million in repurchases of common stock ($1.3 million in repurchases of common stock were pending settlement as of December 31, 2024), and $12.8 million in repurchases of common stock for tax withholdings on equity awards, partially offset by $3.2 million in proceeds from our employee stock purchase program and exercise of stock options.</w:t>
      </w:r>
    </w:p>
    <w:p>
      <w:pPr>
        <w:pStyle w:val="TextBody"/>
        <w:bidi w:val="0"/>
        <w:spacing w:before="240" w:after="283"/>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dated June 1, 2020 (the “2020 Credit Agreement”), provides for a senior secured term loan B facility (the “Term Loan B”) with maturity on June 8,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2024, we entered into Amendment No. 3 (“Amendment No. 3”) to the 2020 Credit Agreement, which provided for a repricing of the entire outstanding aggregate principal amount of $561.1 million. Amendment No. 3 also reduced interest margins (50 basis points) from SOFR plus a margin of 3.50% to SOFR plus a margin of 3.00% per annum or base rate plus a margin of 2.00% per annum. In addition, Amendment No. 3 lowered the excess cash flow mandatory payment thresholds and credit spread adjustment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we entered into Amendment No. 4 (“Amendment No. 4”) to the 2020 Credit Agreement, which provided for a repricing of the entire outstanding aggregate principal amount of $487.1 million. Amendment No. 4 further reduced the interest margins (50 basis points) to SOFR plus a margin of 2.50% per annum or base rate plus a margin of 1.50%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2020 Credit Agreement, as amended, continue to be guaranteed by our wholly-owned material domestic subsidiaries (collectively, the “Guarantors”) and continue to be secured by a lien on substantially all our assets and those of the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$426.7 million was outstanding under the term loan B facility. In addition, we had $8.3 million of unamortized debt discount and issuance costs recorded as a reduction from the carrying amount of the debt. The interest rate on the Term Loan B, including the amortization of debt discount and issuance costs, was 7.3% and interest is payable monthly.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Under the existing loan agreement, we have future minimum principal payments for our debt of $24.4 million each year from 2026 through 2027, with the remaining principal balance of $378.0 million will be due June 8, 2028.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the Company made during the year ended December 31, 2024, no excess cash flow payments were required for the years ended December 31, 2025 and 2024. The term loan B facility contains customary covenants, and as of December 31, 2025, we were in full compliance with such covenants.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are based upon our consolidated financial statements. These financial statements have been prepared in conformity with generally accepted accounting principles (“GAAP”) in the United States which requires us to make estimates and judgments that affect the reported amounts of assets, liabilities, revenue and expenses and related disclosure of contingent assets and liabilities. By their nature, these estimates and judgments are subject to an inherent degree of uncertainty. We evaluate our estimates based on our historical experience and various other assumptions that are believed to be reasonable under the circumstances. These estimates relate to revenue recognition, the assessment of recoverability of goodwill and intangible assets, business combinations, recognition and measurement of deferred income tax assets and liabilities, the assessment of unrecognized tax benefits and others. Actual results could differ from those estimates, and material effects on our operating results and financial position may result.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the following accounting policies and estimates are most critical to understanding our consolidated financial statements. See “Note 2 – </w:t>
      </w:r>
      <w:r>
        <w:rPr>
          <w:rFonts w:ascii="Times New Roman" w:hAnsi="Times New Roman"/>
          <w:i/>
          <w:color w:val="000000"/>
          <w:sz w:val="20"/>
        </w:rPr>
        <w:t>Summary of Significant Accounting Policies</w:t>
      </w:r>
      <w:r>
        <w:rPr>
          <w:rFonts w:ascii="Times New Roman" w:hAnsi="Times New Roman"/>
          <w:color w:val="000000"/>
          <w:sz w:val="20"/>
        </w:rPr>
        <w:t xml:space="preserve">” and “Note 4 – </w:t>
      </w:r>
      <w:r>
        <w:rPr>
          <w:rFonts w:ascii="Times New Roman" w:hAnsi="Times New Roman"/>
          <w:i/>
          <w:color w:val="000000"/>
          <w:sz w:val="20"/>
        </w:rPr>
        <w:t>Revenue</w:t>
      </w:r>
      <w:r>
        <w:rPr>
          <w:rFonts w:ascii="Times New Roman" w:hAnsi="Times New Roman"/>
          <w:color w:val="000000"/>
          <w:sz w:val="20"/>
        </w:rPr>
        <w:t>” of the Notes to Consolidated Financial Statements for a full description of our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derive the majority of our revenue from the licensing of our IP rights to customers. Revenue is recognized when control of the IP rights is transferred to a customer in an amount that reflects the consideration that we expect to be entitled to in exchange for the licensing of our IP. The primary judgments include identifying the performance obligations in the contract, determining standalone selling price used to allocate consideration in a contract with multiple performance obligations, estimating the fair value of noncash consideration, estimating variable consideration relating to potential future price adjustments as a result of legal contract disputes, and estimating quarterly royalties prior to receiving the royalty reports from the licensee.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At times, we enter into contracts with customers that include releases from past patent infringement claims and a prospective license. In these contracts, we allocate the transaction price between releases for past patent infringement claims and prospective licenses based on their relative standalone selling prices. Determining standalone selling price requires significant management judgment. In determining the standalone selling price of each performance obligation, we consider such factors as the customer’s revenues, the number of past and projected future subscribers, units shipped, and units manufactured, as well as the per-subscriber or per-unit licensing rates we generally receive from licensees of comparable sizes in comparable markets and geographies. 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generally recognized upon execution of the contract.</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At times, we enter into contracts with customers that include noncash consideration in the form of patents. During 2025, 2024 and 2023, revenue recognized from noncash consideration represented 5.8%, 0.6% and 0.2%, respectively, of our total revenue. Determining the fair value of patents is performed at contract inception using one of, or a combination of, an analysis of comparable market transactions (the market approach), and/or an analysis of the costs that would be required to develop and maintain a comparable set of patents (the cost approach). Each methodology involves the use of significant judgments and assumptions, including which market transactions are most comparable to the specific transaction and the identification of relevant costs incurred by comparable companies to develop and maintain a comparable set of patents. Changes in these assumptions could have a substantial impact on the fair value assigned to the patents for accounting purposes. These inputs and assumptions represent management's best estimates at the time of the transaction.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When the uncertainty associated with variable consideration relates to potential future price adjustments as a result of a legal contract dispute, we estimate variable consideration using the expected value method or the most likely amount method, whichever is more appropriate in the circumstances, and consider all available information, including historical data and experience. Estimating variable consideration related to potential future price adjustments requires significant management judgment in evaluating the possible outcomes.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We generally recognize royalty revenue from per-unit or per-subscriber licenses based on units shipped or manufactured or number of subscribers. Revenue is recognized in the period in which the customer’s sales or usage are estimated to have occurred. This may result in an adjustment to revenue when actual sales or usage are subsequently reported by the customer, generally in the month or quarter following sales or usage. Estimating a customer’s quarterly royalties prior to receiving the royalty reports requires us to make significant assumptions and judgments related to forecasted trends and growth rates used to estimate sales or usage, which could have a material impact on the amount of revenue we report on a quarterly basis.</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Accounting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make certain estimates and judgments in determining income tax expense for financial statement purposes. These estimates and judgments are used in the calculation of tax credits, tax benefits and deductions and in the calculation of tax assets and liabilities. Significant changes to these estimates may result in an increase or decrease to our tax provision in a subsequent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assess the likelihood that we will be able to realize our deferred tax assets. If realizability is not likely on a more-likely-than-not basis, we must increase our provision for income taxes by recording a valuation allowance against our deferred tax assets. We considered the scheduled reversal of deferred tax liabilities, projected future taxable income and tax planning strategies in making this assessment. Should there be a change in our ability to recover our deferred tax assets, our provision for income taxes would fluctuate in the period of the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uncertain tax positions in accordance with authoritative guidance related to income taxes. The calculation of our unrecognized tax benefits involves dealing with uncertainties in the application of complex tax regulations. As such, we are required to make many subjective assumptions and judgments regarding our income tax exposures. We record unrecognized tax benefits for anticipated tax audit issues in the U.S. and other tax jurisdictions based on our estimate of whether, and the extent to which, additional tax liabilities are more-likely-than-not, assuming the tax authorities have full knowledge of all relevant information. If we ultimately determine that the tax liabilities are unnecessary, we reverse the liabilities and recognize a tax benefit during the period in which it occurs. This may occur for a variety of reasons, such as the expiration of the statute of limitations on a particular tax return or the completion of an examination by the relevant tax authority. We record an additional charge in our provision for taxes in the period in which we determine that the recorded unrecognized tax benefits are less than the expected ultimate settlement.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policy is to classify accrued interest and penalties related to the accrued liability for unrecognized tax benefits in the provision for income taxes. For the years ended December 31, 2025 and 2024, respectively, we did not recognize any significant interest or penalties. See “Note 14 – </w:t>
      </w:r>
      <w:r>
        <w:rPr>
          <w:rFonts w:ascii="Times New Roman" w:hAnsi="Times New Roman"/>
          <w:i/>
          <w:color w:val="000000"/>
          <w:sz w:val="20"/>
        </w:rPr>
        <w:t>Income Taxes</w:t>
      </w:r>
      <w:r>
        <w:rPr>
          <w:rFonts w:ascii="Times New Roman" w:hAnsi="Times New Roman"/>
          <w:color w:val="000000"/>
          <w:sz w:val="20"/>
        </w:rPr>
        <w:t>” of the Notes to Consolidated Financial Statements for additional detail.</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7a_quantitative_qualitative_disclos"/>
      <w:bookmarkEnd w:id="16"/>
      <w:r>
        <w:rPr>
          <w:rFonts w:ascii="Times New Roman" w:hAnsi="Times New Roman"/>
          <w:b/>
          <w:color w:val="000000"/>
          <w:sz w:val="20"/>
        </w:rPr>
        <w:t>Item 7A.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primary objectives of our investment activities are to preserve principal and maintain liquidity, while at the same time capturing a market rate of return. To achieve these objectives, we maintain our portfolio of cash, cash equivalents and investments in a variety of securities, which are subject to risks including: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Interest Rate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we had $426.7 million of outstanding indebtedness that was subject to floating interest rates. Changes in economic conditions outside of our control could result in higher interest rates, thereby increasing our interest expense and reducing the funds available for capital investment, operations or other purposes. At December 31, 2025, a 1% increase in the effective interest rate on our outstanding debt throughout a one-year period would result in an annual increase in our interest expense of approximately $4.2 million. Any significant increase in our interest expense could negatively impact our results of operations and cash flows and also our ability to pay dividends in the future. If the U.S. Federal Reserve raises its benchmark interest rate, any increases would likely impact the borrowing rate on our outstanding indebtedness, and increase our interest expense, comparably.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Investment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market risk as it relates to changes in the market value of our investments in addition to the liquidity and credit-worthiness of the underlying issuers of our investments. Our investments are subject to fluctuations in fair value due to the volatility of the credit markets and prevailing interest rates for such securities. Our marketable debt securities, consisting primarily of municipal bonds and notes, corporate bonds and notes, commercial paper, treasury and agency notes and bills and certificates of deposit, are classified as available-for-sale securities. As of December 31, 2025, the fair value of our investments classified as marketable securities was $63.8 million. Unrealized losses, net of tax, on these investments were not material as of December 31, 2025. We did not hold any derivatives, derivative commodity instruments or other similar financial instruments in our portfolio as of December 31,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Bank Liquidity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we have approximately $72.9 million of cash in operating accounts that are held with both domestic and international financial institutions, the majority of which is held with high quality domestic financial institutions. These cash balances could be lost or become inaccessible if the underlying financial institutions fail or if they are unable to meet the liquidity requirements of their depositors and they are not supported by the government of the jurisdiction where such cash is held. We have not incurred any losses and have had full access to our operating accounts to date. We believe any failures of domestic and international financial institutions could impact our ability to fund our operations in the short term.</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Exchange Rate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international business is subject to risks, including, but not limited to, differing economic conditions, changes in political climate, differing tax structures, other regulations and restrictions and foreign exchange rate volatility when compared to the U.S. dollar. Accordingly, our future results could be materially impacted by changes in these or other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affected by exchange rate fluctuations as the financial statements of our foreign subsidiaries are translated into U.S. dollars in consolidation. As exchange rates vary, these results, when translated, may vary from expectations and could adversely or positively impact overall profitability. During 2025, the impact of foreign exchange rate fluctuations related to translation of our foreign subsidiaries’ financial statements was immaterial to our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bookmarkStart w:id="17" w:name="item_8_financial_statements_supplementar"/>
      <w:bookmarkEnd w:id="17"/>
      <w:r>
        <w:rPr>
          <w:rFonts w:ascii="Times New Roman" w:hAnsi="Times New Roman"/>
          <w:b/>
          <w:color w:val="000000"/>
          <w:sz w:val="20"/>
        </w:rPr>
        <w:t>Item 8. Financial Statements and Supplementary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Consolidated Balance Sheets as of December 31, 2025 and 2024, and the related Consolidated Statements of Income, Equity, Comprehensive Income and Cash Flows for each of the years in the three-year period ended December 31, 2025 are set forth in this Annual Report at Item 15(a)(1).</w:t>
      </w:r>
    </w:p>
    <w:p>
      <w:pPr>
        <w:pStyle w:val="TextBody"/>
        <w:bidi w:val="0"/>
        <w:jc w:val="left"/>
        <w:rPr/>
      </w:pPr>
      <w:r>
        <w:rPr/>
        <w:t> </w:t>
      </w:r>
    </w:p>
    <w:p>
      <w:pPr>
        <w:pStyle w:val="TextBody"/>
        <w:bidi w:val="0"/>
        <w:jc w:val="left"/>
        <w:rPr>
          <w:rFonts w:ascii="Times New Roman" w:hAnsi="Times New Roman"/>
          <w:b/>
          <w:color w:val="000000"/>
          <w:sz w:val="20"/>
        </w:rPr>
      </w:pPr>
      <w:bookmarkStart w:id="18" w:name="item_9_changes_in_disagreements_with_acc"/>
      <w:bookmarkEnd w:id="18"/>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9a"/>
      <w:bookmarkEnd w:id="19"/>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Attached as exhibits to this Form 10-K are certifications of Adeia Inc.’s Chief Executive Officer and Chief Financial Officer, which are required in accordance with Rules 13a-15(e) and 15d-15(e) of the Exchange Act. This “Controls and Procedures” section includes information concerning the controls and controls evaluation referred to in the certifications and should be read in conjunction with the certifications for a more complete understanding of the topics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Adeia Inc. maintains disclosure controls and procedures that are designed to ensure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Based on this evaluation, our Chief Executive Officer and Chief Financial Officer concluded as of December 31, 2025 that our disclosure controls and procedures were effective to provide reasonable assurance that the information relating to Adeia Inc., including our consolidated subsidiaries, required to be disclosed in our reports that are filed or submitted under the Exchange Act (i) is recorded, processed, summarized and reported within the time periods specified in SEC’s rules and forms, and (ii) is accumulated and communicated to Adeia Inc.’s management, including our Chief Executive Officer and Chief Financial Officer, as appropriate, to allow timely decisions regarding required disclosure.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for Adeia Inc. Our internal control over financial reporting is a process designed to provide reasonable assurance regarding the reliability of financial reporting and the preparation of financial statements for external purposes in accordance with generally accepted accounting principles. Adeia Inc.’s internal control over financial reporting includes those policies and procedures that (i) pertain to the maintenance of records that, in reasonable detail, accurately and fairly reflect the transactions and dispositions of the assets of Adeia Inc.; (ii) provide reasonable assurance that transactions are recorded as necessary to permit preparation of financial statements in accordance with generally accepted accounting principles, and that receipts and expenditures of Adeia Inc. are being made only in accordance with authorizations of management and directors of Adeia Inc.; and (iii) provide reasonable assurance regarding prevention or timely detection of unauthorized acquisition, use, or disposition of Adeia Inc.’s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Adeia Inc.’s management assessed the effectiveness of our internal control over financial reporting as of December 31, 2025, utilizing the criteria described in Internal Control-Integrated Framework (2013) issued by the Committee of Sponsoring Organizations of the Treadway Commission (COSO). Based on the assessment by Adeia Inc.’s management, we determined that Adeia Inc.’s internal control over financial reporting was effective as of December 31, 2025. The effectiveness of Adeia Inc.’s internal control over financial reporting as of December 31, 2025 has been audited by PricewaterhouseCoopers LLP, an independent registered public accounting firm, as stated in their report which appears on page 46 of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quarterly period ended December 31, 2025, there were no changes to our internal control over financial reporting, as defined in Exchange Act Rules 13a-15(f) and 15d-15(f)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our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internal control will be met. Further, the design of a control system must reflect the fact that there are resource constraints, and the benefits of the controls must be considered relative to their costs. While our disclosure controls and procedures and internal control over financial reporting are designed to provide reasonable assurance of their effectiveness, because of the inherent limitations in all control systems, no evaluation of controls can provide absolute assurance that all control issues and instances of fraud, if any, will be detected. These inherent limitations include the realities that judgments in decision 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sz w:val="20"/>
        </w:rPr>
      </w:pPr>
      <w:bookmarkStart w:id="20" w:name="item_9b_or_information"/>
      <w:bookmarkEnd w:id="20"/>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information that was required to be disclosed in a report on Form 8-K during the fourth quarter of 2025 but was not reported.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pPr>
      <w:r>
        <w:rPr>
          <w:rFonts w:ascii="Times New Roman" w:hAnsi="Times New Roman"/>
          <w:color w:val="000000"/>
          <w:sz w:val="20"/>
        </w:rPr>
        <w:t>In the quarter ended December 31, 2025, none of our directors or officers (as defined in Rule 16a-1(f) of the Exchange Act) adopted</w:t>
      </w:r>
      <w:r>
        <w:rPr>
          <w:color w:val="000000"/>
        </w:rPr>
        <w:t xml:space="preserve"> </w:t>
      </w:r>
      <w:r>
        <w:rPr>
          <w:rFonts w:ascii="Times New Roman" w:hAnsi="Times New Roman"/>
          <w:color w:val="000000"/>
          <w:sz w:val="20"/>
        </w:rPr>
        <w:t>or terminated</w:t>
      </w:r>
      <w:r>
        <w:rPr>
          <w:color w:val="000000"/>
        </w:rPr>
        <w:t xml:space="preserve"> </w:t>
      </w:r>
      <w:r>
        <w:rPr>
          <w:rFonts w:ascii="Times New Roman" w:hAnsi="Times New Roman"/>
          <w:color w:val="000000"/>
          <w:sz w:val="20"/>
        </w:rPr>
        <w:t>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before="240" w:after="283"/>
        <w:jc w:val="left"/>
        <w:rPr>
          <w:rFonts w:ascii="Times New Roman" w:hAnsi="Times New Roman"/>
          <w:b/>
          <w:color w:val="000000"/>
          <w:sz w:val="20"/>
        </w:rPr>
      </w:pPr>
      <w:bookmarkStart w:id="21" w:name="item_9c"/>
      <w:bookmarkEnd w:id="21"/>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part_iii"/>
      <w:bookmarkEnd w:id="2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jc w:val="left"/>
        <w:rPr/>
      </w:pPr>
      <w:r>
        <w:rPr/>
        <w:t> </w:t>
      </w:r>
    </w:p>
    <w:p>
      <w:pPr>
        <w:pStyle w:val="TextBody"/>
        <w:bidi w:val="0"/>
        <w:jc w:val="left"/>
        <w:rPr>
          <w:rFonts w:ascii="Times New Roman" w:hAnsi="Times New Roman"/>
          <w:b/>
          <w:color w:val="000000"/>
          <w:sz w:val="20"/>
        </w:rPr>
      </w:pPr>
      <w:bookmarkStart w:id="23" w:name="item_10_directors_executive_ficers_corpo"/>
      <w:bookmarkEnd w:id="23"/>
      <w:r>
        <w:rPr>
          <w:rFonts w:ascii="Times New Roman" w:hAnsi="Times New Roman"/>
          <w:b/>
          <w:color w:val="000000"/>
          <w:sz w:val="20"/>
        </w:rPr>
        <w:t>Item 10. Directors, Executive Officers and Corporate Governance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10 is hereby incorporated by reference from the information under the captions “Executive Officers,” “Election of Directors,” “Board and Committees of the Board; Director Independence” and “Delinquent Section 16(a) Reports” that will be contained in the Proxy Statement for our 2026 Annual Meeting of Stockholders (the “Proxy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adopted a written code of business conduct and ethics that applies to our principal executive officer, principal financial officer, principal accounting officer or controller, or persons serving similar functions. The text of our code of business conduct and ethics has been posted on our website at http://www.adeia.com.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Insider Trading Policies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adopted an Insider Trading policy and procedures governing the purchase, sale and/or other disposition of our securities by directors, officers and employees, or Adeia itself, that we believe are reasonably designed to promote compliance with insider trading laws, rules and regulations and any listing standards applicable to the Company. A copy of our Insider Trading policy is filed with this Annual Report on Form 10-K as Exhibit 19.1. </w:t>
      </w:r>
    </w:p>
    <w:p>
      <w:pPr>
        <w:pStyle w:val="TextBody"/>
        <w:bidi w:val="0"/>
        <w:jc w:val="left"/>
        <w:rPr/>
      </w:pPr>
      <w:r>
        <w:rPr/>
        <w:t> </w:t>
      </w:r>
    </w:p>
    <w:p>
      <w:pPr>
        <w:pStyle w:val="TextBody"/>
        <w:bidi w:val="0"/>
        <w:jc w:val="left"/>
        <w:rPr>
          <w:rFonts w:ascii="Times New Roman" w:hAnsi="Times New Roman"/>
          <w:b/>
          <w:color w:val="000000"/>
          <w:sz w:val="20"/>
        </w:rPr>
      </w:pPr>
      <w:bookmarkStart w:id="24" w:name="item_11_executive_compensation"/>
      <w:bookmarkEnd w:id="24"/>
      <w:r>
        <w:rPr>
          <w:rFonts w:ascii="Times New Roman" w:hAnsi="Times New Roman"/>
          <w:b/>
          <w:color w:val="000000"/>
          <w:sz w:val="20"/>
        </w:rPr>
        <w:t>Item 11. Executive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11 is incorporated by reference from the information under the captions “Election of Directors,” “Compensation Discussion and Analysis,” “Compensation of Named Executive Officers” and “Report of the Compensation Committee” that will be contained in the Proxy Statement.</w:t>
      </w:r>
    </w:p>
    <w:p>
      <w:pPr>
        <w:pStyle w:val="TextBody"/>
        <w:bidi w:val="0"/>
        <w:jc w:val="left"/>
        <w:rPr/>
      </w:pPr>
      <w:r>
        <w:rPr/>
        <w:t> </w:t>
      </w:r>
    </w:p>
    <w:p>
      <w:pPr>
        <w:pStyle w:val="TextBody"/>
        <w:bidi w:val="0"/>
        <w:jc w:val="left"/>
        <w:rPr>
          <w:rFonts w:ascii="Times New Roman" w:hAnsi="Times New Roman"/>
          <w:b/>
          <w:color w:val="000000"/>
          <w:sz w:val="20"/>
        </w:rPr>
      </w:pPr>
      <w:bookmarkStart w:id="25" w:name="item_12_security_ownership_certain_benef"/>
      <w:bookmarkEnd w:id="25"/>
      <w:r>
        <w:rPr>
          <w:rFonts w:ascii="Times New Roman" w:hAnsi="Times New Roman"/>
          <w:b/>
          <w:color w:val="000000"/>
          <w:sz w:val="20"/>
        </w:rPr>
        <w:t>Item 12. Security Ownership of Certain Beneficial Owners and Management and Related Stockholder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12 is incorporated by reference from the information under the captions “Equity Compensation Plan Information” and “Security Ownership of Certain Beneficial Owners and Management” that will be contained in the Proxy Statement.</w:t>
      </w:r>
    </w:p>
    <w:p>
      <w:pPr>
        <w:pStyle w:val="TextBody"/>
        <w:bidi w:val="0"/>
        <w:jc w:val="left"/>
        <w:rPr/>
      </w:pPr>
      <w:r>
        <w:rPr/>
        <w:t> </w:t>
      </w:r>
    </w:p>
    <w:p>
      <w:pPr>
        <w:pStyle w:val="TextBody"/>
        <w:bidi w:val="0"/>
        <w:jc w:val="left"/>
        <w:rPr>
          <w:rFonts w:ascii="Times New Roman" w:hAnsi="Times New Roman"/>
          <w:b/>
          <w:color w:val="000000"/>
          <w:sz w:val="20"/>
        </w:rPr>
      </w:pPr>
      <w:bookmarkStart w:id="26" w:name="item_13_certain_relationships_related_tr"/>
      <w:bookmarkEnd w:id="26"/>
      <w:r>
        <w:rPr>
          <w:rFonts w:ascii="Times New Roman" w:hAnsi="Times New Roman"/>
          <w:b/>
          <w:color w:val="000000"/>
          <w:sz w:val="20"/>
        </w:rPr>
        <w:t>Item 13. Certain Relationships and Related Transactions, and Director Independence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13 is incorporated by reference from the information under the captions “Certain Relationships and Related Transactions” and “Election of Directors” that will be contained in the Proxy Statement.</w:t>
      </w:r>
    </w:p>
    <w:p>
      <w:pPr>
        <w:pStyle w:val="TextBody"/>
        <w:bidi w:val="0"/>
        <w:jc w:val="left"/>
        <w:rPr/>
      </w:pPr>
      <w:r>
        <w:rPr/>
        <w:t> </w:t>
      </w:r>
    </w:p>
    <w:p>
      <w:pPr>
        <w:pStyle w:val="TextBody"/>
        <w:bidi w:val="0"/>
        <w:jc w:val="left"/>
        <w:rPr>
          <w:rFonts w:ascii="Times New Roman" w:hAnsi="Times New Roman"/>
          <w:b/>
          <w:color w:val="000000"/>
          <w:sz w:val="20"/>
        </w:rPr>
      </w:pPr>
      <w:bookmarkStart w:id="27" w:name="item_14_principal_accountant_fees_servic"/>
      <w:bookmarkEnd w:id="27"/>
      <w:r>
        <w:rPr>
          <w:rFonts w:ascii="Times New Roman" w:hAnsi="Times New Roman"/>
          <w:b/>
          <w:color w:val="000000"/>
          <w:sz w:val="20"/>
        </w:rPr>
        <w:t>Item 14. Principal Accountant Fees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14 is incorporated by reference from the information under the caption “Ratification of Appointment of Independent Registered Public Accounting Firm” that will be contained in the Proxy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8" w:name="part_iv"/>
      <w:bookmarkEnd w:id="2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29" w:name="exhibitsandfinancial"/>
      <w:bookmarkEnd w:id="29"/>
      <w:r>
        <w:rPr>
          <w:rFonts w:ascii="Times New Roman" w:hAnsi="Times New Roman"/>
          <w:b/>
          <w:color w:val="000000"/>
          <w:sz w:val="20"/>
        </w:rPr>
        <w:t>Item 15. Exhibits and Financial Statement Schedules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Documents filed as part of this report:</w:t>
      </w:r>
    </w:p>
    <w:tbl>
      <w:tblPr>
        <w:tblW w:w="10205" w:type="dxa"/>
        <w:jc w:val="left"/>
        <w:tblInd w:w="0" w:type="dxa"/>
        <w:tblLayout w:type="fixed"/>
        <w:tblCellMar>
          <w:top w:w="28" w:type="dxa"/>
          <w:left w:w="28" w:type="dxa"/>
          <w:bottom w:w="28" w:type="dxa"/>
          <w:right w:w="28" w:type="dxa"/>
        </w:tblCellMar>
      </w:tblPr>
      <w:tblGrid>
        <w:gridCol w:w="3727"/>
        <w:gridCol w:w="4831"/>
        <w:gridCol w:w="243"/>
        <w:gridCol w:w="1404"/>
      </w:tblGrid>
      <w:tr>
        <w:trPr/>
        <w:tc>
          <w:tcPr>
            <w:tcW w:w="3727"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Page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b/>
                <w:i/>
                <w:color w:val="000000"/>
                <w:sz w:val="20"/>
              </w:rPr>
              <w:t>Financial Statements</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Income</w:t>
              </w:r>
            </w:hyperlink>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w:t>
              </w:r>
            </w:hyperlink>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hyperlink w:anchor="consolidated_statements_cf_new">
              <w:r>
                <w:rPr>
                  <w:rStyle w:val="InternetLink"/>
                  <w:rFonts w:ascii="Times New Roman" w:hAnsi="Times New Roman"/>
                  <w:color w:val="0000FF"/>
                  <w:sz w:val="20"/>
                  <w:u w:val="single"/>
                </w:rPr>
                <w:t>Consolidated Statements of Cash Flows</w:t>
              </w:r>
            </w:hyperlink>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Equity</w:t>
              </w:r>
            </w:hyperlink>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b/>
                <w:i/>
                <w:color w:val="000000"/>
                <w:sz w:val="20"/>
              </w:rPr>
              <w:t>Financial Statement Schedule</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hyperlink w:anchor="schedule_ii_valuation_and_qualifying">
              <w:r>
                <w:rPr>
                  <w:rStyle w:val="InternetLink"/>
                  <w:rFonts w:ascii="Times New Roman" w:hAnsi="Times New Roman"/>
                  <w:color w:val="0000FF"/>
                  <w:sz w:val="20"/>
                  <w:u w:val="single"/>
                </w:rPr>
                <w:t>Schedule II: Valuation and Qualifying Accounts for Fiscal Years Ended December 31, 2025, 2024 and 2023</w:t>
              </w:r>
            </w:hyperlink>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b/>
                <w:i/>
                <w:color w:val="000000"/>
                <w:sz w:val="20"/>
              </w:rPr>
              <w:t>Exhibits</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5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27" w:type="dxa"/>
            <w:tcBorders/>
            <w:tcMar>
              <w:top w:w="0" w:type="dxa"/>
              <w:left w:w="0" w:type="dxa"/>
              <w:bottom w:w="0" w:type="dxa"/>
              <w:right w:w="0" w:type="dxa"/>
            </w:tcMar>
            <w:vAlign w:val="center"/>
          </w:tcPr>
          <w:p>
            <w:pPr>
              <w:pStyle w:val="TableContents"/>
              <w:bidi w:val="0"/>
              <w:spacing w:before="40" w:after="40"/>
              <w:jc w:val="left"/>
              <w:rPr/>
            </w:pPr>
            <w:r>
              <w:rPr/>
              <w:t> </w:t>
            </w:r>
          </w:p>
        </w:tc>
        <w:tc>
          <w:tcPr>
            <w:tcW w:w="64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exhibits listed on the Exhibit Index preceding the signature page to this Annual Report are filed as part of this Annual Report.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Auditor Firm Id: 238 Auditor Name: PricewaterhouseCoopers LLP Auditor Location: San Jose, California, USA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auditors_report"/>
      <w:bookmarkEnd w:id="30"/>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Board of Directors and Stockholders of Adeia Inc.</w:t>
      </w:r>
    </w:p>
    <w:p>
      <w:pPr>
        <w:pStyle w:val="TextBody"/>
        <w:bidi w:val="0"/>
        <w:spacing w:before="240" w:after="283"/>
        <w:jc w:val="left"/>
        <w:rPr>
          <w:rFonts w:ascii="Times New Roman" w:hAnsi="Times New Roman"/>
          <w:sz w:val="20"/>
        </w:rPr>
      </w:pPr>
      <w:r>
        <w:rPr>
          <w:rFonts w:ascii="Times New Roman" w:hAnsi="Times New Roman"/>
          <w:b/>
          <w:i/>
          <w:color w:val="000000"/>
          <w:sz w:val="20"/>
        </w:rPr>
        <w:t>Opinions on the Financial Statements and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Adeia Inc. and its subsidiaries (the “Company”) as of December 31, 2025 and 2024, and the related consolidated statements of income, of comprehensive income, of equity and of cash flows for each of the three years in the period ended December 31, 2025,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before="80" w:after="283"/>
        <w:jc w:val="left"/>
        <w:rPr>
          <w:rFonts w:ascii="Times New Roman" w:hAnsi="Times New Roman"/>
          <w:sz w:val="20"/>
        </w:rPr>
      </w:pPr>
      <w:r>
        <w:rPr>
          <w:rFonts w:ascii="Times New Roman" w:hAnsi="Times New Roman"/>
          <w:b/>
          <w:i/>
          <w:color w:val="000000"/>
          <w:sz w:val="20"/>
        </w:rPr>
        <w:t>Basis for Opinions</w:t>
      </w:r>
      <w:r>
        <w:rPr>
          <w:rFonts w:ascii="Times New Roman" w:hAnsi="Times New Roman"/>
          <w:color w:val="000000"/>
          <w:sz w:val="20"/>
        </w:rPr>
        <w:t xml:space="preserve">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bidi w:val="0"/>
        <w:spacing w:before="240" w:after="283"/>
        <w:jc w:val="left"/>
        <w:rPr>
          <w:rFonts w:ascii="Times New Roman" w:hAnsi="Times New Roman"/>
          <w:sz w:val="20"/>
        </w:rPr>
      </w:pPr>
      <w:r>
        <w:rPr>
          <w:rFonts w:ascii="Times New Roman" w:hAnsi="Times New Roman"/>
          <w:b/>
          <w:i/>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80" w:after="283"/>
        <w:jc w:val="left"/>
        <w:rPr>
          <w:rFonts w:ascii="Times New Roman" w:hAnsi="Times New Roman"/>
          <w:sz w:val="20"/>
        </w:rPr>
      </w:pPr>
      <w:r>
        <w:rPr>
          <w:rFonts w:ascii="Times New Roman" w:hAnsi="Times New Roman"/>
          <w:b/>
          <w:i/>
          <w:color w:val="000000"/>
          <w:sz w:val="20"/>
        </w:rPr>
        <w:t>Critical Audit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Determination of Standalone Selling Price of Performance Obligations in a Certain Long-Term License Contract</w:t>
      </w:r>
      <w:r>
        <w:rPr>
          <w:rFonts w:ascii="Times New Roman" w:hAnsi="Times New Roman"/>
          <w:color w:val="000000"/>
          <w:sz w:val="20"/>
        </w:rPr>
        <w:t xml:space="preserve">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As described in Note 4 to the consolidated financial statements, at times, the Company enters into long-term license contracts with more than one performance obligation, which may include releases from past patent infringement claims or one or more prospective licenses. In these arrangements, management allocates the transaction price between releases for past patent infringement claims and prospective licenses based on their relative standalone selling prices. Determination of standalone selling price requires significant management judgment. In determining the standalone selling price of each performance obligation, management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 The Company recorded total revenue of $443 million for the year ended December 31, 2025, of which a portion relates to a certain long-term license contract with multiple performance obligations.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determination of standalone selling price of performance obligations in a certain long-term license contract is a critical audit matter are (i) the significant judgment by management when determining the standalone selling price of the performance obligations and (ii) a high degree of auditor judgment, subjectivity and effort in performing procedures and evaluating management’s determination of standalone selling price.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licensing revenue recognition process, including controls over the determination of standalone selling price of performance obligations in certain long-term license contracts. These procedures also included, among others, (i) reading the executed contract to understand the terms and conditions, (ii) evaluating management’s identification of the performance obligations, (iii) testing management’s process for determining the value of standalone selling prices of identified performance obligations, (iv) evaluating the appropriateness of the overall methodology used by management to develop the standalone selling price, and (v) evaluating, as applicable, the reasonableness of the factors used in management’s determination of standalone selling price. Evaluating the reasonableness of the factors used by management included, as applicable, assessing whether they were consistent with (i) the Company’s relevant historical transactions, (ii) external market data, and (iii) other information obtained in the audit. Testing the determination of standalone selling price also involved testing the completeness and accuracy of the data utilized by management.</w:t>
      </w:r>
    </w:p>
    <w:p>
      <w:pPr>
        <w:pStyle w:val="TextBody"/>
        <w:bidi w:val="0"/>
        <w:spacing w:before="40" w:after="160"/>
        <w:jc w:val="left"/>
        <w:rPr>
          <w:rFonts w:ascii="Times New Roman" w:hAnsi="Times New Roman"/>
          <w:i/>
          <w:color w:val="000000"/>
          <w:sz w:val="20"/>
        </w:rPr>
      </w:pPr>
      <w:r>
        <w:rPr>
          <w:rFonts w:ascii="Times New Roman" w:hAnsi="Times New Roman"/>
          <w:i/>
          <w:color w:val="000000"/>
          <w:sz w:val="20"/>
        </w:rPr>
        <w:t>Valuation of Noncash Consideration Received in a Certain Contract with a Customer</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As described in Notes 4 and 7 to the consolidated financial statements, in certain contracts with customers, the Company receives noncash consideration in the form of patents, and the fair value of those assets is included in the transaction price for revenue recognition purposes. For noncash consideration received in the year ended December 31, 2025, management determined the fair value at contract inception using an analysis of comparable market transactions (the market approach). Estimating the fair value of the patents requires significant judgments and assumptions, including the selection and weighting of comparable market transactions. As disclosed by management, revenue recognized from noncash consideration represented 5.8% of total revenue recognized of $443 million for the year ended December 31, 2025, of which a significant portion of the revenue recognized from noncash consideration received related to a certain contract with a customer.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valuation of noncash consideration received in a certain contract with a customer is a critical audit matter are (i) the significant judgment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management when developing the fair value estimate of the noncash consideration; (ii) a high degree of auditor judgment, subjectivity and effort in performing procedures and evaluating management’s significant assumptions used in the market approach related to the selection and weighting of comparable market transactions; and (iii) the audit effort involved the use of professionals with specialized skill and knowledge.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licensing revenue recognition process, including controls over the valuation of noncash consideration received from customers. These procedures also included, among others (i) reading the executed contract to understand the terms and conditions, (ii) testing management’s process for developing the fair value estimate of the noncash consideration; (iii) evaluating the appropriateness of the market approach used by management; (iv) testing the completeness and accuracy of underlying data used in the market approach; and (v) evaluating the reasonableness of the significant assumptions used by management related to the selection and weighting of comparable market transactions. Professionals with specialized skill and knowledge were used to assist in evaluating (i) the appropriateness of the market approach and (ii) the reasonableness of the selection and weighting of comparable market transaction assumptions.</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1999.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31" w:name="consolidated_statements_operations"/>
      <w:bookmarkEnd w:id="31"/>
      <w:r>
        <w:rPr>
          <w:rFonts w:ascii="Times New Roman" w:hAnsi="Times New Roman"/>
          <w:b/>
          <w:color w:val="000000"/>
          <w:sz w:val="20"/>
        </w:rPr>
        <w:t>CONSOLIDATED STATEMENTS OF INCOME</w:t>
      </w:r>
    </w:p>
    <w:p>
      <w:pPr>
        <w:pStyle w:val="TextBody"/>
        <w:bidi w:val="0"/>
        <w:jc w:val="center"/>
        <w:rPr>
          <w:rFonts w:ascii="Times New Roman" w:hAnsi="Times New Roman"/>
          <w:sz w:val="20"/>
        </w:rPr>
      </w:pPr>
      <w:r>
        <w:rPr>
          <w:rFonts w:ascii="Times New Roman" w:hAnsi="Times New Roman"/>
          <w:b/>
          <w:color w:val="000000"/>
          <w:sz w:val="18"/>
        </w:rPr>
        <w:t xml:space="preserve">(in thousands, </w:t>
      </w:r>
      <w:r>
        <w:rPr>
          <w:rFonts w:ascii="Times New Roman" w:hAnsi="Times New Roman"/>
          <w:b/>
          <w:color w:val="000000"/>
          <w:sz w:val="20"/>
        </w:rPr>
        <w:t>except</w:t>
      </w:r>
      <w:r>
        <w:rPr>
          <w:rFonts w:ascii="Times New Roman" w:hAnsi="Times New Roman"/>
          <w:color w:val="000000"/>
          <w:sz w:val="20"/>
        </w:rPr>
        <w:t xml:space="preserve"> </w:t>
      </w:r>
      <w:r>
        <w:rPr>
          <w:rFonts w:ascii="Times New Roman" w:hAnsi="Times New Roman"/>
          <w:b/>
          <w:color w:val="000000"/>
          <w:sz w:val="18"/>
        </w:rPr>
        <w:t>per share amounts)</w:t>
      </w:r>
    </w:p>
    <w:p>
      <w:pPr>
        <w:pStyle w:val="TextBody"/>
        <w:bidi w:val="0"/>
        <w:jc w:val="left"/>
        <w:rPr/>
      </w:pPr>
      <w:r>
        <w:rPr/>
        <w:t> </w:t>
      </w:r>
    </w:p>
    <w:tbl>
      <w:tblPr>
        <w:tblW w:w="9768" w:type="dxa"/>
        <w:jc w:val="left"/>
        <w:tblInd w:w="0" w:type="dxa"/>
        <w:tblLayout w:type="fixed"/>
        <w:tblCellMar>
          <w:top w:w="28" w:type="dxa"/>
          <w:left w:w="28" w:type="dxa"/>
          <w:bottom w:w="28" w:type="dxa"/>
          <w:right w:w="28" w:type="dxa"/>
        </w:tblCellMar>
      </w:tblPr>
      <w:tblGrid>
        <w:gridCol w:w="5431"/>
        <w:gridCol w:w="146"/>
        <w:gridCol w:w="211"/>
        <w:gridCol w:w="781"/>
        <w:gridCol w:w="166"/>
        <w:gridCol w:w="146"/>
        <w:gridCol w:w="211"/>
        <w:gridCol w:w="781"/>
        <w:gridCol w:w="166"/>
        <w:gridCol w:w="146"/>
        <w:gridCol w:w="211"/>
        <w:gridCol w:w="781"/>
        <w:gridCol w:w="5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used in per share calculations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32" w:name="consolidated_statements_comprehensive_in"/>
      <w:bookmarkEnd w:id="32"/>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left"/>
        <w:rPr/>
      </w:pPr>
      <w:r>
        <w:rPr/>
        <w:t> </w:t>
      </w:r>
    </w:p>
    <w:tbl>
      <w:tblPr>
        <w:tblW w:w="8288" w:type="dxa"/>
        <w:jc w:val="left"/>
        <w:tblInd w:w="0" w:type="dxa"/>
        <w:tblLayout w:type="fixed"/>
        <w:tblCellMar>
          <w:top w:w="28" w:type="dxa"/>
          <w:left w:w="28" w:type="dxa"/>
          <w:bottom w:w="28" w:type="dxa"/>
          <w:right w:w="28" w:type="dxa"/>
        </w:tblCellMar>
      </w:tblPr>
      <w:tblGrid>
        <w:gridCol w:w="4401"/>
        <w:gridCol w:w="146"/>
        <w:gridCol w:w="211"/>
        <w:gridCol w:w="781"/>
        <w:gridCol w:w="146"/>
        <w:gridCol w:w="146"/>
        <w:gridCol w:w="211"/>
        <w:gridCol w:w="676"/>
        <w:gridCol w:w="146"/>
        <w:gridCol w:w="146"/>
        <w:gridCol w:w="211"/>
        <w:gridCol w:w="676"/>
        <w:gridCol w:w="3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33" w:name="consolidated_balance_sheets"/>
      <w:bookmarkEnd w:id="33"/>
      <w:r>
        <w:rPr>
          <w:rFonts w:ascii="Times New Roman" w:hAnsi="Times New Roman"/>
          <w:b/>
          <w:color w:val="000000"/>
          <w:sz w:val="20"/>
        </w:rPr>
        <w:t>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for par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2"/>
        <w:gridCol w:w="146"/>
        <w:gridCol w:w="211"/>
        <w:gridCol w:w="931"/>
        <w:gridCol w:w="166"/>
        <w:gridCol w:w="146"/>
        <w:gridCol w:w="211"/>
        <w:gridCol w:w="931"/>
        <w:gridCol w:w="691"/>
      </w:tblGrid>
      <w:tr>
        <w:trPr/>
        <w:tc>
          <w:tcPr>
            <w:tcW w:w="6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$713 and $713,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258,376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62,767</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301,177</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1,097,961</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19,523</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64,555</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454,435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701,390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authorized (2025: 15,000 shares; 2024: 15,000 shares) and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(2025: authorized 350,000 shares, issued 127,923 shares, outstanding 108,999 shares; 2024: authorized 350,000 shares, issued 123,952 shares, outstanding 108,072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648,914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(2025: 18,924 shares; 2024: 15,880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(255,301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396,571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1,097,961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34" w:name="consolidated_statements_cf_new"/>
      <w:bookmarkEnd w:id="34"/>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83"/>
        <w:gridCol w:w="146"/>
        <w:gridCol w:w="196"/>
        <w:gridCol w:w="751"/>
        <w:gridCol w:w="166"/>
        <w:gridCol w:w="146"/>
        <w:gridCol w:w="196"/>
        <w:gridCol w:w="751"/>
        <w:gridCol w:w="166"/>
        <w:gridCol w:w="146"/>
        <w:gridCol w:w="196"/>
        <w:gridCol w:w="751"/>
        <w:gridCol w:w="1011"/>
      </w:tblGrid>
      <w:tr>
        <w:trPr/>
        <w:tc>
          <w:tcPr>
            <w:tcW w:w="5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67,372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(34,303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152,755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debt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employee stock purchase program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of common stock for tax withholdings on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(178,262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(59,995</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114,555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54,560</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57,760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paid,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10,318</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Long-lived assets received in lieu of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Unpaid purchases of long-lived assets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1,971</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35" w:name="consolidated_statements_stockholders_equ"/>
      <w:bookmarkEnd w:id="35"/>
      <w:r>
        <w:rPr>
          <w:rFonts w:ascii="Times New Roman" w:hAnsi="Times New Roman"/>
          <w:b/>
          <w:color w:val="000000"/>
          <w:sz w:val="20"/>
        </w:rPr>
        <w:t>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84"/>
        <w:gridCol w:w="146"/>
        <w:gridCol w:w="146"/>
        <w:gridCol w:w="496"/>
        <w:gridCol w:w="151"/>
        <w:gridCol w:w="146"/>
        <w:gridCol w:w="170"/>
        <w:gridCol w:w="356"/>
        <w:gridCol w:w="146"/>
        <w:gridCol w:w="146"/>
        <w:gridCol w:w="186"/>
        <w:gridCol w:w="558"/>
        <w:gridCol w:w="151"/>
        <w:gridCol w:w="146"/>
        <w:gridCol w:w="146"/>
        <w:gridCol w:w="436"/>
        <w:gridCol w:w="146"/>
        <w:gridCol w:w="146"/>
        <w:gridCol w:w="166"/>
        <w:gridCol w:w="541"/>
        <w:gridCol w:w="151"/>
        <w:gridCol w:w="146"/>
        <w:gridCol w:w="296"/>
        <w:gridCol w:w="620"/>
        <w:gridCol w:w="151"/>
        <w:gridCol w:w="146"/>
        <w:gridCol w:w="265"/>
        <w:gridCol w:w="736"/>
        <w:gridCol w:w="151"/>
        <w:gridCol w:w="146"/>
        <w:gridCol w:w="172"/>
        <w:gridCol w:w="516"/>
        <w:gridCol w:w="200"/>
      </w:tblGrid>
      <w:tr>
        <w:trPr/>
        <w:tc>
          <w:tcPr>
            <w:tcW w:w="1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Company Stockholders'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 Earnings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Equity</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105,167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636,266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(211,223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301,412</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Cash dividends paid on common stock ($0.20</w:t>
            </w:r>
            <w:r>
              <w:rPr>
                <w:rFonts w:ascii="Times New Roman" w:hAnsi="Times New Roman"/>
                <w:color w:val="000000"/>
                <w:sz w:val="20"/>
              </w:rPr>
              <w:t> </w:t>
            </w:r>
            <w:r>
              <w:rPr>
                <w:rFonts w:ascii="Times New Roman" w:hAnsi="Times New Roman"/>
                <w:color w:val="000000"/>
                <w:sz w:val="12"/>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(21,339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 stock, net of shares 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Withholding taxes related to net share settlement of restricted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18,057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107,384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635,331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(222,497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356,622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64,623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Cash dividends paid on common stock ($0.20</w:t>
            </w:r>
            <w:r>
              <w:rPr>
                <w:rFonts w:ascii="Times New Roman" w:hAnsi="Times New Roman"/>
                <w:color w:val="000000"/>
                <w:sz w:val="20"/>
              </w:rPr>
              <w:t> </w:t>
            </w:r>
            <w:r>
              <w:rPr>
                <w:rFonts w:ascii="Times New Roman" w:hAnsi="Times New Roman"/>
                <w:color w:val="000000"/>
                <w:sz w:val="12"/>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(21,767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26,641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108,072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648,914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(255,301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396,571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111,075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Cash dividends paid on common stock ($0.20</w:t>
            </w:r>
            <w:r>
              <w:rPr>
                <w:rFonts w:ascii="Times New Roman" w:hAnsi="Times New Roman"/>
                <w:color w:val="000000"/>
                <w:sz w:val="20"/>
              </w:rPr>
              <w:t> </w:t>
            </w:r>
            <w:r>
              <w:rPr>
                <w:rFonts w:ascii="Times New Roman" w:hAnsi="Times New Roman"/>
                <w:color w:val="000000"/>
                <w:sz w:val="12"/>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(21,770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(22,457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34,674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685,992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(297,778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480,541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5"/>
        </w:rPr>
        <w:t>The accompanying notes are an integral part of these consolidated financial statements</w:t>
      </w:r>
      <w:r>
        <w:rPr>
          <w:rFonts w:ascii="Times New Roman" w:hAnsi="Times New Roman"/>
          <w:color w:val="000000"/>
          <w:sz w:val="16"/>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36" w:name="notes_to_consolidated_financial_statemen"/>
      <w:bookmarkEnd w:id="36"/>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THE COMPANY AND 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Adeia Inc. (the “Company”), a Delaware corporation, is one of the industry’s largest intellectual property (“IP”) licensing platforms, with a diverse portfolio of media and semiconductor IP consisting of approximately 13,750 patents and patent applications worldwide.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2022, Xperi Holding Corporation (“Xperi Hold Co”) introduced “Adeia” as the new brand for its IP licensing business. On October 1, 2022, Xperi Hold Co’s product business was separated from Xperi Hold Co through a tax-efficient spin-off transaction (the “Separation”) and became an independent, publicly-traded company named Xperi Inc. The IP licensing business was retained by Xperi Hold Co, which was renamed Adeia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generally accepted accounting principles (“GAAP”) in the United States (“U.S.”) and the applicable rules and regulations of the Securities and Exchange Commission (“SEC”). The Company’s consolidated financial statements include the accounts of Adeia Inc. and its wholly-owned subsidiaries. All intercompany balances and transactions are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fiscal year ends on December 31 and employs a calendar month-end reporting period for its quarterly reporting. The Company operates under one reportable segment, IP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prior fiscal year balances have been reclassified to conform to the current fiscal year presentation.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determining standalone selling price used to allocate consideration in a contract with multiple performance obligations, estimating the fair value of noncash consideration, estimating variable consideration relating to potential future price adjustments as a result of legal contract disputes, estimating quarterly royalties prior to receiving the royalty reports from the licensee, measurement of the fair value of acquired intangible assets,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is recognized when control of the promised goods or services is transferred to a customer in an amount that reflects the consideration the Company expects to be entitled to in exchange for those goods or services, which may include various combinations of goods and services which are generally capable of being distinct and accounted for as separate performance obligations. See “Note 4 – </w:t>
      </w:r>
      <w:r>
        <w:rPr>
          <w:rFonts w:ascii="Times New Roman" w:hAnsi="Times New Roman"/>
          <w:i/>
          <w:color w:val="000000"/>
          <w:sz w:val="20"/>
        </w:rPr>
        <w:t>Revenue</w:t>
      </w:r>
      <w:r>
        <w:rPr>
          <w:rFonts w:ascii="Times New Roman" w:hAnsi="Times New Roman"/>
          <w:color w:val="000000"/>
          <w:sz w:val="20"/>
        </w:rPr>
        <w:t>” for a detailed discussion on revenue and revenue recognition.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an original maturity of three months or less at the date of purchase to be cash equivalents. Cash and cash equivalents are maintained with various financial institutions.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invests in debt securities which include corporate bonds and notes, treasury and agency notes and bills, commercial paper, certificates of deposit, and in equity securities consisting of money market funds. The Company’s investments are classified as available-for-sale (“AFS”). These investments are recorded in the Consolidated Balance Sheets at fair value with net unrealized gains or losses reported as a separate component of accumulated other comprehensive income (loss), net of tax.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the Company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accumulated other comprehensive income or loss on the Consolidated Balance Sheets.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equity securities are measured at fair value with unrealized gains and losses recognized in other income and expense, net, on the Consolidated Statements of Income.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The carrying amount of cash equivalents, accounts receivable, accounts payable and accrued liabilities approximates fair value due to the short-term nature of these instruments. Long-term debt is carried at amortized cost and measured at fair value on a quarterly basis for disclosure purposes. See “Note 7 – </w:t>
      </w:r>
      <w:r>
        <w:rPr>
          <w:rFonts w:ascii="Times New Roman" w:hAnsi="Times New Roman"/>
          <w:i/>
          <w:color w:val="000000"/>
          <w:sz w:val="20"/>
        </w:rPr>
        <w:t>Fair Value</w:t>
      </w:r>
      <w:r>
        <w:rPr>
          <w:rFonts w:ascii="Times New Roman" w:hAnsi="Times New Roman"/>
          <w:color w:val="000000"/>
          <w:sz w:val="20"/>
        </w:rPr>
        <w:t>” for further information</w:t>
      </w:r>
      <w:r>
        <w:rPr>
          <w:rFonts w:ascii="Times New Roman" w:hAnsi="Times New Roman"/>
          <w:i/>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and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principally of cash equivalents, short-term investments and accounts receivable.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follows a corporate investment policy which sets credit, maturity and concentration limits and regularly monitors the composition, market risk and maturities of these investments. The Company believes that any concentration of credit risk in its accounts receivable is substantially mitigated by the Company’s evaluation process, relatively short collection terms and the high level of credit worthiness of its customers. The Company performs ongoing credit evaluations of its customers’ financial condition and generally requires no collateral. See “Note 16 – </w:t>
      </w:r>
      <w:r>
        <w:rPr>
          <w:rFonts w:ascii="Times New Roman" w:hAnsi="Times New Roman"/>
          <w:i/>
          <w:color w:val="000000"/>
          <w:sz w:val="20"/>
        </w:rPr>
        <w:t>Segment Information”</w:t>
      </w:r>
      <w:r>
        <w:rPr>
          <w:rFonts w:ascii="Times New Roman" w:hAnsi="Times New Roman"/>
          <w:color w:val="000000"/>
          <w:sz w:val="20"/>
        </w:rPr>
        <w:t xml:space="preserve"> for further discussion on concentration of credit and other risks.</w:t>
      </w:r>
    </w:p>
    <w:p>
      <w:pPr>
        <w:pStyle w:val="TextBody"/>
        <w:bidi w:val="0"/>
        <w:spacing w:before="240" w:after="283"/>
        <w:jc w:val="left"/>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allowance for credit losses, which includes the allowance for accounts receivable, represents the Company’s best estimate of lifetime expected credit losses inherent in those financial assets. The Company’s lifetime expected credit losses are determined using relevant information about past events (including historical experience), current conditions, and reasonable and supportable forecasts that affect collectability. The Company monitors its credit exposure through ongoing credit evaluations of its customers’ financial condition. In addition, the Company performs routine credit management activities such as timely account reconciliations, dispute resolution, and payment confirmations. The Company may employ collection agencies and legal counsel to pursue recovery of defaulted receivables. See “Note 4 – </w:t>
      </w:r>
      <w:r>
        <w:rPr>
          <w:rFonts w:ascii="Times New Roman" w:hAnsi="Times New Roman"/>
          <w:i/>
          <w:color w:val="000000"/>
          <w:sz w:val="20"/>
        </w:rPr>
        <w:t>Revenue</w:t>
      </w:r>
      <w:r>
        <w:rPr>
          <w:rFonts w:ascii="Times New Roman" w:hAnsi="Times New Roman"/>
          <w:color w:val="000000"/>
          <w:sz w:val="20"/>
        </w:rPr>
        <w:t>” for a further discussion of the allowance for credit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these identifiable assets and liabilities is recorded as goodwill. Acquisition related costs are expensed as incurred. Upon acquisition, the accounts and results of operations are consolidated as of and subsequent to the acquisition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determining the fair values of assets acquired and liabilities assumed, management makes significant estimates and assumptions, especially with respect to intangible assets. The Company utilizes commonly accepted valuation techniques, such as the income approach and the cost approach, as appropriate, in establishing the fair value of intangible assets. Typically, key assumptions include projections of cash flows that arise from identifiable intangible assets of acquired businesses as well as discount rates based on an analysis of the weighted average cost of capital, adjusted for specific risks associated with the assets.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and Identified Intangible Assets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is recorded as the difference, if any, between the aggregate consideration paid for an acquisition and the fair value of the net tangible and identified intangible assets acquired under a business combination. Goodwill also includes acquired assembled workforce, which does not qualify as an identifiable intangible asset. The Company performs an annual review of the valuation of goodwill in the fourth quarter, or more often if indicators of impairment exist. Triggering events for impairment reviews may be indicators such as adverse industry or economic trends, restructuring actions, lower projections of profitability or a sustained decline in the Company’s market capitalization. Evaluations of possible impairment and, if applicable, adjustments to carrying values require the Company to estimate, among other factors, future cash flows, useful lives and fair market values of the Company's assets. When the Company conducts the evaluation of goodwill, the fair value of goodwill is assessed using valuation techniques that require significant management estimates and judgment.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performing the quantitative impairment test for goodwill, the fair value of the reporting unit is compared to its carrying amount. The Company utilizes the market capitalization approach to determine the fair value of a reporting unit. Under the market capitalization approach, the fair value of a reporting unit is estimated based on the trading price of the Company's stock as of the test date, or trading prices over a short period of time immediately prior or subsequent to the test date if such prices more reasonably represent the estimated fair value as of the test date, which is further adjusted by a control premium representing the synergies a market participant would achieve when obtaining control of the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Identified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Identified finite-lived intangible assets consist of acquired patents, existing technology, customer relationships and trademarks and trade names resulting from business combinations, as well as acquired patents under asset purchase agreements. The Company’s identified intangible assets are amortized on a straight-line basis over their estimated useful lives, ranging from 3 to 10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makes judgments about the recoverability of intangible assets whenever events or changes in circumstances indicate that impairment may exist. If such facts and circumstances exist, the Company assesses the recoverability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further discussion of goodwill and identified intangible assets, see “Note 9 – </w:t>
      </w:r>
      <w:r>
        <w:rPr>
          <w:rFonts w:ascii="Times New Roman" w:hAnsi="Times New Roman"/>
          <w:i/>
          <w:color w:val="000000"/>
          <w:sz w:val="20"/>
        </w:rPr>
        <w:t>Goodwill and Identified Intangible Assets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r>
        <w:rPr>
          <w:rFonts w:ascii="Times New Roman" w:hAnsi="Times New Roman"/>
          <w:b/>
          <w:i/>
          <w:color w:val="000000"/>
          <w:sz w:val="20"/>
        </w:rPr>
        <w:t>Discount and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discount and issuance costs are presented in the Consolidated Balance Sheet as a deduction from the carrying amount of both the short-term debt and long-term debt, and are amortized over the term of the associated debt to interest expense using the effective interest method. In addition, the Company elects to continue to defer the unamortized debt discount and issuance costs when it voluntarily pays down a portion of the debt as the prepayment is factored into the terms agreed to on the debt.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repurchases shares of its common stock, in accordance with programs authorized by the Board of Directors. The Company accounts for stock repurchases using the cost method. Repurchased shares are held as treasury stock until such time as they are retired or re-issued. Retirements of treasury stock are non-cash equity transactions in which the reacquired shares are returned to the status of authorized but unissued shares and the cost is recorded as a reduction to both retained earnings and treasury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determines if an arrangement is a lease at inception. Operating leases are included in operating lease right-of-use (“ROU”) assets, accrued liabilities, and noncurrent operating lease liabilities in the Company’s Consolidated Balance Sheets. The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leases do not provide an implicit rate, the Company generally uses its incremental borrowing rate based on the estimated rate of interest for collateralized borrowing over a similar term of the lease payments at commencement date. The Company’s lease terms may include options to extend or terminate the lease, and these terms are factored into the valuation of ROU assets and liabilities when it is reasonably certain that the Company will exercise that option. Lease expense for lease payments is recognized on a straight-line basis over the lease term. As a practical expedient, the Company elected, for all office and facility leases, not to separate nonlease components from lease components and instead to account for each separate lease component and its associated non-lease components as a single lease component. For additional information regarding the Company's leases, refer to “Note 8 – </w:t>
      </w:r>
      <w:r>
        <w:rPr>
          <w:rFonts w:ascii="Times New Roman" w:hAnsi="Times New Roman"/>
          <w:i/>
          <w:color w:val="000000"/>
          <w:sz w:val="20"/>
        </w:rPr>
        <w:t>Leases.”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(R&amp;D) costs consist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costs are expensed as incurred.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is measured at the grant date based on the estimated fair value of the award and is recognized as expense on a straight-line basis, net of estimated forfeitures, over the requisite service or performance period. Forfeiture rates are estimated at the time of grant and revised, if necessary, in subsequent periods if actual forfeitures differ from those estimates. If the actual forfeiture rate is materially different from the estimate, stock-based compensation expense could be significantly different from what was recorded in the current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uses the closing trading price of its common stock on the date of grant as the fair value of awards of restricted stock units (“RSUs”), and performance stock units (“PSUs”) that are based on company-designated performance targets. For performance stock awards that also contain market conditions, or market-based PSUs, fair value is estimated by using a Monte Carlo simulation on the date of grant. The Company estimates the grant-date fair value of stock options and stock to be issued under the employee stock purchase plan (“ESPP”) using the Black-Scholes pricing model. See “Note 13 – </w:t>
      </w:r>
      <w:r>
        <w:rPr>
          <w:rFonts w:ascii="Times New Roman" w:hAnsi="Times New Roman"/>
          <w:i/>
          <w:color w:val="000000"/>
          <w:sz w:val="20"/>
        </w:rPr>
        <w:t>Stock-based Compensation Expense</w:t>
      </w:r>
      <w:r>
        <w:rPr>
          <w:rFonts w:ascii="Times New Roman" w:hAnsi="Times New Roman"/>
          <w:color w:val="000000"/>
          <w:sz w:val="20"/>
        </w:rPr>
        <w:t>” for additional detail.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Performance-based PSU awards will vest if certain employee-specific or company-designated performance targets are achieved. If minimum performance thresholds are achieved, each PSU award will convert into the Company’s common stock at a defined ratio depending on the degree of achievement of the performance target designated by each individual award. If minimum performance thresholds are not achieved, then no shares will be issued. The expected levels of achievement are reassessed over the requisite service periods and, to the extent that the expected levels of achievement change, stock-based compensation is adjusted in the period of change and recorded on the statements of income and the remaining unrecognized stock-based compensation is recorded over the remaining requisite service period. For market-based PSUs, the fair value per award is fixed at the grant date and the amount of compensation expense is not adjusted during the performance period regardless of changes in the level of achievement of the market condition unless it is due to termination.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must make certain estimates and judgments in determining income tax expense for financial statement purposes. These estimates and judgments are used in the calculation of tax credits, tax benefits, tax deductions, and in the calculation of certain deferred taxes and tax liabilities. Significant changes to these estimates may result in an increase or decrease to the Company’s tax provision in a subsequent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 for income taxes is comprised of the Company’s current tax liability and changes in deferred income tax assets and liabilities. The calculation of the current tax liability involves dealing with uncertainties in the application of complex tax laws and regulations and in determining the liability for tax positions, if any, taken on the Company’s tax returns in accordance with authoritative guidance on accounting for uncertainty in income taxes.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Deferred income taxes are determined based on the differences between the financial reporting and tax basis of assets and liabilities. The Company must assess the likelihood that it will be able to realize its deferred tax assets. If realizability is not likely on a more-likely-than-not basis, the Company must increase its provision for income taxes by recording a valuation allowance against the deferred tax assets that it estimates will not ultimately be realizable. However, should there be a change in the Company’s ability to realize its deferred tax assets, on a more-likely-than-not basis, the provision for income taxes would fluctuate in the period of such change. See “Note 14 – </w:t>
      </w:r>
      <w:r>
        <w:rPr>
          <w:rFonts w:ascii="Times New Roman" w:hAnsi="Times New Roman"/>
          <w:i/>
          <w:color w:val="000000"/>
          <w:sz w:val="20"/>
        </w:rPr>
        <w:t>Income Taxes</w:t>
      </w:r>
      <w:r>
        <w:rPr>
          <w:rFonts w:ascii="Times New Roman" w:hAnsi="Times New Roman"/>
          <w:color w:val="000000"/>
          <w:sz w:val="20"/>
        </w:rPr>
        <w:t>” for additional detail.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Advertising costs are expensed as incurred and are presented within selling, general and administrative expense in the Consolidated Statements of Income. Advertising expenses were $7.4 million, $4.0 million and $10.5 million for the years ended December 31, 2025, 2024 and 2023, respectively.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 and Indemnification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certain financial and performance guarantees which have been issued in the normal course of business. The Company entered into the underlying arrangement with a third-party to facilitate commercial transactions. See “Note 15 – </w:t>
      </w:r>
      <w:r>
        <w:rPr>
          <w:rFonts w:ascii="Times New Roman" w:hAnsi="Times New Roman"/>
          <w:i/>
          <w:color w:val="000000"/>
          <w:sz w:val="20"/>
        </w:rPr>
        <w:t>Commitments and Contingencies”</w:t>
      </w:r>
      <w:r>
        <w:rPr>
          <w:rFonts w:ascii="Times New Roman" w:hAnsi="Times New Roman"/>
          <w:color w:val="000000"/>
          <w:sz w:val="20"/>
        </w:rPr>
        <w:t xml:space="preserve"> for further information regarding the Company’s guarantees.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indemnification of varying scope to certain customers against claims of intellectual property infringement made by third parties arising from the use of the Company’s technologies. In accordance with authoritative guidance for accounting for guarantees, the Company evaluates estimated losses for such indemnification. The Company considers such factors as the degree of probability of an unfavorable outcome and the ability to make a reasonable estimate of the amount of loss. To date, no such claims have been filed against the Company and no liability has been recorded in the Company’s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maintains a directors’ and officers’ liability insurance policy that is intended to reduce its financial exposure and may enable the Company to recover any payments, should they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nature of the loss contingency and the fact that an estimate cannot be made. If a loss is reasonably possible but not probable, the Company discloses the nature of the loss contingency and an estimate of the possible loss, range of loss or the fact that an estimate cannot be made. The Company does not recognize gain contingencies until they are realized. Legal costs incurred in connection with loss contingencies are expensed as incurred. See “Note 15 – </w:t>
      </w:r>
      <w:r>
        <w:rPr>
          <w:rFonts w:ascii="Times New Roman" w:hAnsi="Times New Roman"/>
          <w:i/>
          <w:color w:val="000000"/>
          <w:sz w:val="20"/>
        </w:rPr>
        <w:t>Commitments and Contingencies</w:t>
      </w:r>
      <w:r>
        <w:rPr>
          <w:rFonts w:ascii="Times New Roman" w:hAnsi="Times New Roman"/>
          <w:color w:val="000000"/>
          <w:sz w:val="20"/>
        </w:rPr>
        <w:t>,” for further information regarding the Company’s pending litigation.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are recorded at cost, less accumulated depreciation. Depreciation expense is calculated using the straight-line method over the related assets’ estimated useful lives:</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2626"/>
        <w:gridCol w:w="146"/>
        <w:gridCol w:w="315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to 5 years</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related lease term or 5 years</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30 years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Translation and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U.S. dollar as its functional currency. Non-U.S. subsidiaries may designate a local currency as their functional currency. The translation of assets and liabilities into U.S. dollars for subsidiaries with a functional currency other than the U.S. dollar is performed using exchange rates in effect at the balance sheet date. The translation of revenues and expenses into U.S. dollars for subsidiaries with a functional currency other than the U.S. dollar is performed using the average exchange rate for the respective period. Gains or losses from cumulative translation adjustments, net of tax, are included as a component of accumulated other comprehensive income (loss) in the Consolidated Balance Sheets. The Company records net foreign exchange transaction gains and losses resulting from the conversion of the transaction currency to the functional currency within other income and expense, net.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 RECENT ACCOUNTING PRONOUNCEMENTS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2023-07 on a retrospective basis, and the adoption did not have a material impact to the Company’s Consolidated Financial Statements. See “Note 16 – </w:t>
      </w:r>
      <w:r>
        <w:rPr>
          <w:rFonts w:ascii="Times New Roman" w:hAnsi="Times New Roman"/>
          <w:i/>
          <w:color w:val="000000"/>
          <w:sz w:val="20"/>
        </w:rPr>
        <w:t>Segment Information”</w:t>
      </w:r>
      <w:r>
        <w:rPr>
          <w:rFonts w:ascii="Times New Roman" w:hAnsi="Times New Roman"/>
          <w:color w:val="000000"/>
          <w:sz w:val="20"/>
        </w:rPr>
        <w:t xml:space="preserve"> for further detail.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In the fourth quarter of 2025, the Company adopted ASU 2023-09 on a retrospective basis, and the adoption did not have a material impact to the Company’s Consolidated Financial Statements. See “Note 14 – </w:t>
      </w:r>
      <w:r>
        <w:rPr>
          <w:rFonts w:ascii="Times New Roman" w:hAnsi="Times New Roman"/>
          <w:i/>
          <w:color w:val="000000"/>
          <w:sz w:val="20"/>
        </w:rPr>
        <w:t>Income Taxes”</w:t>
      </w:r>
      <w:r>
        <w:rPr>
          <w:rFonts w:ascii="Times New Roman" w:hAnsi="Times New Roman"/>
          <w:color w:val="000000"/>
          <w:sz w:val="20"/>
        </w:rPr>
        <w:t xml:space="preserve"> for the revised disclosures consistent with the new standard.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 </w:t>
      </w:r>
    </w:p>
    <w:p>
      <w:pPr>
        <w:pStyle w:val="TextBody"/>
        <w:bidi w:val="0"/>
        <w:spacing w:before="240" w:after="283"/>
        <w:jc w:val="left"/>
        <w:rPr>
          <w:rFonts w:ascii="Times New Roman" w:hAnsi="Times New Roman"/>
          <w:sz w:val="20"/>
        </w:rPr>
      </w:pPr>
      <w:r>
        <w:rPr>
          <w:rFonts w:ascii="Times New Roman" w:hAnsi="Times New Roman"/>
          <w:b/>
          <w:color w:val="000000"/>
          <w:sz w:val="20"/>
        </w:rPr>
        <w:t>NOTE 4 –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when control of the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based on their relative standalone selling prices.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certain contracts with customers, the Company receives noncash consideration in the form of patents, and the fair value of those assets is included in the transaction price for revenue recognition purposes. The Company measures fair value at contract inception using one of, or a combination of, an analysis of comparable market transactions (the market approach), and/or an analysis of the costs that would be required to develop and maintain a comparable set of patents (the cost approach).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Description of Revenue-Generating Activities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IP License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variable-based Media IP or Semiconductor IP royalty licensing, (ii) fixed-fee Media IP licensing, and (iii) fixed-fee or minimum guarantee Semiconductor IP licensing. </w:t>
      </w:r>
    </w:p>
    <w:p>
      <w:pPr>
        <w:pStyle w:val="TextBody"/>
        <w:bidi w:val="0"/>
        <w:spacing w:before="240" w:after="283"/>
        <w:jc w:val="left"/>
        <w:rPr>
          <w:rFonts w:ascii="Times New Roman" w:hAnsi="Times New Roman"/>
          <w:sz w:val="20"/>
        </w:rPr>
      </w:pPr>
      <w:r>
        <w:rPr>
          <w:rFonts w:ascii="Times New Roman" w:hAnsi="Times New Roman"/>
          <w:b/>
          <w:i/>
          <w:color w:val="000000"/>
          <w:sz w:val="20"/>
        </w:rPr>
        <w:t>Variable-based Media IP or Semiconductor IP royalty licensing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from variable based contracts based on the customer’s sale or usage of the IP during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pStyle w:val="TextBody"/>
        <w:bidi w:val="0"/>
        <w:spacing w:before="240" w:after="283"/>
        <w:jc w:val="left"/>
        <w:rPr>
          <w:rFonts w:ascii="Times New Roman" w:hAnsi="Times New Roman"/>
          <w:sz w:val="20"/>
        </w:rPr>
      </w:pPr>
      <w:r>
        <w:rPr>
          <w:rFonts w:ascii="Times New Roman" w:hAnsi="Times New Roman"/>
          <w:b/>
          <w:i/>
          <w:color w:val="000000"/>
          <w:sz w:val="20"/>
        </w:rPr>
        <w:t>Fixed-fee Media IP licensing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Fixed-fee or minimum guarantee Semiconductor IP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occasion, 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IP license contracts with multiple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Determination of standalone selling price requires significant management judgment.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Practical Expedients and Exemptions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a practical expedient to not perform an evaluation of whether a contract includes a significant financing component when the timing of revenue recognition differs from the timing of cash collection by one year or 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a practical expedient to expense costs to obtain a contract with a customer as incurred as a component of selling, general and administrative expenses when the amortization period would have been one year or 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(ii) potential future price adjustments, or (iii) when variable consideration is allocated entirely to a wholly unsatisfied performance obligation; or to a wholly unsatisfied promise to transfer a distinct good or service that forms part of a single performance obligation.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Details</w:t>
      </w:r>
    </w:p>
    <w:p>
      <w:pPr>
        <w:pStyle w:val="TextBody"/>
        <w:bidi w:val="0"/>
        <w:spacing w:before="240" w:after="283"/>
        <w:jc w:val="left"/>
        <w:rPr>
          <w:rFonts w:ascii="Times New Roman" w:hAnsi="Times New Roman"/>
          <w:sz w:val="20"/>
        </w:rPr>
      </w:pPr>
      <w:r>
        <w:rPr>
          <w:rFonts w:ascii="Times New Roman" w:hAnsi="Times New Roman"/>
          <w:i/>
          <w:color w:val="000000"/>
          <w:sz w:val="20"/>
        </w:rPr>
        <w:t>Revenue Disaggregation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information depicts how the nature, amount, timing and uncertainty of revenue and cash flows are affected by economic factors by disaggregating revenue by category, market vertical and geographic location (presented in “Note 16 – </w:t>
      </w:r>
      <w:r>
        <w:rPr>
          <w:rFonts w:ascii="Times New Roman" w:hAnsi="Times New Roman"/>
          <w:i/>
          <w:color w:val="000000"/>
          <w:sz w:val="20"/>
        </w:rPr>
        <w:t>Segment Information</w:t>
      </w:r>
      <w:r>
        <w:rPr>
          <w:rFonts w:ascii="Times New Roman" w:hAnsi="Times New Roman"/>
          <w:color w:val="000000"/>
          <w:sz w:val="20"/>
        </w:rPr>
        <w:t xml:space="preserve">”). This information includes revenue recognized from contracts with customers and revenue from other sources, including sales-based or usage-based royalty revenues and fees associated with releases for past infringement.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Recurring and non-recurring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variable based Media IP or Semiconductor IP royalty license agreements, revenue associated with sales-based or usage-based royalties in exchange for a license of IP, which are recognized in the period such subsequent sales or usage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Revenue disaggregated by recurring and non-recurring nature was as follows (in thousands):</w:t>
      </w:r>
    </w:p>
    <w:tbl>
      <w:tblPr>
        <w:tblW w:w="6048" w:type="dxa"/>
        <w:jc w:val="left"/>
        <w:tblInd w:w="0" w:type="dxa"/>
        <w:tblLayout w:type="fixed"/>
        <w:tblCellMar>
          <w:top w:w="28" w:type="dxa"/>
          <w:left w:w="28" w:type="dxa"/>
          <w:bottom w:w="28" w:type="dxa"/>
          <w:right w:w="28" w:type="dxa"/>
        </w:tblCellMar>
      </w:tblPr>
      <w:tblGrid>
        <w:gridCol w:w="1951"/>
        <w:gridCol w:w="146"/>
        <w:gridCol w:w="211"/>
        <w:gridCol w:w="781"/>
        <w:gridCol w:w="146"/>
        <w:gridCol w:w="146"/>
        <w:gridCol w:w="211"/>
        <w:gridCol w:w="781"/>
        <w:gridCol w:w="146"/>
        <w:gridCol w:w="146"/>
        <w:gridCol w:w="211"/>
        <w:gridCol w:w="781"/>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Revenue by market vertical</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Revenue disaggregated by market vertical was as follows (in thousands):</w:t>
      </w:r>
    </w:p>
    <w:tbl>
      <w:tblPr>
        <w:tblW w:w="5543" w:type="dxa"/>
        <w:jc w:val="left"/>
        <w:tblInd w:w="0" w:type="dxa"/>
        <w:tblLayout w:type="fixed"/>
        <w:tblCellMar>
          <w:top w:w="28" w:type="dxa"/>
          <w:left w:w="28" w:type="dxa"/>
          <w:bottom w:w="28" w:type="dxa"/>
          <w:right w:w="28" w:type="dxa"/>
        </w:tblCellMar>
      </w:tblPr>
      <w:tblGrid>
        <w:gridCol w:w="1446"/>
        <w:gridCol w:w="146"/>
        <w:gridCol w:w="211"/>
        <w:gridCol w:w="781"/>
        <w:gridCol w:w="146"/>
        <w:gridCol w:w="146"/>
        <w:gridCol w:w="211"/>
        <w:gridCol w:w="781"/>
        <w:gridCol w:w="146"/>
        <w:gridCol w:w="146"/>
        <w:gridCol w:w="211"/>
        <w:gridCol w:w="781"/>
        <w:gridCol w:w="391"/>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Semiconductor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Contracts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assets were recorded in the Consolidated Balance Sheets as follows (in thousands):</w:t>
      </w:r>
    </w:p>
    <w:p>
      <w:pPr>
        <w:pStyle w:val="TextBody"/>
        <w:bidi w:val="0"/>
        <w:jc w:val="left"/>
        <w:rPr/>
      </w:pPr>
      <w:r>
        <w:rPr/>
        <w:t> </w:t>
      </w:r>
    </w:p>
    <w:tbl>
      <w:tblPr>
        <w:tblW w:w="6189" w:type="dxa"/>
        <w:jc w:val="left"/>
        <w:tblInd w:w="0" w:type="dxa"/>
        <w:tblLayout w:type="fixed"/>
        <w:tblCellMar>
          <w:top w:w="28" w:type="dxa"/>
          <w:left w:w="28" w:type="dxa"/>
          <w:bottom w:w="28" w:type="dxa"/>
          <w:right w:w="28" w:type="dxa"/>
        </w:tblCellMar>
      </w:tblPr>
      <w:tblGrid>
        <w:gridCol w:w="3376"/>
        <w:gridCol w:w="146"/>
        <w:gridCol w:w="211"/>
        <w:gridCol w:w="781"/>
        <w:gridCol w:w="146"/>
        <w:gridCol w:w="146"/>
        <w:gridCol w:w="211"/>
        <w:gridCol w:w="781"/>
        <w:gridCol w:w="3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comprised of deferred revenue related to multi-period licensing arrangements for which the Company is paid in advance, while the underlying performance obligation is satisfied at a future date or over time.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allowance for credit losses was $0.7 million for each of the years ended December 31, 2025 and 2024, and it is presented as part of accounts receivable, net in the Consolidated Balance Sheets.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additional revenue and contract disclosures (in thousands):</w:t>
      </w:r>
    </w:p>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5886"/>
        <w:gridCol w:w="146"/>
        <w:gridCol w:w="211"/>
        <w:gridCol w:w="676"/>
        <w:gridCol w:w="146"/>
        <w:gridCol w:w="146"/>
        <w:gridCol w:w="211"/>
        <w:gridCol w:w="676"/>
        <w:gridCol w:w="146"/>
        <w:gridCol w:w="146"/>
        <w:gridCol w:w="211"/>
        <w:gridCol w:w="676"/>
        <w:gridCol w:w="391"/>
      </w:tblGrid>
      <w:tr>
        <w:trPr/>
        <w:tc>
          <w:tcPr>
            <w:tcW w:w="5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in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included in deferred revenue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Performance obligations satisfied in previous periods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years ended December 31, 2025, 2024 and 2023 and expects to record revenue from the prospective license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Remaining revenue under contracts with performance obligations represents the aggregate amount of the transaction price allocated to the performance obligations that are unsatisfied (or partially unsatisfied) under certain of the Company’s fixed fee arrangements. </w:t>
      </w:r>
    </w:p>
    <w:p>
      <w:pPr>
        <w:pStyle w:val="TextBody"/>
        <w:bidi w:val="0"/>
        <w:jc w:val="left"/>
        <w:rPr/>
      </w:pPr>
      <w:r>
        <w:rPr/>
        <w:t> </w:t>
      </w:r>
    </w:p>
    <w:tbl>
      <w:tblPr>
        <w:tblW w:w="8420" w:type="dxa"/>
        <w:jc w:val="left"/>
        <w:tblInd w:w="0" w:type="dxa"/>
        <w:tblLayout w:type="fixed"/>
        <w:tblCellMar>
          <w:top w:w="28" w:type="dxa"/>
          <w:left w:w="28" w:type="dxa"/>
          <w:bottom w:w="28" w:type="dxa"/>
          <w:right w:w="28" w:type="dxa"/>
        </w:tblCellMar>
      </w:tblPr>
      <w:tblGrid>
        <w:gridCol w:w="6691"/>
        <w:gridCol w:w="146"/>
        <w:gridCol w:w="211"/>
        <w:gridCol w:w="781"/>
        <w:gridCol w:w="5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performance obligations expected to be satisfied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434,518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COMPOSITION OF CERTAIN BALANCE SHEET CAPTIONS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current assets consisted of the following (in thousands):</w:t>
      </w:r>
    </w:p>
    <w:p>
      <w:pPr>
        <w:pStyle w:val="TextBody"/>
        <w:bidi w:val="0"/>
        <w:jc w:val="left"/>
        <w:rPr/>
      </w:pPr>
      <w:r>
        <w:rPr/>
        <w:t> </w:t>
      </w:r>
    </w:p>
    <w:tbl>
      <w:tblPr>
        <w:tblW w:w="4739" w:type="dxa"/>
        <w:jc w:val="left"/>
        <w:tblInd w:w="0" w:type="dxa"/>
        <w:tblLayout w:type="fixed"/>
        <w:tblCellMar>
          <w:top w:w="28" w:type="dxa"/>
          <w:left w:w="28" w:type="dxa"/>
          <w:bottom w:w="28" w:type="dxa"/>
          <w:right w:w="28" w:type="dxa"/>
        </w:tblCellMar>
      </w:tblPr>
      <w:tblGrid>
        <w:gridCol w:w="2346"/>
        <w:gridCol w:w="146"/>
        <w:gridCol w:w="211"/>
        <w:gridCol w:w="571"/>
        <w:gridCol w:w="146"/>
        <w:gridCol w:w="146"/>
        <w:gridCol w:w="211"/>
        <w:gridCol w:w="57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6919" w:type="dxa"/>
        <w:jc w:val="left"/>
        <w:tblInd w:w="0" w:type="dxa"/>
        <w:tblLayout w:type="fixed"/>
        <w:tblCellMar>
          <w:top w:w="28" w:type="dxa"/>
          <w:left w:w="28" w:type="dxa"/>
          <w:bottom w:w="28" w:type="dxa"/>
          <w:right w:w="28" w:type="dxa"/>
        </w:tblCellMar>
      </w:tblPr>
      <w:tblGrid>
        <w:gridCol w:w="4156"/>
        <w:gridCol w:w="146"/>
        <w:gridCol w:w="211"/>
        <w:gridCol w:w="736"/>
        <w:gridCol w:w="166"/>
        <w:gridCol w:w="146"/>
        <w:gridCol w:w="211"/>
        <w:gridCol w:w="736"/>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long-term assets consisted of the following (in thousands):</w:t>
      </w:r>
    </w:p>
    <w:p>
      <w:pPr>
        <w:pStyle w:val="TextBody"/>
        <w:bidi w:val="0"/>
        <w:jc w:val="left"/>
        <w:rPr/>
      </w:pPr>
      <w:r>
        <w:rPr/>
        <w:t> </w:t>
      </w:r>
    </w:p>
    <w:tbl>
      <w:tblPr>
        <w:tblW w:w="5174" w:type="dxa"/>
        <w:jc w:val="left"/>
        <w:tblInd w:w="0" w:type="dxa"/>
        <w:tblLayout w:type="fixed"/>
        <w:tblCellMar>
          <w:top w:w="28" w:type="dxa"/>
          <w:left w:w="28" w:type="dxa"/>
          <w:bottom w:w="28" w:type="dxa"/>
          <w:right w:w="28" w:type="dxa"/>
        </w:tblCellMar>
      </w:tblPr>
      <w:tblGrid>
        <w:gridCol w:w="2571"/>
        <w:gridCol w:w="146"/>
        <w:gridCol w:w="211"/>
        <w:gridCol w:w="676"/>
        <w:gridCol w:w="146"/>
        <w:gridCol w:w="146"/>
        <w:gridCol w:w="211"/>
        <w:gridCol w:w="676"/>
        <w:gridCol w:w="3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liabilities consisted of the following (in thousands):</w:t>
      </w:r>
    </w:p>
    <w:p>
      <w:pPr>
        <w:pStyle w:val="TextBody"/>
        <w:bidi w:val="0"/>
        <w:jc w:val="left"/>
        <w:rPr/>
      </w:pPr>
      <w:r>
        <w:rPr/>
        <w:t> </w:t>
      </w:r>
    </w:p>
    <w:tbl>
      <w:tblPr>
        <w:tblW w:w="6294"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11"/>
        <w:gridCol w:w="676"/>
        <w:gridCol w:w="3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Current portion of guarantee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Refer to “Note 15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long-term liabilities consisted of the following (in thousands):</w:t>
      </w:r>
    </w:p>
    <w:p>
      <w:pPr>
        <w:pStyle w:val="TextBody"/>
        <w:bidi w:val="0"/>
        <w:jc w:val="left"/>
        <w:rPr/>
      </w:pPr>
      <w:r>
        <w:rPr/>
        <w:t> </w:t>
      </w:r>
    </w:p>
    <w:tbl>
      <w:tblPr>
        <w:tblW w:w="5489" w:type="dxa"/>
        <w:jc w:val="left"/>
        <w:tblInd w:w="0" w:type="dxa"/>
        <w:tblLayout w:type="fixed"/>
        <w:tblCellMar>
          <w:top w:w="28" w:type="dxa"/>
          <w:left w:w="28" w:type="dxa"/>
          <w:bottom w:w="28" w:type="dxa"/>
          <w:right w:w="28" w:type="dxa"/>
        </w:tblCellMar>
      </w:tblPr>
      <w:tblGrid>
        <w:gridCol w:w="2886"/>
        <w:gridCol w:w="146"/>
        <w:gridCol w:w="211"/>
        <w:gridCol w:w="676"/>
        <w:gridCol w:w="146"/>
        <w:gridCol w:w="146"/>
        <w:gridCol w:w="211"/>
        <w:gridCol w:w="676"/>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portion of guarantee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Refer to “Note 15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Consolidated Statements of Income and all non-credit related unrealized gains and losses recognized in accumulated other comprehensive income or loss on the Consolidated Balance Sheets. Under ASU 2016-01 (Topic 321), equity securities are measured at fair value with unrealized gains and losses recognized in other income and expense, net, in the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marketable securities at December 31, 2025 and December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45"/>
        <w:gridCol w:w="691"/>
        <w:gridCol w:w="146"/>
        <w:gridCol w:w="146"/>
        <w:gridCol w:w="372"/>
        <w:gridCol w:w="664"/>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92"/>
        <w:gridCol w:w="644"/>
        <w:gridCol w:w="146"/>
        <w:gridCol w:w="146"/>
        <w:gridCol w:w="372"/>
        <w:gridCol w:w="664"/>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36,389</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36,389</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2025 and 2024, the Company had $136.7 million and $110.4 million, respectively, in cash, cash equivalents and marketable securities. A significant portion of these amounts were held in marketable securities, as shown above. The remaining balance of $72.9 million and $74.0 million at December 31, 2025 and December 31, 2024, respectively, was cash held in operating accounts not included in the tables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realized gains and losses on sales of marketable debt securities were immaterial during the years ended December 31, 2025, 2024 and 2023. Unrealized gains and losses on AFS debt securities were immaterial as of December 31, 2025 and December 31, 2024.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 expense related to its AFS debt securities for the years ended December 31, 2025, 2024 and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fair value of marketable debt securities by contractual maturity at December 31, 2025 is shown below (in thousands). Actual maturities may differ from contractual maturities because issuers may have the right to call or prepay obligations without call or prepayment penalties.</w:t>
      </w:r>
    </w:p>
    <w:p>
      <w:pPr>
        <w:pStyle w:val="TextBody"/>
        <w:bidi w:val="0"/>
        <w:jc w:val="left"/>
        <w:rPr/>
      </w:pPr>
      <w:r>
        <w:rPr/>
        <w:t> </w:t>
      </w:r>
    </w:p>
    <w:tbl>
      <w:tblPr>
        <w:tblW w:w="4786" w:type="dxa"/>
        <w:jc w:val="left"/>
        <w:tblInd w:w="0" w:type="dxa"/>
        <w:tblLayout w:type="fixed"/>
        <w:tblCellMar>
          <w:top w:w="28" w:type="dxa"/>
          <w:left w:w="28" w:type="dxa"/>
          <w:bottom w:w="28" w:type="dxa"/>
          <w:right w:w="28" w:type="dxa"/>
        </w:tblCellMar>
      </w:tblPr>
      <w:tblGrid>
        <w:gridCol w:w="2131"/>
        <w:gridCol w:w="146"/>
        <w:gridCol w:w="239"/>
        <w:gridCol w:w="767"/>
        <w:gridCol w:w="146"/>
        <w:gridCol w:w="146"/>
        <w:gridCol w:w="242"/>
        <w:gridCol w:w="778"/>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Estimated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two to three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9"/>
        <w:gridCol w:w="8896"/>
      </w:tblGrid>
      <w:tr>
        <w:trPr/>
        <w:tc>
          <w:tcPr>
            <w:tcW w:w="1309" w:type="dxa"/>
            <w:tcBorders/>
            <w:vAlign w:val="center"/>
          </w:tcPr>
          <w:p>
            <w:pPr>
              <w:pStyle w:val="TableContents"/>
              <w:bidi w:val="0"/>
              <w:spacing w:before="0" w:after="283"/>
              <w:jc w:val="left"/>
              <w:rPr>
                <w:sz w:val="4"/>
                <w:szCs w:val="4"/>
              </w:rPr>
            </w:pPr>
            <w:r>
              <w:rPr>
                <w:sz w:val="4"/>
                <w:szCs w:val="4"/>
              </w:rPr>
            </w:r>
          </w:p>
        </w:tc>
        <w:tc>
          <w:tcPr>
            <w:tcW w:w="8896" w:type="dxa"/>
            <w:tcBorders/>
            <w:vAlign w:val="center"/>
          </w:tcPr>
          <w:p>
            <w:pPr>
              <w:pStyle w:val="TableContents"/>
              <w:bidi w:val="0"/>
              <w:spacing w:before="0" w:after="283"/>
              <w:jc w:val="left"/>
              <w:rPr>
                <w:sz w:val="4"/>
                <w:szCs w:val="4"/>
              </w:rPr>
            </w:pPr>
            <w:r>
              <w:rPr>
                <w:sz w:val="4"/>
                <w:szCs w:val="4"/>
              </w:rPr>
            </w:r>
          </w:p>
        </w:tc>
      </w:tr>
      <w:tr>
        <w:trPr/>
        <w:tc>
          <w:tcPr>
            <w:tcW w:w="1309"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i/>
                <w:color w:val="000000"/>
                <w:sz w:val="20"/>
              </w:rPr>
            </w:pPr>
            <w:r>
              <w:rPr>
                <w:rFonts w:ascii="Times New Roman" w:hAnsi="Times New Roman"/>
                <w:i/>
                <w:color w:val="000000"/>
                <w:sz w:val="20"/>
              </w:rPr>
              <w:t>Level 1</w:t>
            </w:r>
          </w:p>
        </w:tc>
        <w:tc>
          <w:tcPr>
            <w:tcW w:w="88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Quoted prices in active markets for identical assets.</w:t>
            </w:r>
          </w:p>
        </w:tc>
      </w:tr>
      <w:tr>
        <w:trPr/>
        <w:tc>
          <w:tcPr>
            <w:tcW w:w="1309"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i/>
                <w:color w:val="000000"/>
                <w:sz w:val="20"/>
              </w:rPr>
            </w:pPr>
            <w:r>
              <w:rPr>
                <w:rFonts w:ascii="Times New Roman" w:hAnsi="Times New Roman"/>
                <w:i/>
                <w:color w:val="000000"/>
                <w:sz w:val="20"/>
              </w:rPr>
              <w:t>Level 2</w:t>
            </w:r>
          </w:p>
        </w:tc>
        <w:tc>
          <w:tcPr>
            <w:tcW w:w="8896" w:type="dxa"/>
            <w:tcBorders/>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Observable market-based inputs or unobservable inputs that are corroborated by market data.</w:t>
            </w:r>
          </w:p>
        </w:tc>
      </w:tr>
      <w:tr>
        <w:trPr/>
        <w:tc>
          <w:tcPr>
            <w:tcW w:w="130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i/>
                <w:color w:val="000000"/>
                <w:sz w:val="20"/>
              </w:rPr>
            </w:pPr>
            <w:r>
              <w:rPr>
                <w:rFonts w:ascii="Times New Roman" w:hAnsi="Times New Roman"/>
                <w:i/>
                <w:color w:val="000000"/>
                <w:sz w:val="20"/>
              </w:rPr>
              <w:t>Level 3</w:t>
            </w:r>
          </w:p>
        </w:tc>
        <w:tc>
          <w:tcPr>
            <w:tcW w:w="889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2025 and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sets forth the fair value, and classification within the hierarchy, of the Company’s assets required to be measured at fair value on a recurring basis as of December 31, 2025 (in thousands): </w:t>
      </w:r>
    </w:p>
    <w:tbl>
      <w:tblPr>
        <w:tblW w:w="10205" w:type="dxa"/>
        <w:jc w:val="left"/>
        <w:tblInd w:w="0" w:type="dxa"/>
        <w:tblLayout w:type="fixed"/>
        <w:tblCellMar>
          <w:top w:w="28" w:type="dxa"/>
          <w:left w:w="28" w:type="dxa"/>
          <w:bottom w:w="28" w:type="dxa"/>
          <w:right w:w="28" w:type="dxa"/>
        </w:tblCellMar>
      </w:tblPr>
      <w:tblGrid>
        <w:gridCol w:w="3979"/>
        <w:gridCol w:w="146"/>
        <w:gridCol w:w="234"/>
        <w:gridCol w:w="753"/>
        <w:gridCol w:w="146"/>
        <w:gridCol w:w="146"/>
        <w:gridCol w:w="421"/>
        <w:gridCol w:w="845"/>
        <w:gridCol w:w="146"/>
        <w:gridCol w:w="146"/>
        <w:gridCol w:w="257"/>
        <w:gridCol w:w="824"/>
        <w:gridCol w:w="146"/>
        <w:gridCol w:w="146"/>
        <w:gridCol w:w="483"/>
        <w:gridCol w:w="793"/>
        <w:gridCol w:w="594"/>
      </w:tblGrid>
      <w:tr>
        <w:trPr/>
        <w:tc>
          <w:tcPr>
            <w:tcW w:w="3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 -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 and notes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 -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and agency notes and bills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sets forth the fair value, and classification within the hierarchy, of the Company’s assets required to be measured at fair value on a recurring basis as of December 31, 2024 (in thousands):</w:t>
      </w:r>
    </w:p>
    <w:tbl>
      <w:tblPr>
        <w:tblW w:w="10205" w:type="dxa"/>
        <w:jc w:val="left"/>
        <w:tblInd w:w="0" w:type="dxa"/>
        <w:tblLayout w:type="fixed"/>
        <w:tblCellMar>
          <w:top w:w="28" w:type="dxa"/>
          <w:left w:w="28" w:type="dxa"/>
          <w:bottom w:w="28" w:type="dxa"/>
          <w:right w:w="28" w:type="dxa"/>
        </w:tblCellMar>
      </w:tblPr>
      <w:tblGrid>
        <w:gridCol w:w="3979"/>
        <w:gridCol w:w="146"/>
        <w:gridCol w:w="234"/>
        <w:gridCol w:w="753"/>
        <w:gridCol w:w="146"/>
        <w:gridCol w:w="146"/>
        <w:gridCol w:w="340"/>
        <w:gridCol w:w="926"/>
        <w:gridCol w:w="146"/>
        <w:gridCol w:w="146"/>
        <w:gridCol w:w="257"/>
        <w:gridCol w:w="824"/>
        <w:gridCol w:w="146"/>
        <w:gridCol w:w="146"/>
        <w:gridCol w:w="483"/>
        <w:gridCol w:w="793"/>
        <w:gridCol w:w="594"/>
      </w:tblGrid>
      <w:tr>
        <w:trPr/>
        <w:tc>
          <w:tcPr>
            <w:tcW w:w="3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 -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 and notes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 -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and agency notes and bills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Financial Instruments Not Recorded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long-term debt is carried at amortized cost and is measured at fair value on a quarterly basis for disclosure purposes. The carrying amounts and estimated fair values are as follows (in thousands): </w:t>
      </w:r>
    </w:p>
    <w:p>
      <w:pPr>
        <w:pStyle w:val="TextBody"/>
        <w:bidi w:val="0"/>
        <w:jc w:val="left"/>
        <w:rPr/>
      </w:pPr>
      <w:r>
        <w:rPr/>
        <w:t> </w:t>
      </w:r>
    </w:p>
    <w:tbl>
      <w:tblPr>
        <w:tblW w:w="7893" w:type="dxa"/>
        <w:jc w:val="left"/>
        <w:tblInd w:w="0" w:type="dxa"/>
        <w:tblLayout w:type="fixed"/>
        <w:tblCellMar>
          <w:top w:w="28" w:type="dxa"/>
          <w:left w:w="28" w:type="dxa"/>
          <w:bottom w:w="28" w:type="dxa"/>
          <w:right w:w="28" w:type="dxa"/>
        </w:tblCellMar>
      </w:tblPr>
      <w:tblGrid>
        <w:gridCol w:w="1936"/>
        <w:gridCol w:w="146"/>
        <w:gridCol w:w="211"/>
        <w:gridCol w:w="781"/>
        <w:gridCol w:w="146"/>
        <w:gridCol w:w="146"/>
        <w:gridCol w:w="293"/>
        <w:gridCol w:w="1087"/>
        <w:gridCol w:w="146"/>
        <w:gridCol w:w="146"/>
        <w:gridCol w:w="211"/>
        <w:gridCol w:w="781"/>
        <w:gridCol w:w="146"/>
        <w:gridCol w:w="146"/>
        <w:gridCol w:w="293"/>
        <w:gridCol w:w="1087"/>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Long-term debt, net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Carrying amounts of long-term debt are net of unamortized debt discount and issuance costs of $8.3 million and $11.6 million as of December 31, 2025 and 2024, respectively. See “Note 10 – </w:t>
      </w:r>
      <w:r>
        <w:rPr>
          <w:rFonts w:ascii="Times New Roman" w:hAnsi="Times New Roman"/>
          <w:i/>
          <w:color w:val="000000"/>
          <w:sz w:val="20"/>
        </w:rPr>
        <w:t>Debt</w:t>
      </w:r>
      <w:r>
        <w:rPr>
          <w:rFonts w:ascii="Times New Roman" w:hAnsi="Times New Roman"/>
          <w:color w:val="000000"/>
          <w:sz w:val="20"/>
        </w:rPr>
        <w:t>”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reported at fair value in the Consolidated Balance Sheets, the Company’s debt would be classified within Level 2 of the fair value hierarchy. The fair value of the debt was estimated based on the quoted market prices for the same or similar issues.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Non-Recurring Fair Value Measurements</w:t>
      </w:r>
    </w:p>
    <w:p>
      <w:pPr>
        <w:pStyle w:val="TextBody"/>
        <w:bidi w:val="0"/>
        <w:spacing w:before="240" w:after="283"/>
        <w:jc w:val="left"/>
        <w:rPr>
          <w:rFonts w:ascii="Times New Roman" w:hAnsi="Times New Roman"/>
          <w:sz w:val="20"/>
        </w:rPr>
      </w:pPr>
      <w:r>
        <w:rPr>
          <w:rFonts w:ascii="Times New Roman" w:hAnsi="Times New Roman"/>
          <w:i/>
          <w:color w:val="000000"/>
          <w:sz w:val="20"/>
        </w:rPr>
        <w:t>Patents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years ended December 31, 2025, 2024, and 2023, the Company executed certain license agreements that included noncash consideration in the form of patents. For noncash consideration received in the year ended December 31, 2025, the Company determined the fair value of patents at contract inception using an analysis of comparable market transactions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market approach). Significant management judgment was required in the selection and weighting of comparable market transactions. Noncash consideration received in the form of patents is recorded as an intangible asset and included in the transaction price for revenue recognition purposes. See “Note 4 – </w:t>
      </w:r>
      <w:r>
        <w:rPr>
          <w:rFonts w:ascii="Times New Roman" w:hAnsi="Times New Roman"/>
          <w:i/>
          <w:color w:val="000000"/>
          <w:sz w:val="20"/>
        </w:rPr>
        <w:t>Revenue</w:t>
      </w:r>
      <w:r>
        <w:rPr>
          <w:rFonts w:ascii="Times New Roman" w:hAnsi="Times New Roman"/>
          <w:color w:val="000000"/>
          <w:sz w:val="20"/>
        </w:rPr>
        <w:t>” for a detailed discussion on revenue and revenue recognition.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estimated fair value of the patents represents a Level 3 fair value measurement, and the value of the patents is amortized as a non-cash expense over the patents’ estimated useful lives. For impairment related fair value measurements, see “Note 9 – </w:t>
      </w:r>
      <w:r>
        <w:rPr>
          <w:rFonts w:ascii="Times New Roman" w:hAnsi="Times New Roman"/>
          <w:i/>
          <w:color w:val="000000"/>
          <w:sz w:val="20"/>
        </w:rPr>
        <w:t>Goodwill And Identified Intangible Assets</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Topic 842, a contract is a lease, or contains a lease, if the contract conveys the right to control the use of identified property, plant, or equipment (an identified asset) for a period of time in exchange for consideration. To determine whether a contract conveys the right to control the use of an identified asset for a period of time, an entity shall assess whether, throughout the period of use, the entity has both of the following: (a) the right to obtain substantially all of the economic benefits from use of the identified asset; and (b) the right to direct the use of the identified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office and research facilities, and office equipment under operating leases which expire through 2032. The Company’s leases have remaining lease terms of two to seven years, some of which may include options to extend the leases for five years or longer, and some of which may include options to terminate the leases within the next five years or less. Leases with an initial term of 12 months or less are not recorded on the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operating lease costs were as follows (in thousands):</w:t>
      </w:r>
    </w:p>
    <w:p>
      <w:pPr>
        <w:pStyle w:val="TextBody"/>
        <w:bidi w:val="0"/>
        <w:jc w:val="left"/>
        <w:rPr/>
      </w:pPr>
      <w:r>
        <w:rPr/>
        <w:t> </w:t>
      </w:r>
    </w:p>
    <w:tbl>
      <w:tblPr>
        <w:tblW w:w="5673" w:type="dxa"/>
        <w:jc w:val="left"/>
        <w:tblInd w:w="0" w:type="dxa"/>
        <w:tblLayout w:type="fixed"/>
        <w:tblCellMar>
          <w:top w:w="28" w:type="dxa"/>
          <w:left w:w="28" w:type="dxa"/>
          <w:bottom w:w="28" w:type="dxa"/>
          <w:right w:w="28" w:type="dxa"/>
        </w:tblCellMar>
      </w:tblPr>
      <w:tblGrid>
        <w:gridCol w:w="2306"/>
        <w:gridCol w:w="146"/>
        <w:gridCol w:w="211"/>
        <w:gridCol w:w="571"/>
        <w:gridCol w:w="146"/>
        <w:gridCol w:w="146"/>
        <w:gridCol w:w="211"/>
        <w:gridCol w:w="571"/>
        <w:gridCol w:w="146"/>
        <w:gridCol w:w="146"/>
        <w:gridCol w:w="211"/>
        <w:gridCol w:w="571"/>
        <w:gridCol w:w="291"/>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information related to leases was as follows (in thousands, except lease term and discount rate):</w:t>
      </w:r>
    </w:p>
    <w:p>
      <w:pPr>
        <w:pStyle w:val="TextBody"/>
        <w:bidi w:val="0"/>
        <w:jc w:val="left"/>
        <w:rPr/>
      </w:pPr>
      <w:r>
        <w:rPr/>
        <w:t> </w:t>
      </w:r>
    </w:p>
    <w:tbl>
      <w:tblPr>
        <w:tblW w:w="9328" w:type="dxa"/>
        <w:jc w:val="left"/>
        <w:tblInd w:w="0" w:type="dxa"/>
        <w:tblLayout w:type="fixed"/>
        <w:tblCellMar>
          <w:top w:w="28" w:type="dxa"/>
          <w:left w:w="28" w:type="dxa"/>
          <w:bottom w:w="28" w:type="dxa"/>
          <w:right w:w="28" w:type="dxa"/>
        </w:tblCellMar>
      </w:tblPr>
      <w:tblGrid>
        <w:gridCol w:w="6061"/>
        <w:gridCol w:w="146"/>
        <w:gridCol w:w="211"/>
        <w:gridCol w:w="571"/>
        <w:gridCol w:w="146"/>
        <w:gridCol w:w="146"/>
        <w:gridCol w:w="211"/>
        <w:gridCol w:w="571"/>
        <w:gridCol w:w="146"/>
        <w:gridCol w:w="146"/>
        <w:gridCol w:w="211"/>
        <w:gridCol w:w="571"/>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ROU assets obtained in exchange for new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15" w:type="dxa"/>
        <w:jc w:val="left"/>
        <w:tblInd w:w="0" w:type="dxa"/>
        <w:tblLayout w:type="fixed"/>
        <w:tblCellMar>
          <w:top w:w="28" w:type="dxa"/>
          <w:left w:w="28" w:type="dxa"/>
          <w:bottom w:w="28" w:type="dxa"/>
          <w:right w:w="28" w:type="dxa"/>
        </w:tblCellMar>
      </w:tblPr>
      <w:tblGrid>
        <w:gridCol w:w="4216"/>
        <w:gridCol w:w="146"/>
        <w:gridCol w:w="238"/>
        <w:gridCol w:w="590"/>
        <w:gridCol w:w="443"/>
        <w:gridCol w:w="238"/>
        <w:gridCol w:w="238"/>
        <w:gridCol w:w="590"/>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and related lease liabilities as of December 31, 2025 were as follows (in thousands):</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4786"/>
        <w:gridCol w:w="146"/>
        <w:gridCol w:w="617"/>
        <w:gridCol w:w="1978"/>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Operating Lease Payments </w:t>
            </w:r>
            <w:r>
              <w:rPr>
                <w:rFonts w:ascii="Times New Roman" w:hAnsi="Times New Roman"/>
                <w:b/>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Future minimum lease payments exclude short-term leases as well as payments to landlords for variable common area maintenance, insurance and real estate taxes.</w:t>
      </w:r>
    </w:p>
    <w:p>
      <w:pPr>
        <w:pStyle w:val="TextBody"/>
        <w:bidi w:val="0"/>
        <w:spacing w:before="24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tenant improvements allowance of $1.7 million in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GOODWILL AND IDENTIFIED INTANGIBLE ASSETS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value of goodwill at December 31, 2025 and December 31, 2024 was $313.7 million. There were no changes to the carrying value of goodwill from January 1, through December 31, 2025.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its annual goodwill impairment test, the Company elected to proceed with a qualitative goodwill impairment test and no indicators of potential impairment were identified. Additionally, based on the qualitative evaluation, which included consideration of the carrying value and market capitalization of the Company, no goodwill impairment triggers were identified as of December 31, 2025. No impairment charges were recognized for the years ended December 31, 2025, 2024 and 2023.</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Identified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Identified intangible assets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6"/>
        <w:gridCol w:w="146"/>
        <w:gridCol w:w="736"/>
        <w:gridCol w:w="146"/>
        <w:gridCol w:w="196"/>
        <w:gridCol w:w="691"/>
        <w:gridCol w:w="146"/>
        <w:gridCol w:w="146"/>
        <w:gridCol w:w="233"/>
        <w:gridCol w:w="893"/>
        <w:gridCol w:w="166"/>
        <w:gridCol w:w="146"/>
        <w:gridCol w:w="196"/>
        <w:gridCol w:w="691"/>
        <w:gridCol w:w="146"/>
        <w:gridCol w:w="146"/>
        <w:gridCol w:w="196"/>
        <w:gridCol w:w="691"/>
        <w:gridCol w:w="146"/>
        <w:gridCol w:w="146"/>
        <w:gridCol w:w="233"/>
        <w:gridCol w:w="893"/>
        <w:gridCol w:w="166"/>
        <w:gridCol w:w="146"/>
        <w:gridCol w:w="196"/>
        <w:gridCol w:w="691"/>
        <w:gridCol w:w="49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Acquired patents / core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301,177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Customer contracts and related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Existing technology / content database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Trademarks/trade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301,177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estimated future amortization expense of total finite-lived intangible assets was as follows (in thousands):</w:t>
      </w:r>
    </w:p>
    <w:p>
      <w:pPr>
        <w:pStyle w:val="TextBody"/>
        <w:bidi w:val="0"/>
        <w:jc w:val="left"/>
        <w:rPr/>
      </w:pPr>
      <w:r>
        <w:rPr/>
        <w:t> </w:t>
      </w:r>
    </w:p>
    <w:tbl>
      <w:tblPr>
        <w:tblW w:w="2375" w:type="dxa"/>
        <w:jc w:val="left"/>
        <w:tblInd w:w="0" w:type="dxa"/>
        <w:tblLayout w:type="fixed"/>
        <w:tblCellMar>
          <w:top w:w="28" w:type="dxa"/>
          <w:left w:w="28" w:type="dxa"/>
          <w:bottom w:w="28" w:type="dxa"/>
          <w:right w:w="28" w:type="dxa"/>
        </w:tblCellMar>
      </w:tblPr>
      <w:tblGrid>
        <w:gridCol w:w="946"/>
        <w:gridCol w:w="146"/>
        <w:gridCol w:w="211"/>
        <w:gridCol w:w="781"/>
        <w:gridCol w:w="2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303,456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NOTE 10 –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outstanding amounts of debt were as follows (in thousands):</w:t>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5041"/>
        <w:gridCol w:w="146"/>
        <w:gridCol w:w="1726"/>
        <w:gridCol w:w="146"/>
        <w:gridCol w:w="177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$487,083</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475,456</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net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(21,021)</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$454,435</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 Loan 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dated June 1, 2020 (the “2020 Credit Agreement”), provides for a senior secured term loan B facility (the “Term Loan B”) with maturity on June 8,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2024, the Company entered into Amendment No. 3 (“Amendment No. 3”) to the 2020 Credit Agreement, which provided for a repricing of the entire outstanding aggregate principal amount of $561.1 million. Amendment No. 3 also reduced the interest margins (50 basis points) from SOFR plus a margin of 3.50% per annum to SOFR plus a margin of 3.00% per annum or base rate plus a margin of 2.00% per annum. In addition, Amendment No. 3 lowered the excess cash flow mandatory payment thresholds and credit spread adjustment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the Company entered into Amendment No. 4 (“Amendment No. 4”) to the 2020 Credit Agreement, which provided for a repricing of the outstanding aggregate principal amount of $487.1 million. Amendment No. 4 further reduced the interest margins (50 basis points) to SOFR plus a margin of 2.50% per annum or base rate plus a margin of 1.50%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2020 Credit Agreement, as amended, continue to be guaranteed by the Company’s wholly-owned material domestic subsidiaries (collectively, the “Guarantors”) and continue to be secured by a lien on substantially all assets of the Company and the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Credit Agreement, as amended, contains customary events of default, representations, warranties, and affirmative and negative covenants. It also requires the company to maintain a total net leverage ratio of no greater than 3.00x to access a basket for restricted payments (including dividends and share repurchases). As of December 31, 2025, the Company was in compliance with all requirements under the 2020 Credit Agreement,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the Company made during the year ended December 31, 2024, no excess cash flow payments were required for the years ended December 31, 2025 and 2024.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 and Expected Principal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the Company had $426.7 million in total debt outstanding. There were also $8.3 million of unamortized debt discount and issuance costs recorded as a reduction from the carrying amount of the debt. The interest rate on the Term Loan B as of December 31, 2025, including the amortization of debt discount and issuance costs, was 7.3% and interest is payable monthly.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future minimum principal payments for long-term debt, excluding any additional principal payment required by the excess cash flow provision, are summarized as follows (in thousands):</w:t>
      </w:r>
    </w:p>
    <w:p>
      <w:pPr>
        <w:pStyle w:val="TextBody"/>
        <w:bidi w:val="0"/>
        <w:jc w:val="left"/>
        <w:rPr/>
      </w:pPr>
      <w:r>
        <w:rPr/>
        <w:t> </w:t>
      </w:r>
    </w:p>
    <w:tbl>
      <w:tblPr>
        <w:tblW w:w="2085" w:type="dxa"/>
        <w:jc w:val="left"/>
        <w:tblInd w:w="0" w:type="dxa"/>
        <w:tblLayout w:type="fixed"/>
        <w:tblCellMar>
          <w:top w:w="28" w:type="dxa"/>
          <w:left w:w="28" w:type="dxa"/>
          <w:bottom w:w="28" w:type="dxa"/>
          <w:right w:w="28" w:type="dxa"/>
        </w:tblCellMar>
      </w:tblPr>
      <w:tblGrid>
        <w:gridCol w:w="656"/>
        <w:gridCol w:w="146"/>
        <w:gridCol w:w="211"/>
        <w:gridCol w:w="781"/>
        <w:gridCol w:w="291"/>
      </w:tblGrid>
      <w:tr>
        <w:trPr/>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426,728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 NET INCOME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shares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08"/>
        <w:gridCol w:w="146"/>
        <w:gridCol w:w="211"/>
        <w:gridCol w:w="781"/>
        <w:gridCol w:w="146"/>
        <w:gridCol w:w="146"/>
        <w:gridCol w:w="211"/>
        <w:gridCol w:w="781"/>
        <w:gridCol w:w="146"/>
        <w:gridCol w:w="146"/>
        <w:gridCol w:w="211"/>
        <w:gridCol w:w="781"/>
        <w:gridCol w:w="491"/>
      </w:tblGrid>
      <w:tr>
        <w:trPr/>
        <w:tc>
          <w:tcPr>
            <w:tcW w:w="6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restricted stock awards and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employee stock 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 dilutive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112,849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employee stock-based awards, excluded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(loss) per share is computed using the weighted average number of shares of common stock outstanding during the period, excluding any unvested restricted stock awards that are subject to repurchase. Diluted net income (loss) per share is computed using the treasury stock method to calculate the weighted average number of shares of common stock and, if dilutive, potential common shares outstanding during the period. Potentially dilutive common shares include unvested restricted stock awards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2020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one-to-one basis against the number of shares authorized for issuance under the 2020 EIP (whereas each share granted pursuant to “full value” awards (i.e. stock awards, restricted stock awards, restricted stock units, performance awards and dividend equivalents) prior to May 9, 2024 are counted against shares available for issuance on a 1.5 to 1 ratio). As of December 31, 2025, there were approximately 5.1 million shares reserved for future grants under the 2020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Assumed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EIP was amended in 2022. The number of shares subject to stock options and restricted stock units outstanding under these plans are included in the tables below.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summary of the stock option activity is presented below (in thousands, except per share amounts):</w:t>
      </w:r>
    </w:p>
    <w:tbl>
      <w:tblPr>
        <w:tblW w:w="10205" w:type="dxa"/>
        <w:jc w:val="left"/>
        <w:tblInd w:w="0" w:type="dxa"/>
        <w:tblLayout w:type="fixed"/>
        <w:tblCellMar>
          <w:top w:w="28" w:type="dxa"/>
          <w:left w:w="28" w:type="dxa"/>
          <w:bottom w:w="28" w:type="dxa"/>
          <w:right w:w="28" w:type="dxa"/>
        </w:tblCellMar>
      </w:tblPr>
      <w:tblGrid>
        <w:gridCol w:w="4100"/>
        <w:gridCol w:w="146"/>
        <w:gridCol w:w="305"/>
        <w:gridCol w:w="1011"/>
        <w:gridCol w:w="166"/>
        <w:gridCol w:w="146"/>
        <w:gridCol w:w="247"/>
        <w:gridCol w:w="669"/>
        <w:gridCol w:w="146"/>
        <w:gridCol w:w="146"/>
        <w:gridCol w:w="380"/>
        <w:gridCol w:w="904"/>
        <w:gridCol w:w="146"/>
        <w:gridCol w:w="146"/>
        <w:gridCol w:w="511"/>
        <w:gridCol w:w="841"/>
        <w:gridCol w:w="195"/>
      </w:tblGrid>
      <w:tr>
        <w:trPr/>
        <w:tc>
          <w:tcPr>
            <w:tcW w:w="4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 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 / forfeited /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 / forfeited /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 / forfeited /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stock options outstanding and exercisable under all of the Company’s plans as of December 31, 2025.</w:t>
      </w:r>
    </w:p>
    <w:p>
      <w:pPr>
        <w:pStyle w:val="TextBody"/>
        <w:bidi w:val="0"/>
        <w:spacing w:before="240" w:after="283"/>
        <w:jc w:val="left"/>
        <w:rPr>
          <w:rFonts w:ascii="Times New Roman" w:hAnsi="Times New Roman"/>
          <w:sz w:val="20"/>
        </w:rPr>
      </w:pPr>
      <w:r>
        <w:rPr>
          <w:rFonts w:ascii="Times New Roman" w:hAnsi="Times New Roman"/>
          <w:i/>
          <w:color w:val="000000"/>
          <w:sz w:val="20"/>
        </w:rPr>
        <w:t>Restricted Stock Awards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Information with respect to outstanding restricted stock awards (including both time-based vesting and performance-based vesting) as of December 31, 2025 is as follows (in thousands, except per share amounts):</w:t>
      </w:r>
    </w:p>
    <w:tbl>
      <w:tblPr>
        <w:tblW w:w="10184" w:type="dxa"/>
        <w:jc w:val="left"/>
        <w:tblInd w:w="0" w:type="dxa"/>
        <w:tblLayout w:type="fixed"/>
        <w:tblCellMar>
          <w:top w:w="28" w:type="dxa"/>
          <w:left w:w="28" w:type="dxa"/>
          <w:bottom w:w="28" w:type="dxa"/>
          <w:right w:w="28" w:type="dxa"/>
        </w:tblCellMar>
      </w:tblPr>
      <w:tblGrid>
        <w:gridCol w:w="2686"/>
        <w:gridCol w:w="146"/>
        <w:gridCol w:w="303"/>
        <w:gridCol w:w="1317"/>
        <w:gridCol w:w="166"/>
        <w:gridCol w:w="146"/>
        <w:gridCol w:w="329"/>
        <w:gridCol w:w="1291"/>
        <w:gridCol w:w="166"/>
        <w:gridCol w:w="146"/>
        <w:gridCol w:w="231"/>
        <w:gridCol w:w="1074"/>
        <w:gridCol w:w="166"/>
        <w:gridCol w:w="146"/>
        <w:gridCol w:w="453"/>
        <w:gridCol w:w="1227"/>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Subject to Time-</w:t>
              <w:br/>
              <w:t>based Vesting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Subject to</w:t>
              <w:br/>
              <w:t>Performance-</w:t>
              <w:br/>
              <w:t>based Vesting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Performance Awards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 For performance-based awards incorporating a market condition, where the ultimate number of shares to be earned depends on the achievement of both performance and market conditions, the fair value is estimated on the date of grant using a Monte Carlo simulation model and the amount of compensation expense is adjusted if and when it is probable that the performance condition will be achieved.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Employee Stock Purchase Plan (the “2020 ESPP”) provides eligible employees with the opportunity to acquire an ownership interest. The 2020 ESPP is implemented through consecutive overlapping 24-month offering periods, each of which is comprised of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there were 4.8 million shares reserved for grant under the Company’s 2020 ESPP.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Modification of Equity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separation of the Company’s former product business,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of the Company’s common stock are entitled to receive dividends when declared by the Company’s Board of Directors. For the years ended December 31, 2025, 2024 and 2023, dividends declared in the aggregate for each year were $0.20 per common share,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capacity to pay dividends in the future depends on many factors, including the Company’s financial condition, results of operations, capital requirements, capital structure, industry practice and other business conditions that the Board of Directors considers relevant.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the Company’s Board of Directors approved an increase of the existing share repurchase authorization up to a total of $200.0 million. During the year ended December 31, 2025, the Company repurchased a total of approximately 1.5 million shares of common stock, at an average price of $13.55 per share for a total cost of $20.0 million. During the year ended December 31, 2024, the Company repurchased a total of approximately 1.4 million shares of common stock, at an average price of $13.95 per share for a total cost of $20.0 million. The shares repurchased are recorded as treasury stock and are accounted for under the cost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expiration date has been specified for this plan. As of December 31, 2025, the total remaining amount available for repurchase under this plan was $160.0 million. The Company may execute authorized repurchases from time to time under the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Consolidated Financial Statements because they reduce the number of shares that would have been issued on vesting. However, these withheld shares are not included in common stock repurchases under the Company’s authorized share repurchase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13 – STOCK-BASED COMPENSATION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recording stock-based compensation expense for the years ended December 31, 2025, 2024 and 2023 is as follows (in thousands): </w:t>
      </w:r>
    </w:p>
    <w:p>
      <w:pPr>
        <w:pStyle w:val="TextBody"/>
        <w:bidi w:val="0"/>
        <w:jc w:val="left"/>
        <w:rPr/>
      </w:pPr>
      <w:r>
        <w:rPr/>
        <w:t> </w:t>
      </w:r>
    </w:p>
    <w:tbl>
      <w:tblPr>
        <w:tblW w:w="7033"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fair value of restricted stock awards vested during the years ended December 31, 2025, 2024 and 2023 was $40.2 million, $28.1 million and $30.3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intrinsic value of options exercised was immaterial during the years ended December 31, 2025, 2024 and 2023. The intrinsic value is calculated as the difference between the market value on the date of exercise and the exercise price of the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there was $51.5 million related to restricted stock awards, including performance-based awards, to be recognized over an estimated weighted average period of 1.8 years. There are no stock options outstanding and exercisable under the Company’s plans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 option pricing model to determine the estimated fair value of options and ESPP shares. The fair value of each option grant is determined on the date of grant and the expense is recorded on a straight-line basis over the offering period of two years. The assumptions used in the model include expected life, volatility, risk-free interest rate, and dividend yield. The Company’s determinations of these assumptions are outlined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Expected life – The expected life assumption is based on analysis of the Company’s historical employee exercise patterns. The expected life of options granted under the ESPP represents the offering period of two years. The expected life of performance stock awards subject to market conditions represents the vesting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Volatility – Volatility was calculated using the historical volatility of the Company’s common stock for a term consistent with the expected life. When there is limited historical trading data after the Separation, volatility is calculated based on a peer group over the most recent period that represents the remaining term of the vesting period as of the valuation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Risk-free interest rate – The risk-free interest rate assumption is based on the U.S. Treasury rate for issues with remaining terms similar to the expected life of the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yield – Expected dividend yield is calculated based on cash dividends declared by the Board of Directors for the previous four quarters and dividing that result by the average closing price of the Company’s common stock for the quarter. Cash dividends are not paid on options, restricted stock awards or unvested 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estimates forfeiture rates. Forfeitures are estimated at the time of grant and revised in subsequent periods if actual forfeitures differ from those estimates. Historical data is used to estimate pre-vesting option forfeitures and record stock-based compensation expense only for those awards that are expected to vest.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stock options granted during the years ended December 31, 2025, 2024 and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assumptions were used to value the ESPP shares:</w:t>
      </w:r>
    </w:p>
    <w:p>
      <w:pPr>
        <w:pStyle w:val="TextBody"/>
        <w:bidi w:val="0"/>
        <w:jc w:val="left"/>
        <w:rPr/>
      </w:pPr>
      <w:r>
        <w:rPr/>
        <w:t> </w:t>
      </w:r>
    </w:p>
    <w:tbl>
      <w:tblPr>
        <w:tblW w:w="6893" w:type="dxa"/>
        <w:jc w:val="left"/>
        <w:tblInd w:w="0" w:type="dxa"/>
        <w:tblLayout w:type="fixed"/>
        <w:tblCellMar>
          <w:top w:w="28" w:type="dxa"/>
          <w:left w:w="28" w:type="dxa"/>
          <w:bottom w:w="28" w:type="dxa"/>
          <w:right w:w="28" w:type="dxa"/>
        </w:tblCellMar>
      </w:tblPr>
      <w:tblGrid>
        <w:gridCol w:w="1846"/>
        <w:gridCol w:w="146"/>
        <w:gridCol w:w="387"/>
        <w:gridCol w:w="963"/>
        <w:gridCol w:w="165"/>
        <w:gridCol w:w="165"/>
        <w:gridCol w:w="387"/>
        <w:gridCol w:w="963"/>
        <w:gridCol w:w="165"/>
        <w:gridCol w:w="165"/>
        <w:gridCol w:w="387"/>
        <w:gridCol w:w="963"/>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 − 4.8%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 − 4.6%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 − 46.2%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 − 57.0%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 − 63.5%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years ended December 31, 2025, 2024 and 2023, an aggregate of 0.3 million, 0.2 million and 0.2 million common shares, respectively, were purchased pursuant to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a Monte Carlo simulation to determine the grant date fair value of performance stock awards subject to market conditions, or market-based PSUs. The following assumptions were used to value the performance stock awards subject to market conditions granted in the years ended December 31, 2025, 2024 and 2023: </w:t>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1996"/>
        <w:gridCol w:w="146"/>
        <w:gridCol w:w="631"/>
        <w:gridCol w:w="146"/>
        <w:gridCol w:w="631"/>
        <w:gridCol w:w="146"/>
        <w:gridCol w:w="139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2.4 − 3.0</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 − 4.85%</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 − 2.32%</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 − 68.5%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14 –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total income before taxes are as follows (in thousands):</w:t>
      </w:r>
    </w:p>
    <w:p>
      <w:pPr>
        <w:pStyle w:val="TextBody"/>
        <w:bidi w:val="0"/>
        <w:jc w:val="left"/>
        <w:rPr/>
      </w:pPr>
      <w:r>
        <w:rPr/>
        <w:t> </w:t>
      </w:r>
    </w:p>
    <w:tbl>
      <w:tblPr>
        <w:tblW w:w="5468" w:type="dxa"/>
        <w:jc w:val="left"/>
        <w:tblInd w:w="0" w:type="dxa"/>
        <w:tblLayout w:type="fixed"/>
        <w:tblCellMar>
          <w:top w:w="28" w:type="dxa"/>
          <w:left w:w="28" w:type="dxa"/>
          <w:bottom w:w="28" w:type="dxa"/>
          <w:right w:w="28" w:type="dxa"/>
        </w:tblCellMar>
      </w:tblPr>
      <w:tblGrid>
        <w:gridCol w:w="1741"/>
        <w:gridCol w:w="146"/>
        <w:gridCol w:w="211"/>
        <w:gridCol w:w="781"/>
        <w:gridCol w:w="146"/>
        <w:gridCol w:w="146"/>
        <w:gridCol w:w="211"/>
        <w:gridCol w:w="676"/>
        <w:gridCol w:w="166"/>
        <w:gridCol w:w="146"/>
        <w:gridCol w:w="211"/>
        <w:gridCol w:w="676"/>
        <w:gridCol w:w="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consisted of the following (in thousands):</w:t>
      </w:r>
    </w:p>
    <w:p>
      <w:pPr>
        <w:pStyle w:val="TextBody"/>
        <w:bidi w:val="0"/>
        <w:jc w:val="left"/>
        <w:rPr/>
      </w:pPr>
      <w:r>
        <w:rPr/>
        <w:t> </w:t>
      </w:r>
    </w:p>
    <w:tbl>
      <w:tblPr>
        <w:tblW w:w="6428" w:type="dxa"/>
        <w:jc w:val="left"/>
        <w:tblInd w:w="0" w:type="dxa"/>
        <w:tblLayout w:type="fixed"/>
        <w:tblCellMar>
          <w:top w:w="28" w:type="dxa"/>
          <w:left w:w="28" w:type="dxa"/>
          <w:bottom w:w="28" w:type="dxa"/>
          <w:right w:w="28" w:type="dxa"/>
        </w:tblCellMar>
      </w:tblPr>
      <w:tblGrid>
        <w:gridCol w:w="2281"/>
        <w:gridCol w:w="146"/>
        <w:gridCol w:w="211"/>
        <w:gridCol w:w="781"/>
        <w:gridCol w:w="166"/>
        <w:gridCol w:w="146"/>
        <w:gridCol w:w="211"/>
        <w:gridCol w:w="676"/>
        <w:gridCol w:w="166"/>
        <w:gridCol w:w="146"/>
        <w:gridCol w:w="211"/>
        <w:gridCol w:w="676"/>
        <w:gridCol w:w="6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 of assets and liabilities for financial reporting purposes and the amounts for income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components of the Company’s deferred tax assets and liabilities are as follows (in thousands):</w:t>
      </w:r>
    </w:p>
    <w:p>
      <w:pPr>
        <w:pStyle w:val="TextBody"/>
        <w:bidi w:val="0"/>
        <w:jc w:val="left"/>
        <w:rPr/>
      </w:pPr>
      <w:r>
        <w:rPr/>
        <w:t> </w:t>
      </w:r>
    </w:p>
    <w:tbl>
      <w:tblPr>
        <w:tblW w:w="6069" w:type="dxa"/>
        <w:jc w:val="left"/>
        <w:tblInd w:w="0" w:type="dxa"/>
        <w:tblLayout w:type="fixed"/>
        <w:tblCellMar>
          <w:top w:w="28" w:type="dxa"/>
          <w:left w:w="28" w:type="dxa"/>
          <w:bottom w:w="28" w:type="dxa"/>
          <w:right w:w="28" w:type="dxa"/>
        </w:tblCellMar>
      </w:tblPr>
      <w:tblGrid>
        <w:gridCol w:w="3096"/>
        <w:gridCol w:w="146"/>
        <w:gridCol w:w="211"/>
        <w:gridCol w:w="841"/>
        <w:gridCol w:w="166"/>
        <w:gridCol w:w="146"/>
        <w:gridCol w:w="211"/>
        <w:gridCol w:w="841"/>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Expenses not currently deductible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and 2024, the Company had a valuation allowance of $110.8 million and $115.5 million, respectively, related to state, and foreign deferred tax assets that the Company believes will not be realizable on a more-likely-than-not basis. The $4.7 million decrease from the prior year is primarily comprised of foreign valuation allowance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need for a valuation allowance requires an assessment of both positive and negative evidence when determining whether it is more-likely-than-not that deferred tax assets are realizable. Such assessment is required on a jurisdiction-by-jurisdiction basis. In making such an assessment, significant weight is given to evidence that can be objectively verified. Given its history of sustained profitability, the Company concluded that it was more-likely-than-not that it would realize its U.S. federal and certain state deferred tax assets. The Company continues to maintain a valuation allowance against tax attributes in California and other state tax attributes that can only be utilized against the income of specific legal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federal net operating loss carryforwards of approximately $2.1 million and state net operating loss carryforwards of approximately $847.9 million. The state net operating loss carryforwards, if not utilized, will begin to expire on various dates beginning in 2026 and will continue to expire through 2045. The Company has research tax credit carryforwards of approximately $56.3 million for federal purposes. The federal research tax credit will start to expire in 2026 and will continue to expire through 2045. The Company also has research tax credit carryforwards of approximately $75.5 million for state purposes, which do not expire. The Company has $45.3 million of foreign tax credit carryforwards which will begin to expire in 2029 and will continue to expire through 2031. Under the provisions of the Code, substantial ownership changes may limit the amount of net operating loss and tax credit carryforwards that can be utilized annually in the future to offset taxable income. The aforementioned attribute carryforward amounts have been presented on a tax return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provision for income taxes based on the statutory U.S. federal income tax rate to the provision for income taxes based on the Company’s effective tax rate is as follows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4"/>
        <w:gridCol w:w="146"/>
        <w:gridCol w:w="211"/>
        <w:gridCol w:w="736"/>
        <w:gridCol w:w="166"/>
        <w:gridCol w:w="146"/>
        <w:gridCol w:w="146"/>
        <w:gridCol w:w="526"/>
        <w:gridCol w:w="291"/>
        <w:gridCol w:w="146"/>
        <w:gridCol w:w="211"/>
        <w:gridCol w:w="676"/>
        <w:gridCol w:w="166"/>
        <w:gridCol w:w="146"/>
        <w:gridCol w:w="146"/>
        <w:gridCol w:w="466"/>
        <w:gridCol w:w="291"/>
        <w:gridCol w:w="146"/>
        <w:gridCol w:w="211"/>
        <w:gridCol w:w="676"/>
        <w:gridCol w:w="166"/>
        <w:gridCol w:w="146"/>
        <w:gridCol w:w="146"/>
        <w:gridCol w:w="526"/>
        <w:gridCol w:w="538"/>
      </w:tblGrid>
      <w:tr>
        <w:trPr/>
        <w:tc>
          <w:tcPr>
            <w:tcW w:w="3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 net of federal (national) income tax effect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withholding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and interest on withholding tax refund claims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Foreign-derived intangible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Executive compensation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states that contribute to the majority (greater than 50%) of the tax effect in this category include California, Georgia, Illinois, New Jersey, New York, Pennsylvania, and Tennessee for 2025, California for 2024, and New York for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paid for income taxes, net of refunds are as follows (in thousands):</w:t>
      </w:r>
    </w:p>
    <w:p>
      <w:pPr>
        <w:pStyle w:val="TextBody"/>
        <w:bidi w:val="0"/>
        <w:spacing w:before="40" w:after="283"/>
        <w:jc w:val="left"/>
        <w:rPr/>
      </w:pPr>
      <w:r>
        <w:rPr/>
        <w:t> </w:t>
      </w:r>
    </w:p>
    <w:tbl>
      <w:tblPr>
        <w:tblW w:w="7223" w:type="dxa"/>
        <w:jc w:val="left"/>
        <w:tblInd w:w="0" w:type="dxa"/>
        <w:tblLayout w:type="fixed"/>
        <w:tblCellMar>
          <w:top w:w="28" w:type="dxa"/>
          <w:left w:w="28" w:type="dxa"/>
          <w:bottom w:w="28" w:type="dxa"/>
          <w:right w:w="28" w:type="dxa"/>
        </w:tblCellMar>
      </w:tblPr>
      <w:tblGrid>
        <w:gridCol w:w="3541"/>
        <w:gridCol w:w="146"/>
        <w:gridCol w:w="211"/>
        <w:gridCol w:w="676"/>
        <w:gridCol w:w="146"/>
        <w:gridCol w:w="146"/>
        <w:gridCol w:w="211"/>
        <w:gridCol w:w="676"/>
        <w:gridCol w:w="146"/>
        <w:gridCol w:w="146"/>
        <w:gridCol w:w="211"/>
        <w:gridCol w:w="676"/>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taxes paid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 taxes paid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Amounts for jurisdictions not individually presented did not meet the five percent disaggregation threshold for the applicable periods and are included in “Other.”</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December 31, 2025, the Company asserts that it will not permanently reinvest its foreign earnings outside the U.S. The Company anticipates that the cash from its foreign earnings may be used domestically to fund operations, settle a portion of the outstanding debt obligation, or used for other business needs. The accumulated undistributed earnings generated by its foreign subsidiaries were insignificant.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Korea Supreme Court issued a decision overturning the long-standing territorial sourcing framework for royalty income, under which royalty income was sourced by reference to the place of patent registration, and adopted a new sourcing rule based on where a licensed patent is used. In the fourth quarter of 2025, the Company was notified by Korea tax authorities that its pending withholding tax refund claims were denied, reducing the likelihood of the recovery of withholding tax receivables in Korea. Given this development, the Company determined that it could not sufficiently demonstrate eligibility for a refund under the revised sourcing rule. As a result, the Company concluded that realization of the related income tax receivable was no longer more-likely-than-not and derecognized the asset. The derecognition contributed $1.6 million in income tax expense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H.R. 1, the “One Big Beautiful Bill Act,” was enacted into law, bringing significant amendments to the U.S. tax code. This legislation extends and modifies provisions from the 2017 Tax Cuts and Jobs Act and introduces new tax measures affecting both businesses and individuals. The enacted legislation had an immaterial impact on the Company’s effective tax rate for the year ended December 31, 2025. The Company will continue to monitor any future changes in its business or interpretations of the new tax law that could affect its tax position in subsequent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unrecognized tax benefits were $96.3 million, of which $62.0 million would impact the effective tax rate if recognized. As of December 31, 2024, unrecognized tax benefits were $229.5 million, of which $193.8 million would impact the effective tax rate if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reconciliation of the Company’s unrecognized tax benefits for the years ended December 31, 2025, 2024 and 2023 are as follows (in thousands):</w:t>
      </w:r>
    </w:p>
    <w:p>
      <w:pPr>
        <w:pStyle w:val="TextBody"/>
        <w:bidi w:val="0"/>
        <w:jc w:val="left"/>
        <w:rPr/>
      </w:pPr>
      <w:r>
        <w:rPr/>
        <w:t> </w:t>
      </w:r>
    </w:p>
    <w:tbl>
      <w:tblPr>
        <w:tblW w:w="8353" w:type="dxa"/>
        <w:jc w:val="left"/>
        <w:tblInd w:w="0" w:type="dxa"/>
        <w:tblLayout w:type="fixed"/>
        <w:tblCellMar>
          <w:top w:w="28" w:type="dxa"/>
          <w:left w:w="28" w:type="dxa"/>
          <w:bottom w:w="28" w:type="dxa"/>
          <w:right w:w="28" w:type="dxa"/>
        </w:tblCellMar>
      </w:tblPr>
      <w:tblGrid>
        <w:gridCol w:w="4336"/>
        <w:gridCol w:w="146"/>
        <w:gridCol w:w="211"/>
        <w:gridCol w:w="841"/>
        <w:gridCol w:w="166"/>
        <w:gridCol w:w="146"/>
        <w:gridCol w:w="211"/>
        <w:gridCol w:w="781"/>
        <w:gridCol w:w="166"/>
        <w:gridCol w:w="146"/>
        <w:gridCol w:w="211"/>
        <w:gridCol w:w="781"/>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tax benefits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for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for tax positions related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for tax positions related to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tax benefits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the Company’s policy to classify accrued interest and penalties related to unrecognized tax benefits in the provision for income taxes. The Company recognized accrued interest and penalty tax benefits of $0.1 million, $0.3 million and $0.2 million for the years ended December 31, 2025, 2024, and 2023, respectively. Accrued interest and penalties of $2.2 million and $2.3 million were included in long-term income taxes payable as of December 31,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the Company’s 2021 through 2025 tax years are generally open and subject to potential examination in one or more jurisdictions. In the U.S., any net operating losses or credits that were generated in prior years but not yet fully utilized in a year that is closed under the statute of limitations may also be subject to examination. The Company has no significant income tax audits at this time.</w:t>
      </w:r>
    </w:p>
    <w:p>
      <w:pPr>
        <w:pStyle w:val="TextBody"/>
        <w:bidi w:val="0"/>
        <w:spacing w:before="240" w:after="283"/>
        <w:jc w:val="left"/>
        <w:rPr>
          <w:rFonts w:ascii="Times New Roman" w:hAnsi="Times New Roman"/>
          <w:sz w:val="20"/>
        </w:rPr>
      </w:pPr>
      <w:r>
        <w:rPr>
          <w:rFonts w:ascii="Times New Roman" w:hAnsi="Times New Roman"/>
          <w:b/>
          <w:color w:val="000000"/>
          <w:sz w:val="20"/>
        </w:rPr>
        <w:t>NOTE 15 –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Purchase and Other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Total future unconditional purchase obligations as of December 31, 2025 are estimated to be $7.5 million, including $3.2 million due in 2026, $2.4 million due in 2027, and $1.9 million due thereafter.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As of December 31, 2025 and 2024, the balance of the guarantee liability was $16.3 million and $17.1 million, respectively. Operating expense reimbursements are capped at a maximum of $7.5 million per annum. To date, such reimbursements have not been material.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each reporting period, the Company evaluates whether or not a potential loss amount or a potential range of losses is probable and reasonably estimable under the provisions of the authoritative guidance that addresses accounting for contingencies.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Litigation related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unable to predict the final outcome of lawsuits, including patent infringement lawsuits,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one reportable segment: IP Licensing. The IP Licensing segment derives revenues from license agreements to (i) its media patent portfolio and (ii) its semiconductor technologies patent portfolio, see further discussion on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generating activities in Note 4 – </w:t>
      </w:r>
      <w:r>
        <w:rPr>
          <w:rFonts w:ascii="Times New Roman" w:hAnsi="Times New Roman"/>
          <w:i/>
          <w:color w:val="000000"/>
          <w:sz w:val="20"/>
        </w:rPr>
        <w:t>Revenue</w:t>
      </w:r>
      <w:r>
        <w:rPr>
          <w:rFonts w:ascii="Times New Roman" w:hAnsi="Times New Roman"/>
          <w:color w:val="000000"/>
          <w:sz w:val="20"/>
        </w:rPr>
        <w:t>. The Company derives revenue primarily in North America and manages the business activities on a consolidated basis.</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The accounting policies of the IP Licensing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CODM uses net income to evaluate income generated from segment assets (return on assets) in deciding whether to reinvest profits into the IP Licensing segment or into other parts of the entity, such as for acquisitions or to return value to shareholders.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presents information with respect to the Company’s IP Licensing segment revenue, significant expenses and income: </w:t>
      </w:r>
    </w:p>
    <w:tbl>
      <w:tblPr>
        <w:tblW w:w="8323" w:type="dxa"/>
        <w:jc w:val="left"/>
        <w:tblInd w:w="0" w:type="dxa"/>
        <w:tblLayout w:type="fixed"/>
        <w:tblCellMar>
          <w:top w:w="28" w:type="dxa"/>
          <w:left w:w="28" w:type="dxa"/>
          <w:bottom w:w="28" w:type="dxa"/>
          <w:right w:w="28" w:type="dxa"/>
        </w:tblCellMar>
      </w:tblPr>
      <w:tblGrid>
        <w:gridCol w:w="4126"/>
        <w:gridCol w:w="146"/>
        <w:gridCol w:w="211"/>
        <w:gridCol w:w="781"/>
        <w:gridCol w:w="146"/>
        <w:gridCol w:w="146"/>
        <w:gridCol w:w="211"/>
        <w:gridCol w:w="781"/>
        <w:gridCol w:w="146"/>
        <w:gridCol w:w="146"/>
        <w:gridCol w:w="211"/>
        <w:gridCol w:w="781"/>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2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portfolio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related technical sales support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Outside services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segment items include facilities and other related expenses, marketing and advertising expenses, depreciation expense, travel and entertainment expenses, other income and expense, and other overhead expenses.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by Geography and 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w:t>
      </w:r>
    </w:p>
    <w:p>
      <w:pPr>
        <w:pStyle w:val="TextBody"/>
        <w:bidi w:val="0"/>
        <w:jc w:val="left"/>
        <w:rPr/>
      </w:pPr>
      <w:r>
        <w:rPr/>
        <w:t> </w:t>
      </w:r>
    </w:p>
    <w:tbl>
      <w:tblPr>
        <w:tblW w:w="9135" w:type="dxa"/>
        <w:jc w:val="left"/>
        <w:tblInd w:w="0" w:type="dxa"/>
        <w:tblLayout w:type="fixed"/>
        <w:tblCellMar>
          <w:top w:w="28" w:type="dxa"/>
          <w:left w:w="28" w:type="dxa"/>
          <w:bottom w:w="28" w:type="dxa"/>
          <w:right w:w="28" w:type="dxa"/>
        </w:tblCellMar>
      </w:tblPr>
      <w:tblGrid>
        <w:gridCol w:w="2086"/>
        <w:gridCol w:w="146"/>
        <w:gridCol w:w="211"/>
        <w:gridCol w:w="781"/>
        <w:gridCol w:w="146"/>
        <w:gridCol w:w="146"/>
        <w:gridCol w:w="146"/>
        <w:gridCol w:w="421"/>
        <w:gridCol w:w="271"/>
        <w:gridCol w:w="146"/>
        <w:gridCol w:w="211"/>
        <w:gridCol w:w="781"/>
        <w:gridCol w:w="146"/>
        <w:gridCol w:w="146"/>
        <w:gridCol w:w="146"/>
        <w:gridCol w:w="421"/>
        <w:gridCol w:w="271"/>
        <w:gridCol w:w="146"/>
        <w:gridCol w:w="211"/>
        <w:gridCol w:w="781"/>
        <w:gridCol w:w="146"/>
        <w:gridCol w:w="146"/>
        <w:gridCol w:w="146"/>
        <w:gridCol w:w="421"/>
        <w:gridCol w:w="5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and Middle 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December 31, 2025, 2024 and 2023, two customers accounted for 10% or more of total revenue, respectively. The following table sets forth revenue generated from customers which comprise 10% or more of total revenue for the periods indicated: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015" w:type="dxa"/>
        <w:jc w:val="left"/>
        <w:tblInd w:w="0" w:type="dxa"/>
        <w:tblLayout w:type="fixed"/>
        <w:tblCellMar>
          <w:top w:w="28" w:type="dxa"/>
          <w:left w:w="28" w:type="dxa"/>
          <w:bottom w:w="28" w:type="dxa"/>
          <w:right w:w="28" w:type="dxa"/>
        </w:tblCellMar>
      </w:tblPr>
      <w:tblGrid>
        <w:gridCol w:w="1081"/>
        <w:gridCol w:w="146"/>
        <w:gridCol w:w="166"/>
        <w:gridCol w:w="360"/>
        <w:gridCol w:w="291"/>
        <w:gridCol w:w="156"/>
        <w:gridCol w:w="166"/>
        <w:gridCol w:w="360"/>
        <w:gridCol w:w="291"/>
        <w:gridCol w:w="156"/>
        <w:gridCol w:w="166"/>
        <w:gridCol w:w="360"/>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 denotes less than 10% of total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the Company had one customer representing 63% of aggregate accounts receivable. At December 31, 2024, the Company had two customers representing 52% and 11% of aggregate accounts receivable,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Geography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2024, and 2023, property and equipment, net, was all located in the U.S.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 BENEFIT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401(k) retirement savings plan that allows voluntary contributions by all eligible U.S. employees upon their hire date. Eligible employees may elect to contribute up to the maximum amount allowed under Internal Revenue Service regulations. The Company can make discretionary contributions under the 401(k) plan. During the years ended December 31, 2025, 2024 and 2023, the Company contributed approximately $1.1 million, $1.2 million and $0.8 million, respectively, to the 401(k)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18 –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Declaration of a Cash Dividend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12, 2026, the Board of Directors declared a cash dividend of $0.05 per share of common stock, payable on March 30, 2026, for the stockholders of record at the close of business on March 16,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7" w:name="schedule_ii_valuation_and_qualifying"/>
      <w:bookmarkEnd w:id="37"/>
      <w:r>
        <w:rPr>
          <w:rFonts w:ascii="Times New Roman" w:hAnsi="Times New Roman"/>
          <w:b/>
          <w:color w:val="000000"/>
          <w:sz w:val="20"/>
        </w:rPr>
        <w:t>Schedule II. Valuation and Qualifying</w:t>
      </w:r>
      <w:r>
        <w:rPr>
          <w:rFonts w:ascii="Times New Roman" w:hAnsi="Times New Roman"/>
          <w:color w:val="000000"/>
          <w:sz w:val="20"/>
        </w:rPr>
        <w:t xml:space="preserve"> </w:t>
      </w:r>
      <w:r>
        <w:rPr>
          <w:rFonts w:ascii="Times New Roman" w:hAnsi="Times New Roman"/>
          <w:b/>
          <w:color w:val="000000"/>
          <w:sz w:val="20"/>
        </w:rPr>
        <w:t>Accounts for the Years Ended December 31, 2025, 2024 and 2023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14"/>
        <w:gridCol w:w="1165"/>
        <w:gridCol w:w="146"/>
        <w:gridCol w:w="146"/>
        <w:gridCol w:w="278"/>
        <w:gridCol w:w="837"/>
        <w:gridCol w:w="166"/>
        <w:gridCol w:w="146"/>
        <w:gridCol w:w="464"/>
        <w:gridCol w:w="829"/>
        <w:gridCol w:w="166"/>
        <w:gridCol w:w="146"/>
        <w:gridCol w:w="307"/>
        <w:gridCol w:w="1139"/>
        <w:gridCol w:w="195"/>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Beginning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Charged</w:t>
              <w:br/>
              <w:t>(Credited) to</w:t>
              <w:br/>
              <w:t>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Charged</w:t>
              <w:br/>
              <w:t>(Credited) to</w:t>
              <w:br/>
              <w:t>Other Accounts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End of</w:t>
              <w:br/>
              <w:t>Year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and unbilled contract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exhibit_index"/>
      <w:bookmarkEnd w:id="38"/>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8" w:space="0" w:color="000000"/>
            </w:tcBorders>
            <w:tcMar>
              <w:top w:w="0" w:type="dxa"/>
              <w:left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40"/>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40" w:after="40"/>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40"/>
              <w:jc w:val="left"/>
              <w:rPr/>
            </w:pPr>
            <w:r>
              <w:rPr/>
              <w:t> </w:t>
            </w:r>
          </w:p>
        </w:tc>
        <w:tc>
          <w:tcPr>
            <w:tcW w:w="9248" w:type="dxa"/>
            <w:tcBorders/>
            <w:tcMar>
              <w:top w:w="0" w:type="dxa"/>
              <w:left w:w="0" w:type="dxa"/>
              <w:bottom w:w="0" w:type="dxa"/>
              <w:right w:w="0" w:type="dxa"/>
            </w:tcMar>
            <w:vAlign w:val="center"/>
          </w:tcPr>
          <w:p>
            <w:pPr>
              <w:pStyle w:val="TableContents"/>
              <w:bidi w:val="0"/>
              <w:spacing w:before="0" w:after="40"/>
              <w:jc w:val="left"/>
              <w:rPr/>
            </w:pPr>
            <w:hyperlink r:id="rId6">
              <w:r>
                <w:rPr>
                  <w:rStyle w:val="InternetLink"/>
                  <w:rFonts w:ascii="Times New Roman" w:hAnsi="Times New Roman"/>
                  <w:color w:val="0000FF"/>
                  <w:sz w:val="20"/>
                  <w:u w:val="single"/>
                </w:rPr>
                <w:t>Separation and Distribution Agreement by and between the Registrant and Xperi Inc., dated as of October 1, 2022 (filed as Exhibit 2.1 to the Registrant’s Current Report on Form 8-K filed with the SEC on October 6, 2022, and incorporated herein by reference)</w:t>
              </w:r>
            </w:hyperlink>
            <w:hyperlink r:id="rId7">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8">
              <w:r>
                <w:rPr>
                  <w:rStyle w:val="InternetLink"/>
                  <w:rFonts w:ascii="Times New Roman" w:hAnsi="Times New Roman"/>
                  <w:color w:val="0000FF"/>
                  <w:sz w:val="20"/>
                  <w:u w:val="single"/>
                </w:rPr>
                <w:t>Amended and Restated Certificate of Incorporation of the Registrant (filed as Exhibit 3.1 to the Registrant’s Current Report on Form 8-K filed with the SEC on June 1, 2020, and incorporated herein by reference)</w:t>
              </w:r>
            </w:hyperlink>
            <w:r>
              <w:rPr>
                <w:rFonts w:ascii="Times New Roman" w:hAnsi="Times New Roman"/>
                <w:color w:val="000000"/>
                <w:sz w:val="20"/>
              </w:rPr>
              <w:t xml:space="preserve">, as amended by the </w:t>
            </w:r>
            <w:hyperlink r:id="rId9">
              <w:r>
                <w:rPr>
                  <w:rStyle w:val="InternetLink"/>
                  <w:rFonts w:ascii="Times New Roman" w:hAnsi="Times New Roman"/>
                  <w:color w:val="0000FF"/>
                  <w:sz w:val="20"/>
                  <w:u w:val="single"/>
                </w:rPr>
                <w:t>Certificate of Amendment to the Amended and Restated Certificate of Incorporation of the Registrant (filed as Exhibit 3.1 to the Registrant’s Current Report on Form 8-K filed with the SEC on October 6, 2022,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0">
              <w:r>
                <w:rPr>
                  <w:rStyle w:val="InternetLink"/>
                  <w:rFonts w:ascii="Times New Roman" w:hAnsi="Times New Roman"/>
                  <w:color w:val="0000FF"/>
                  <w:sz w:val="20"/>
                  <w:u w:val="single"/>
                </w:rPr>
                <w:t>Composite Amended and Restated Certificate of Incorporation of the Registrant (filed as Exhibit 3.2 to the Registrant’s Annual Report on Form 10-K filed with the SEC on March 1, 2023, and incorporated herein by reference)</w:t>
              </w:r>
            </w:hyperlink>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1">
              <w:r>
                <w:rPr>
                  <w:rStyle w:val="InternetLink"/>
                  <w:rFonts w:ascii="Times New Roman" w:hAnsi="Times New Roman"/>
                  <w:color w:val="0000FF"/>
                  <w:sz w:val="20"/>
                  <w:u w:val="single"/>
                </w:rPr>
                <w:t>Amended and Restated Bylaws of the Registrant (filed as Exhibit 3.2 to the Registrant’s Quarterly Report on Form 10-Q filed with the SEC on November 9, 2022, and incorporated herein by reference)</w:t>
              </w:r>
            </w:hyperlink>
            <w:hyperlink r:id="rId12">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w:anchor="adea-ex4_1.htm">
              <w:r>
                <w:rPr>
                  <w:rStyle w:val="InternetLink"/>
                  <w:rFonts w:ascii="Times New Roman" w:hAnsi="Times New Roman"/>
                  <w:color w:val="0000FF"/>
                  <w:sz w:val="20"/>
                  <w:u w:val="single"/>
                </w:rPr>
                <w:t>Description of the Registrant’s capital stock registered under section 12 of the Securities Exchange Act of 1934.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3">
              <w:r>
                <w:rPr>
                  <w:rStyle w:val="InternetLink"/>
                  <w:rFonts w:ascii="Times New Roman" w:hAnsi="Times New Roman"/>
                  <w:color w:val="0000FF"/>
                  <w:sz w:val="20"/>
                  <w:u w:val="single"/>
                </w:rPr>
                <w:t>Non-Employee Director Compensation Policy (filed as Exhibit 10.3 to the Registrant’s Quarterly Report on Form 10-Q, filed August 2, 2017,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4">
              <w:r>
                <w:rPr>
                  <w:rStyle w:val="InternetLink"/>
                  <w:rFonts w:ascii="Times New Roman" w:hAnsi="Times New Roman"/>
                  <w:color w:val="0000FF"/>
                  <w:sz w:val="20"/>
                  <w:u w:val="single"/>
                </w:rPr>
                <w:t>Supplement to Commitment Letter and Fee Letter, dated January 3, 2020, by and among the Registrant, TiVo Corporation, Bank of America, N.A., Royal Bank of Canada, and Barclays Bank PLC (filed as Exhibit 10.1 to the Registrant’s Current Report on Form 8-K, filed January 7, 2020,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5">
              <w:r>
                <w:rPr>
                  <w:rStyle w:val="InternetLink"/>
                  <w:rFonts w:ascii="Times New Roman" w:hAnsi="Times New Roman"/>
                  <w:color w:val="0000FF"/>
                  <w:sz w:val="20"/>
                  <w:u w:val="single"/>
                </w:rPr>
                <w:t>Credit Agreement, dated as of June 1, 2020, among the Registrant, the lenders party thereto and Bank of America, N.A., as administrative agent and collateral agent (incorporated by reference to Exhibit 10.1 of the Registrant's Current Report on Form 8-K filed with the SEC on June 1, 2020 (File No. 001-39304))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6">
              <w:r>
                <w:rPr>
                  <w:rStyle w:val="InternetLink"/>
                  <w:rFonts w:ascii="Times New Roman" w:hAnsi="Times New Roman"/>
                  <w:color w:val="0000FF"/>
                  <w:sz w:val="20"/>
                  <w:u w:val="single"/>
                </w:rPr>
                <w:t>Guaranty, dated as of June 1, 2020, among Xperi, TiVo, the other subsidiary guarantors party thereto and Bank of America, N.A., as administrative agent (incorporated by reference to Exhibit 10.2 of the Registrant’s Current Report on Form 8-K filed with the SEC on June 1, 2020 (File No. 001-39304))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7">
              <w:r>
                <w:rPr>
                  <w:rStyle w:val="InternetLink"/>
                  <w:rFonts w:ascii="Times New Roman" w:hAnsi="Times New Roman"/>
                  <w:color w:val="0000FF"/>
                  <w:sz w:val="20"/>
                  <w:u w:val="single"/>
                </w:rPr>
                <w:t>Guaranty Supplement, dated as of July 24, 2025, executed by Adeia Semiconductor, Inc. ((incorporated by reference to Exhibit 10.2 of the Registrants Quarterly Report on Form 10-Q, filed August 7, 2025 (File No. 001-39304))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8">
              <w:r>
                <w:rPr>
                  <w:rStyle w:val="InternetLink"/>
                  <w:rFonts w:ascii="Times New Roman" w:hAnsi="Times New Roman"/>
                  <w:color w:val="0000FF"/>
                  <w:sz w:val="20"/>
                  <w:u w:val="single"/>
                </w:rPr>
                <w:t>Security Agreement, dated as of June 1, 2020, among the Registrant, the other pledgors party thereto and Bank of America, N.A., as collateral agent (incorporated by reference to Exhibit 10.3 of the Registrant’s Current Report on Form 8-K filed with the SEC on June 1, 2020 (File No. 001-39304))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19">
              <w:r>
                <w:rPr>
                  <w:rStyle w:val="InternetLink"/>
                  <w:rFonts w:ascii="Times New Roman" w:hAnsi="Times New Roman"/>
                  <w:color w:val="0000FF"/>
                  <w:sz w:val="20"/>
                  <w:u w:val="single"/>
                </w:rPr>
                <w:t>Joinder Agreement, dated as of July 24, 2025, between Adeia Semiconductor, Inc. and Bank of America, N.A., as collateral agents (incorporated by reference to Exhibit 10.1 of the Registrants Quarterly Report on Form 10-Q, filed August 7, 2025 (File No. 001-39304))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20">
              <w:r>
                <w:rPr>
                  <w:rStyle w:val="InternetLink"/>
                  <w:rFonts w:ascii="Times New Roman" w:hAnsi="Times New Roman"/>
                  <w:color w:val="0000FF"/>
                  <w:sz w:val="20"/>
                  <w:u w:val="single"/>
                </w:rPr>
                <w:t>Amendment No. 3 to Credit Agreement, dated as of May 20, 2024, among the Registrant, the subsidiaries of the Registrant party thereto, Bank of America, N.A., as administrative agent and collateral agent, and the lenders party thereto (including Conformed Credit Agreement giving effect to Amendments) (incorporated by reference to Exhibit 10.1 of the Registrant’s Current Report on Form 8-K filed with the SEC on May 20, 2024 (File No. 001-39304))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21">
              <w:r>
                <w:rPr>
                  <w:rStyle w:val="InternetLink"/>
                  <w:rFonts w:ascii="Times New Roman" w:hAnsi="Times New Roman"/>
                  <w:color w:val="0000FF"/>
                  <w:sz w:val="20"/>
                  <w:u w:val="single"/>
                </w:rPr>
                <w:t>Amendment No. 4 to Credit Agreement, dated as of January 30, 2025, among the Registrant, the subsidiaries of the Registrant party thereto, Bank of America, N.A., as administrative agent and collateral agent, and the lenders party thereto (including Conformed Credit Agreement giving effect to Amendments) (incorporated by reference to Exhibit 10.1 of the Registrant’s Current Report on Form 8-K filed with the SEC on January 30, 2025 (File No. 001-39304))</w:t>
              </w:r>
            </w:hyperlink>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248" w:type="dxa"/>
            <w:tcBorders/>
            <w:tcMar>
              <w:top w:w="0" w:type="dxa"/>
              <w:left w:w="0" w:type="dxa"/>
              <w:bottom w:w="0" w:type="dxa"/>
              <w:right w:w="0" w:type="dxa"/>
            </w:tcMar>
            <w:vAlign w:val="center"/>
          </w:tcPr>
          <w:p>
            <w:pPr>
              <w:pStyle w:val="TableContents"/>
              <w:bidi w:val="0"/>
              <w:spacing w:before="40" w:after="40"/>
              <w:jc w:val="left"/>
              <w:rPr/>
            </w:pPr>
            <w:hyperlink r:id="rId22">
              <w:r>
                <w:rPr>
                  <w:rStyle w:val="InternetLink"/>
                  <w:rFonts w:ascii="Times New Roman" w:hAnsi="Times New Roman"/>
                  <w:color w:val="0000FF"/>
                  <w:sz w:val="20"/>
                  <w:u w:val="single"/>
                </w:rPr>
                <w:t>Xperi Holding Corporation 2020 Equity Incentive Plan (incorporated by reference to Exhibit 4.10 of the Registrant’s Registration Statement on Form S-8 filed with the SEC on June 1, 2020 (File No. 333-238846))</w:t>
              </w:r>
            </w:hyperlink>
            <w:r>
              <w:rPr>
                <w:rFonts w:ascii="Times New Roman" w:hAnsi="Times New Roman"/>
                <w:color w:val="000000"/>
                <w:sz w:val="20"/>
              </w:rPr>
              <w:t xml:space="preserve">, as amended by the </w:t>
            </w:r>
            <w:r>
              <w:fldChar w:fldCharType="begin"/>
            </w:r>
            <w:r>
              <w:rPr>
                <w:rStyle w:val="InternetLink"/>
                <w:sz w:val="20"/>
                <w:u w:val="single"/>
                <w:rFonts w:ascii="Times New Roman" w:hAnsi="Times New Roman"/>
                <w:color w:val="0000FF"/>
              </w:rPr>
              <w:instrText xml:space="preserve"> HYPERLINK "https://www.sec.gov/Archives/edgar/data/1803696/000156459022010650/xper-def14a_20211231.htm" \l "Appendix_A_2022"</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Plan Amendment to the Registrant’s 2020 Equity Incentive Plan, dated as of April 29, 2022 (filed as Exhibit 10.1 to the Registrant’s Quarterly Report on Form 10-Q, filed August 8, 2022, and incorporated herein by reference)</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"https://www.sec.gov/Archives/edgar/data/1803696/000156459022010650/xper-def14a_20211231.htm" \l "Appendix_A_2022"</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9"/>
        <w:gridCol w:w="146"/>
        <w:gridCol w:w="9450"/>
      </w:tblGrid>
      <w:tr>
        <w:trPr/>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0" w:type="dxa"/>
            <w:tcBorders/>
            <w:vAlign w:val="center"/>
          </w:tcPr>
          <w:p>
            <w:pPr>
              <w:pStyle w:val="TableContents"/>
              <w:bidi w:val="0"/>
              <w:spacing w:before="0" w:after="283"/>
              <w:jc w:val="left"/>
              <w:rPr>
                <w:sz w:val="4"/>
                <w:szCs w:val="4"/>
              </w:rPr>
            </w:pPr>
            <w:r>
              <w:rPr>
                <w:sz w:val="4"/>
                <w:szCs w:val="4"/>
              </w:rPr>
            </w:r>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23">
              <w:r>
                <w:rPr>
                  <w:rStyle w:val="InternetLink"/>
                  <w:rFonts w:ascii="Times New Roman" w:hAnsi="Times New Roman"/>
                  <w:color w:val="0000FF"/>
                  <w:sz w:val="20"/>
                  <w:u w:val="single"/>
                </w:rPr>
                <w:t>Xperi Holding Corporation 2020 Employee Stock Purchase Plan (incorporated by reference to Exhibit 4.11 of the Registrant’s Registration Statement on Form S-8 filed with the SEC on June 1, 2020 (File No. 333-238846))</w:t>
              </w:r>
            </w:hyperlink>
            <w:r>
              <w:rPr>
                <w:rFonts w:ascii="Times New Roman" w:hAnsi="Times New Roman"/>
                <w:color w:val="000000"/>
                <w:sz w:val="20"/>
              </w:rPr>
              <w:t xml:space="preserve">, as amended by the </w:t>
            </w:r>
            <w:r>
              <w:fldChar w:fldCharType="begin"/>
            </w:r>
            <w:r>
              <w:rPr>
                <w:rStyle w:val="InternetLink"/>
                <w:sz w:val="20"/>
                <w:u w:val="single"/>
                <w:rFonts w:ascii="Times New Roman" w:hAnsi="Times New Roman"/>
                <w:color w:val="0000FF"/>
              </w:rPr>
              <w:instrText xml:space="preserve"> HYPERLINK "https://www.sec.gov/Archives/edgar/data/1803696/000156459022010650/xper-def14a_20211231.htm" \l "Appendix_B_2022"</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Plan of Amendment to the Registrant’s 2020 Employee Stock Purchase Plan (filed as Exhibit 10.2 to the Registrant’s Quarterly Report on form 10-Q, filed August 8, 2022, and incorporated herein by reference)</w:t>
            </w:r>
            <w:r>
              <w:rPr>
                <w:rStyle w:val="InternetLink"/>
                <w:sz w:val="20"/>
                <w:u w:val="single"/>
                <w:rFonts w:ascii="Times New Roman" w:hAnsi="Times New Roman"/>
                <w:color w:val="0000FF"/>
              </w:rPr>
              <w:fldChar w:fldCharType="end"/>
            </w:r>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24">
              <w:r>
                <w:rPr>
                  <w:rStyle w:val="InternetLink"/>
                  <w:rFonts w:ascii="Times New Roman" w:hAnsi="Times New Roman"/>
                  <w:color w:val="0000FF"/>
                  <w:sz w:val="20"/>
                  <w:u w:val="single"/>
                </w:rPr>
                <w:t>Form of Indemnification Agreement for Registrant Directors, Officers, and Key Employees (incorporated by reference to Exhibit 10.4 of the Registrant’s Current Report on Form 8-K filed with the SEC on June 1, 2020 (File No. 001-39304))</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25">
              <w:r>
                <w:rPr>
                  <w:rStyle w:val="InternetLink"/>
                  <w:rFonts w:ascii="Times New Roman" w:hAnsi="Times New Roman"/>
                  <w:color w:val="0000FF"/>
                  <w:sz w:val="20"/>
                  <w:u w:val="single"/>
                </w:rPr>
                <w:t>Form of Restricted Stock Unit Award Grant Notice and Restricted Stock Unit Award Agreement for the Xperi Holding Corporation 2020 Equity Incentive Plan (incorporated by reference to Exhibit 10.12 of the Registrant's Current Report on Form 8-K filed with the SEC on June 1, 2020 (File No. 001-39304))</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26">
              <w:r>
                <w:rPr>
                  <w:rStyle w:val="InternetLink"/>
                  <w:rFonts w:ascii="Times New Roman" w:hAnsi="Times New Roman"/>
                  <w:color w:val="0000FF"/>
                  <w:sz w:val="20"/>
                  <w:u w:val="single"/>
                </w:rPr>
                <w:t>Form of Stock Option Grant Notice and Stock Option Agreement for the Xperi Holding Corporation 2020 Equity Incentive Plan (incorporated by reference to Exhibit 10.13 of the Registrant's Current Report on Form 8-K filed with the SEC on June 1, 2020 (File No. 001-39304))</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27">
              <w:r>
                <w:rPr>
                  <w:rStyle w:val="InternetLink"/>
                  <w:rFonts w:ascii="Times New Roman" w:hAnsi="Times New Roman"/>
                  <w:color w:val="0000FF"/>
                  <w:sz w:val="20"/>
                  <w:u w:val="single"/>
                </w:rPr>
                <w:t>TiVo Corporation 2008 Equity Incentive Plan (f/k/a the “Rovi Corporation 2008 Equity Incentive Plan”) (incorporated by reference to Annex A to the Definitive Proxy Statement on Schedule 14A of TiVo Corporation, filed March 15, 2019 (File No. 001-37870))</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28">
              <w:r>
                <w:rPr>
                  <w:rStyle w:val="InternetLink"/>
                  <w:rFonts w:ascii="Times New Roman" w:hAnsi="Times New Roman"/>
                  <w:color w:val="0000FF"/>
                  <w:sz w:val="20"/>
                  <w:u w:val="single"/>
                </w:rPr>
                <w:t>TiVo Inc. Amended and Restated 2008 Equity Incentive Award Plan (now named the “TiVo Corporation Titan Equity Incentive Award Plan”) (incorporated by reference to Exhibit 4.7 to Registration Statement on Form S-8 of TiVo Corporation, filed September 9, 2016 (File No. 333-213578))</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29">
              <w:r>
                <w:rPr>
                  <w:rStyle w:val="InternetLink"/>
                  <w:rFonts w:ascii="Times New Roman" w:hAnsi="Times New Roman"/>
                  <w:color w:val="0000FF"/>
                  <w:sz w:val="20"/>
                  <w:u w:val="single"/>
                </w:rPr>
                <w:t>Xperi Corporation Seventh Amended and Restated 2003 Equity Incentive Plan and Amendment No. 1 (incorporated by reference to Appendices A and B to Additional Definitive Proxy Soliciting Materials on Schedule 14A of Xperi Corporation, filed April 18, 2018 (File No. 001-37956))</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0">
              <w:r>
                <w:rPr>
                  <w:rStyle w:val="InternetLink"/>
                  <w:rFonts w:ascii="Times New Roman" w:hAnsi="Times New Roman"/>
                  <w:color w:val="0000FF"/>
                  <w:sz w:val="20"/>
                  <w:u w:val="single"/>
                </w:rPr>
                <w:t>DTS, Inc. 2014 New Employee Incentive Plan (incorporated by reference to Exhibit 10.1 to the Current Report on Form 8-K of DTS, Inc., filed August 20, 2014 (File No. 000-50335))</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1">
              <w:r>
                <w:rPr>
                  <w:rStyle w:val="InternetLink"/>
                  <w:rFonts w:ascii="Times New Roman" w:hAnsi="Times New Roman"/>
                  <w:color w:val="0000FF"/>
                  <w:sz w:val="20"/>
                  <w:u w:val="single"/>
                </w:rPr>
                <w:t>Amendment No. 1 to the DTS, Inc. 2014 New Employee Incentive Plan (incorporated by reference to Exhibit 99.3 to Registration Statement on Form S-8 of DTS, Inc., filed August 10, 2015 (File No. 333-206283))</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2">
              <w:r>
                <w:rPr>
                  <w:rStyle w:val="InternetLink"/>
                  <w:rFonts w:ascii="Times New Roman" w:hAnsi="Times New Roman"/>
                  <w:color w:val="0000FF"/>
                  <w:sz w:val="20"/>
                  <w:u w:val="single"/>
                </w:rPr>
                <w:t>Amendment No. 2 to the DTS, Inc. 2014 New Employee Incentive Plan (incorporated by reference to Exhibit 99.3 to Registration Statement on Form S-8 of DTS, Inc., filed November 9, 2015 (File No. 333-207899))</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3">
              <w:r>
                <w:rPr>
                  <w:rStyle w:val="InternetLink"/>
                  <w:rFonts w:ascii="Times New Roman" w:hAnsi="Times New Roman"/>
                  <w:color w:val="0000FF"/>
                  <w:sz w:val="20"/>
                  <w:u w:val="single"/>
                </w:rPr>
                <w:t>DTS, Inc. 2012 Equity Incentive Plan and Amendment No. 1 (incorporated by reference to Appendix A to Definitive Proxy Statement on Schedule 14A of DTS, Inc., filed April 14, 2015 (File No. 000-50335))</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4">
              <w:r>
                <w:rPr>
                  <w:rStyle w:val="InternetLink"/>
                  <w:rFonts w:ascii="Times New Roman" w:hAnsi="Times New Roman"/>
                  <w:color w:val="0000FF"/>
                  <w:sz w:val="20"/>
                  <w:u w:val="single"/>
                </w:rPr>
                <w:t>SRS Labs, Inc. 2006 Stock Incentive Plan, as amended and restated on August 9, 2012 (incorporated by reference to Exhibit 4.4 to Registration Statement on Form S-8 of DTS, Inc., filed August 13, 2012 (File No. 333-183289))</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5">
              <w:r>
                <w:rPr>
                  <w:rStyle w:val="InternetLink"/>
                  <w:rFonts w:ascii="Times New Roman" w:hAnsi="Times New Roman"/>
                  <w:color w:val="0000FF"/>
                  <w:sz w:val="20"/>
                  <w:u w:val="single"/>
                </w:rPr>
                <w:t>DTS, Inc. 2003 Equity Incentive Plan, as amended on May 9, 2005, May 15, 2008, February 19, 2009, February 15, 2010, June 3, 2010 and October 8, 2010 (incorporated by reference to Exhibit 10.1 to Form 10-Q of DTS, Inc., filed November 8, 2010 (File No. 000-50335))</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6">
              <w:r>
                <w:rPr>
                  <w:rStyle w:val="InternetLink"/>
                  <w:rFonts w:ascii="Times New Roman" w:hAnsi="Times New Roman"/>
                  <w:color w:val="0000FF"/>
                  <w:sz w:val="20"/>
                  <w:u w:val="single"/>
                </w:rPr>
                <w:t>Amended &amp; Restated Severance Agreement, dated February 9, 2023, between the Registrant and Paul Davis (incorporated by reference to Exhibit 10.1 of the Registrant’s Current Report on Form 8-K filed with the SEC on February 15, 2023)</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7">
              <w:r>
                <w:rPr>
                  <w:rStyle w:val="InternetLink"/>
                  <w:rFonts w:ascii="Times New Roman" w:hAnsi="Times New Roman"/>
                  <w:color w:val="0000FF"/>
                  <w:sz w:val="20"/>
                  <w:u w:val="single"/>
                </w:rPr>
                <w:t>Form of Severance Agreement, dated February 9, 2023, between the Registrant and each of Keith Jones, Kevin Tanji, Dana Escobar and Mark Kokes (incorporated by reference to Exhibit 10.2 to the Registrant’s Current Report on Form 8-K filed with the SEC on February 15, 2023)</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8">
              <w:r>
                <w:rPr>
                  <w:rStyle w:val="InternetLink"/>
                  <w:rFonts w:ascii="Times New Roman" w:hAnsi="Times New Roman"/>
                  <w:color w:val="0000FF"/>
                  <w:sz w:val="20"/>
                  <w:u w:val="single"/>
                </w:rPr>
                <w:t>Tax Matters Agreement by and between the Registrant and Xperi Inc., dated as of October 1, 2022 (incorporated by reference to Exhibit 10.1 of the Registrant’s Current Report on Form 8-K filed with the SEC on October 6, 2022)</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39">
              <w:r>
                <w:rPr>
                  <w:rStyle w:val="InternetLink"/>
                  <w:rFonts w:ascii="Times New Roman" w:hAnsi="Times New Roman"/>
                  <w:color w:val="0000FF"/>
                  <w:sz w:val="20"/>
                  <w:u w:val="single"/>
                </w:rPr>
                <w:t>Employee Matters Agreement by and among the Registrant and Xperi Inc., dated as of October 1, 2022 (incorporated by reference to Exhibit 10.2 of the Registrant’s Current Report on Form 8-K filed with the SEC on October 6, 2022)</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40">
              <w:r>
                <w:rPr>
                  <w:rStyle w:val="InternetLink"/>
                  <w:rFonts w:ascii="Times New Roman" w:hAnsi="Times New Roman"/>
                  <w:color w:val="0000FF"/>
                  <w:sz w:val="20"/>
                  <w:u w:val="single"/>
                </w:rPr>
                <w:t>Cross Business License Agreement between Xperi Inc. and the Registrant, Adeia Media LLC and Adeia Media Holdings LLC, effective as of October 1, 2022 (incorporated by reference to Exhibit 10.3 of the Registrant’s Current Report on Form 8-K filed with the SEC on October 6, 2022)</w:t>
              </w:r>
            </w:hyperlink>
          </w:p>
        </w:tc>
      </w:tr>
      <w:tr>
        <w:trPr/>
        <w:tc>
          <w:tcPr>
            <w:tcW w:w="609"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50" w:type="dxa"/>
            <w:tcBorders/>
            <w:tcMar>
              <w:top w:w="0" w:type="dxa"/>
              <w:left w:w="0" w:type="dxa"/>
              <w:bottom w:w="0" w:type="dxa"/>
              <w:right w:w="0" w:type="dxa"/>
            </w:tcMar>
            <w:vAlign w:val="center"/>
          </w:tcPr>
          <w:p>
            <w:pPr>
              <w:pStyle w:val="TableContents"/>
              <w:bidi w:val="0"/>
              <w:spacing w:before="40" w:after="40"/>
              <w:jc w:val="left"/>
              <w:rPr/>
            </w:pPr>
            <w:hyperlink r:id="rId41">
              <w:r>
                <w:rPr>
                  <w:rStyle w:val="InternetLink"/>
                  <w:rFonts w:ascii="Times New Roman" w:hAnsi="Times New Roman"/>
                  <w:color w:val="0000FF"/>
                  <w:sz w:val="20"/>
                  <w:u w:val="single"/>
                </w:rPr>
                <w:t>Transition Services Agreement by and between the Registrant and Xperi Inc., dated October 1, 2022 (incorporated by reference to Exhibit 10.4 of the Registrant’s Current Report on Form 8-K filed with the SEC on October 6, 2022)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
        <w:gridCol w:w="146"/>
        <w:gridCol w:w="9414"/>
      </w:tblGrid>
      <w:tr>
        <w:trPr/>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4" w:type="dxa"/>
            <w:tcBorders/>
            <w:vAlign w:val="center"/>
          </w:tcPr>
          <w:p>
            <w:pPr>
              <w:pStyle w:val="TableContents"/>
              <w:bidi w:val="0"/>
              <w:spacing w:before="0" w:after="283"/>
              <w:jc w:val="left"/>
              <w:rPr>
                <w:sz w:val="4"/>
                <w:szCs w:val="4"/>
              </w:rPr>
            </w:pPr>
            <w:r>
              <w:rPr>
                <w:sz w:val="4"/>
                <w:szCs w:val="4"/>
              </w:rPr>
            </w:r>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r:id="rId42">
              <w:r>
                <w:rPr>
                  <w:rStyle w:val="InternetLink"/>
                  <w:rFonts w:ascii="Times New Roman" w:hAnsi="Times New Roman"/>
                  <w:color w:val="0000FF"/>
                  <w:sz w:val="20"/>
                  <w:u w:val="single"/>
                </w:rPr>
                <w:t>Data Sharing Agreement by and between the Registrant and Xperi Inc, dated October 1, 2022 (incorporated by reference to Exhibit 10.5 of the Registrant’s Current Report on Form 8-K filed with the SEC on October 6, 2022)</w:t>
              </w:r>
            </w:hyperlink>
            <w:hyperlink r:id="rId43">
              <w:r>
                <w:rPr>
                  <w:rStyle w:val="InternetLink"/>
                  <w:rFonts w:ascii="Times New Roman" w:hAnsi="Times New Roman"/>
                  <w:color w:val="0000FF"/>
                  <w:sz w:val="20"/>
                </w:rPr>
                <w:t xml:space="preserve"> </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r:id="rId44">
              <w:r>
                <w:rPr>
                  <w:rStyle w:val="InternetLink"/>
                  <w:rFonts w:ascii="Times New Roman" w:hAnsi="Times New Roman"/>
                  <w:color w:val="0000FF"/>
                  <w:sz w:val="20"/>
                  <w:u w:val="single"/>
                </w:rPr>
                <w:t>Insider Trading Policy (incorporated by reference to Exhibit 19.1 of the Registrant’s Annual Report on Form 10-K filed with the SEC on February 19, 2025)</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w:anchor="adea-ex21_1.htm">
              <w:r>
                <w:rPr>
                  <w:rStyle w:val="InternetLink"/>
                  <w:rFonts w:ascii="Times New Roman" w:hAnsi="Times New Roman"/>
                  <w:color w:val="0000FF"/>
                  <w:sz w:val="20"/>
                  <w:u w:val="single"/>
                </w:rPr>
                <w:t>List of subsidiaries</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w:anchor="adea-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w:anchor="power_of_attorney">
              <w:r>
                <w:rPr>
                  <w:rStyle w:val="InternetLink"/>
                  <w:rFonts w:ascii="Times New Roman" w:hAnsi="Times New Roman"/>
                  <w:color w:val="0000FF"/>
                  <w:sz w:val="20"/>
                  <w:u w:val="single"/>
                </w:rPr>
                <w:t>Power of Attorney (see signature page to this Annual Report on Form 10-K)</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w:anchor="adea-ex31_1.htm">
              <w:r>
                <w:rPr>
                  <w:rStyle w:val="InternetLink"/>
                  <w:rFonts w:ascii="Times New Roman" w:hAnsi="Times New Roman"/>
                  <w:color w:val="0000FF"/>
                  <w:sz w:val="20"/>
                  <w:u w:val="single"/>
                </w:rPr>
                <w:t>Certification of the Chief Executive Officer pursuant to Rule 13a-14(a) of the Securities Exchange Act of 1934</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w:anchor="adea-ex31_2.htm">
              <w:r>
                <w:rPr>
                  <w:rStyle w:val="InternetLink"/>
                  <w:rFonts w:ascii="Times New Roman" w:hAnsi="Times New Roman"/>
                  <w:color w:val="0000FF"/>
                  <w:sz w:val="20"/>
                  <w:u w:val="single"/>
                </w:rPr>
                <w:t>Certification of the Chief Financial Officer pursuant to Rule 13a-14(a) of the Securities Exchange Act of 1934</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w:anchor="adea-ex32_1.htm">
              <w:r>
                <w:rPr>
                  <w:rStyle w:val="InternetLink"/>
                  <w:rFonts w:ascii="Times New Roman" w:hAnsi="Times New Roman"/>
                  <w:color w:val="0000FF"/>
                  <w:sz w:val="20"/>
                  <w:u w:val="single"/>
                </w:rPr>
                <w:t>Certification of the Chief Executive Officer and Chief Financial Officer pursuant to Rule 13a-14(b) of the Securities Exchange Act of 1934 and 18 U.S.C. Section 1350, as adopted pursuant to Section 906 of the Sarbanes-Oxley Act of 2002</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hyperlink w:anchor="adea-ex97_1.htm">
              <w:r>
                <w:rPr>
                  <w:rStyle w:val="InternetLink"/>
                  <w:rFonts w:ascii="Times New Roman" w:hAnsi="Times New Roman"/>
                  <w:color w:val="0000FF"/>
                  <w:sz w:val="20"/>
                  <w:u w:val="single"/>
                </w:rPr>
                <w:t>Amended &amp; Restated Executive Compensation Clawback Policy</w:t>
              </w:r>
            </w:hyperlink>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645"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Indicates a management contract or compensatory plan or arrangement.</w:t>
            </w:r>
          </w:p>
        </w:tc>
      </w:tr>
      <w:tr>
        <w:trPr/>
        <w:tc>
          <w:tcPr>
            <w:tcW w:w="645"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41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exhibits and schedules to this agreement have been omitted in reliance on Item 601(b)(2) of Regulation S-K promulgated by the SEC, and a copy thereof will be furnished supplementally to the SEC upon its request. Readers are cautioned that the representations and warranties set forth in this agreement are qualified by those schedules, and should not be relied upon as accurate or complete without reference to those schedules</w:t>
            </w:r>
          </w:p>
        </w:tc>
      </w:tr>
    </w:tbl>
    <w:p>
      <w:pPr>
        <w:pStyle w:val="TextBody"/>
        <w:bidi w:val="0"/>
        <w:jc w:val="left"/>
        <w:rPr/>
      </w:pPr>
      <w:r>
        <w:rPr/>
        <w:t> </w:t>
      </w:r>
    </w:p>
    <w:p>
      <w:pPr>
        <w:pStyle w:val="TextBody"/>
        <w:bidi w:val="0"/>
        <w:spacing w:before="220" w:after="283"/>
        <w:jc w:val="left"/>
        <w:rPr>
          <w:rFonts w:ascii="Times New Roman" w:hAnsi="Times New Roman"/>
          <w:b/>
          <w:color w:val="000000"/>
          <w:sz w:val="20"/>
        </w:rPr>
      </w:pPr>
      <w:bookmarkStart w:id="39" w:name="item_16_form_10k_summary"/>
      <w:bookmarkEnd w:id="39"/>
      <w:r>
        <w:rPr>
          <w:rFonts w:ascii="Times New Roman" w:hAnsi="Times New Roman"/>
          <w:b/>
          <w:color w:val="000000"/>
          <w:sz w:val="20"/>
        </w:rPr>
        <w:t>Item 16. Form 10-K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0" w:name="signatures_10k"/>
      <w:bookmarkEnd w:id="40"/>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“Exchange Act”),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February 26, 2026</w:t>
      </w:r>
    </w:p>
    <w:p>
      <w:pPr>
        <w:pStyle w:val="TextBody"/>
        <w:bidi w:val="0"/>
        <w:jc w:val="left"/>
        <w:rPr/>
      </w:pPr>
      <w:r>
        <w:rPr/>
        <w:t> </w:t>
      </w:r>
    </w:p>
    <w:tbl>
      <w:tblPr>
        <w:tblW w:w="4164" w:type="dxa"/>
        <w:jc w:val="left"/>
        <w:tblInd w:w="0" w:type="dxa"/>
        <w:tblLayout w:type="fixed"/>
        <w:tblCellMar>
          <w:top w:w="28" w:type="dxa"/>
          <w:left w:w="28" w:type="dxa"/>
          <w:bottom w:w="28" w:type="dxa"/>
          <w:right w:w="28" w:type="dxa"/>
        </w:tblCellMar>
      </w:tblPr>
      <w:tblGrid>
        <w:gridCol w:w="401"/>
        <w:gridCol w:w="406"/>
        <w:gridCol w:w="146"/>
        <w:gridCol w:w="3211"/>
      </w:tblGrid>
      <w:tr>
        <w:trPr/>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7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ADEIA INC.</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E. Davis</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Paul E. Davis</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center"/>
        <w:rPr/>
      </w:pPr>
      <w:r>
        <w:rPr/>
        <w:t> </w:t>
      </w:r>
    </w:p>
    <w:p>
      <w:pPr>
        <w:pStyle w:val="TextBody"/>
        <w:bidi w:val="0"/>
        <w:jc w:val="center"/>
        <w:rPr>
          <w:rFonts w:ascii="Times New Roman" w:hAnsi="Times New Roman"/>
          <w:b/>
          <w:color w:val="000000"/>
          <w:sz w:val="20"/>
        </w:rPr>
      </w:pPr>
      <w:bookmarkStart w:id="41" w:name="power_of_attorney"/>
      <w:bookmarkEnd w:id="41"/>
      <w:r>
        <w:rPr>
          <w:rFonts w:ascii="Times New Roman" w:hAnsi="Times New Roman"/>
          <w:b/>
          <w:color w:val="000000"/>
          <w:sz w:val="20"/>
        </w:rPr>
        <w:t>POWER OF 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person whose individual signature appears below hereby authorizes and appoints Paul Davis and Keith A. Jones, and each of them, with full power of substitution and resubstitution and full power to act without the other, as his true and lawful attorney-in-fact and agent to act in his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Exchange Act, this report has been signed below by the following persons on behalf of the registrant and in the capacities and on the dates indicated.</w:t>
      </w:r>
    </w:p>
    <w:p>
      <w:pPr>
        <w:pStyle w:val="TextBody"/>
        <w:bidi w:val="0"/>
        <w:jc w:val="left"/>
        <w:rPr/>
      </w:pPr>
      <w:r>
        <w:rPr/>
        <w:t> </w:t>
      </w:r>
    </w:p>
    <w:tbl>
      <w:tblPr>
        <w:tblW w:w="7915" w:type="dxa"/>
        <w:jc w:val="left"/>
        <w:tblInd w:w="0" w:type="dxa"/>
        <w:tblLayout w:type="fixed"/>
        <w:tblCellMar>
          <w:top w:w="28" w:type="dxa"/>
          <w:left w:w="28" w:type="dxa"/>
          <w:bottom w:w="28" w:type="dxa"/>
          <w:right w:w="28" w:type="dxa"/>
        </w:tblCellMar>
      </w:tblPr>
      <w:tblGrid>
        <w:gridCol w:w="1981"/>
        <w:gridCol w:w="146"/>
        <w:gridCol w:w="4006"/>
        <w:gridCol w:w="146"/>
        <w:gridCol w:w="163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 Paul E. Davis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President and Director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E. Davis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 Keith A. Jones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(Principal Financial and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Keith A. Jones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Moloney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Moloney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Tonia O'Connor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Tonia O'Connor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 Sue Molina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 Sue Molina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Adam Rymer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Adam Rymer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Phyllis Turner-Brim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Phyllis Turner-Brim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Sandeep Vij</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Sandeep Vij</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adea-ex4_1.htm"/>
      <w:bookmarkStart w:id="43" w:name="ksadeaex4_1"/>
      <w:bookmarkEnd w:id="42"/>
      <w:bookmarkEnd w:id="43"/>
      <w:r>
        <w:rPr>
          <w:rFonts w:ascii="Times New Roman" w:hAnsi="Times New Roman"/>
          <w:b/>
          <w:color w:val="000000"/>
          <w:sz w:val="20"/>
        </w:rPr>
        <w:t>Exhibit 4.1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DESCRIPTION OF CAPITAL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of the material terms of the common stock and preferred stock of Adeia Inc. (the “Company”) is not complete and is qualified in its entirety by reference to the Company’s amended and restated certificate of incorporation and amended and restated bylaws, which are attached as Exhibits 3.1 and 3.3, respectively, to this Annual Report on Form 10-K of which this exhibit is a part and are incorporated herein by reference.</w:t>
      </w:r>
    </w:p>
    <w:p>
      <w:pPr>
        <w:pStyle w:val="TextBody"/>
        <w:bidi w:val="0"/>
        <w:spacing w:before="360" w:after="283"/>
        <w:jc w:val="left"/>
        <w:rPr>
          <w:rFonts w:ascii="Times New Roman" w:hAnsi="Times New Roman"/>
          <w:b/>
          <w:color w:val="000000"/>
          <w:sz w:val="20"/>
        </w:rPr>
      </w:pPr>
      <w:bookmarkStart w:id="44" w:name="rom876220_120"/>
      <w:bookmarkEnd w:id="44"/>
      <w:r>
        <w:rPr>
          <w:rFonts w:ascii="Times New Roman" w:hAnsi="Times New Roman"/>
          <w:b/>
          <w:color w:val="000000"/>
          <w:sz w:val="20"/>
        </w:rPr>
        <w:t>Authorized Capital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capital stock which the Company shall have authority to issue is 365,000,000 shares. This authorized capital stock consists of 350,000,000 shares of common stock and 15,000,000 shares of preferred stock, each having a par value of $0.001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109,052,507 shares of common stock outstanding as of February 6, 2026.</w:t>
      </w:r>
    </w:p>
    <w:p>
      <w:pPr>
        <w:pStyle w:val="TextBody"/>
        <w:bidi w:val="0"/>
        <w:spacing w:before="360" w:after="283"/>
        <w:jc w:val="left"/>
        <w:rPr>
          <w:rFonts w:ascii="Times New Roman" w:hAnsi="Times New Roman"/>
          <w:b/>
          <w:color w:val="000000"/>
          <w:sz w:val="20"/>
        </w:rPr>
      </w:pPr>
      <w:bookmarkStart w:id="45" w:name="rom876220_121"/>
      <w:bookmarkEnd w:id="45"/>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holder of a share of common stock of the Company will be entitled to one vote for each share, and the common stock will have the exclusive right to vote for the election of directors and for all other purposes (subject to the express terms of the preferred stock). Stockholders of the Company will have no preemptive rights and no rights to convert their common stock into any other securities. There will also be no redemption or sinking fund provisions applicable to the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of the Company will be entitled to receive dividends as may be declared from time to time by the Company’s board out of funds legally available therefor. The stockholders are entitled to share pro rata, upon any liquidation or dissolution of the Company, in all remaining assets available for distribution to stockholders after payment or providing for the Company’s liabilities and the liquidation preference of any outstanding preferred stock. The rights, preferences and privileges of the stockholders are subject to and may be adversely affected by the rights of holders of any series of preferred stock that the Company may designate and issue at the effective time and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common stock will be subject to certain transfer restrictions intended to preserve tax attributes of the Company pursuant to Section 382 of the Code. Such restrictions will apply to future transfers made by 4.91% stockholders, transferees who are 4.91% stockholders, transferees who are related to a 4.91% stockholder, transferees acting in coordination with a 4.91% stockholder, or transfers that would result in a stockholder becoming a 4.91% stockholder in order to avoid potential limitation on such tax attributes pursuant to Section 382 of the Code. Such restrictions will expire on the earlier of (i) the repeal of Section 382 or any successor statute if the board of directors determines that such restrictions are no longer necessary or desirable for the preservation of certain tax benefits, (ii) the beginning of a taxable year to which the board of directors determines that no tax benefits may be carried forward, (iii) the date that is three years and one day following the close of the merger or (iv) such other date as the board of directors shall fix in accordance with the Company’s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common stock is listed on the Nasdaq Global Select Market under the symbol “ADEA.”</w:t>
      </w:r>
    </w:p>
    <w:p>
      <w:pPr>
        <w:pStyle w:val="TextBody"/>
        <w:bidi w:val="0"/>
        <w:spacing w:before="360" w:after="283"/>
        <w:jc w:val="left"/>
        <w:rPr>
          <w:rFonts w:ascii="Times New Roman" w:hAnsi="Times New Roman"/>
          <w:b/>
          <w:color w:val="000000"/>
          <w:sz w:val="20"/>
        </w:rPr>
      </w:pPr>
      <w:bookmarkStart w:id="46" w:name="rom876220_122"/>
      <w:bookmarkEnd w:id="46"/>
      <w:r>
        <w:rPr>
          <w:rFonts w:ascii="Times New Roman" w:hAnsi="Times New Roman"/>
          <w:b/>
          <w:color w:val="000000"/>
          <w:sz w:val="20"/>
        </w:rPr>
        <w:t>Additional Classes or Series of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certificate of incorporation will permit the Company’s board, without further action by the stockholders, to issue up to 15,000,000 shares of preferred stock in one or more series of preferred stock with such designations, powers, preferences, special rights, qualifications, limitations and restrictions as the board may determine from time to time. Accordingly, without action by the stockholders, the board may designate and authorize the issuance of additional classes or series of preferred stock having voting rights, dividend rights, conversion rights, redemption provisions (including sinking fund provisions) and rights in liquidation, dissolution or winding up that are superior to those of common stock.</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47" w:name="rom876220_123"/>
      <w:bookmarkEnd w:id="47"/>
      <w:r>
        <w:rPr>
          <w:rFonts w:ascii="Times New Roman" w:hAnsi="Times New Roman"/>
          <w:b/>
          <w:color w:val="000000"/>
          <w:sz w:val="20"/>
        </w:rPr>
        <w:t>Certificate of Incorporation and Bylaw Provisions; Takeover Statutes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provisions in the Company’s certificate of incorporation, bylaws and the General Corporation Law of the State of Delaware (the “DGCL”) may make it more difficult to acquire control of the Company or remove its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Structure of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will be elected annually. The Company’s bylaws provides that each director of the Company will hold office for a term expiring at the next succeeding annual meeting of stockholders and until such director’s successor is duly elected and qualified. The Company’s board, in accordance with the bylaws, shall consist of not less than five (5) and not more than nine (9) directors as fixed from time to time by resolution of a majority of the total number of directors on the board. The board currently consists of five (5) directors. Furthermore, subject to the rights of holders of any class or series of preferred stock to elect directors, any vacancies on the board caused by death, removal or resignation of any director or any other cause, and any newly created directorships resulting from an increase in the authorized number of directors, will be permitted to be filled only by a majority vote of the directors then in office, even if less than a quorum, or by a sole remaining director, and shall not be filled by stockholders. This provision could prevent a stockholder from obtaining majority representation on the Company’s board by allowing the board to enlarge the board and fill the new directorships with the board’s own nominees.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 of the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merger agreement between Xperi Corporation and TiVo (the “Merger Agreement”) and the Company’s bylaws, the Company’s board of directors established a nominating and corporate governance committee whose principal duties are to assist the board of directors by identifying individuals qualified to become members of the board of directors consistent with criteria approved by the board of directors, to recommend to the board of directors for its approval the slate of nominees to be proposed by the board of directors to the stockholders for election to the board of directors, to develop and recommend to the board of directors the governance principles applicable to the corporation, as well as such other duties and responsibilities delegated to it by the board of directors and specified for it under applicable law and the rules and requirements of Nasdaq.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Removal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DGCL and subject to the rights of the holders of any class or series of preferred stock, the entire board or any individual director may be removed at any time, with or without cause, only by the affirmative vote of the holders of a majority of the voting power of all of the shares of capital stock of the Company then entitled to vote generally in the election of directors, voting as a single class.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Advance Notice of Proposals and Nominations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bylaws provide that stockholders must give timely written notice to bring business before an annual meeting of stockholders or to nominate candidates for election as directors at an annual meeting of stockholders. Generally, to be timely, a stockholder’s notice will be required to be delivered to the principal executive offices of the Company not later than the 90th day nor earlier than the 120th day prior to the one (1)-year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The Company’s bylaws also specify the form and content of a stockholder’s notice. These provisions may prevent stockholders from bringing matters before an annual meeting of stockholders or from nominating candidates for election as directors at an annual meeting of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Limits on Special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bylaws and certificate of incorporation provide that special meetings of stockholders may be called at any time by the board of directors, or by a majority of the members of the board of directors, or by a committee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which has been duly designated by the board of directors and whose powers and authority, as provided in a resolution of the board of directors or in these bylaws, include the power to call such meetings, but such special meetings may not be called by any other person or persons.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Amendment of the Company’s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will be authorized to amend, alter, change, adopt and repeal the Company’s bylaws by a majority vote. Company stockholders also will have the power to amend, alter, change, adopt and repeal the Company’s bylaws by the affirmative vote of the holders of not less than 66 2/3% of the shares then entitled to vote at an election of directors, voting as a single class.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Please see “Additional Classes or Series of Preferred Stock” above. The Company’s ability to issue an indeterminate number of shares of the authorized shares of preferred stock with such rights, privileges and preferences as the Company’s board may fix may have the effect of delaying or preventing a takeover or other change of control of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Takeover Statutes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(3)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 meeting of stockholders by the affirmative vote of at least 66 2/3% of the outstanding voting stock not owned by the interested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expect to opt out of the protections of Section 203 of the DGCL. As a result, the statute will apply to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Exclusive Forum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duty (including any fiduciary duty) owed by any current or former director, officer, stockholder, employee or agent of the Company to the Company or Company stockholders, (iii) any action asserting a claim against the Company or any current or former director, officer, stockholder, employee or agent of the Company arising out of or relating to any provision of the DGCL, the Company’s certificate of incorporation or bylaws (each, as in effect from time to time), or (iv) any action asserting a claim against the Company or any current or former director, officer, stockholder, employee or agent of the Company governed by the internal affairs doctrine of the State of Delaware. The Company’s certificate of incorporation also provides that unless the Company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exclusive forum provision does not apply to claims brought under the Exchange Act.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48" w:name="adea-ex21_1.htm"/>
      <w:bookmarkStart w:id="49" w:name="ksadeaex21_1"/>
      <w:bookmarkEnd w:id="48"/>
      <w:bookmarkEnd w:id="49"/>
      <w:r>
        <w:rPr>
          <w:rFonts w:ascii="Times New Roman" w:hAnsi="Times New Roman"/>
          <w:b/>
          <w:color w:val="000000"/>
          <w:sz w:val="20"/>
        </w:rPr>
        <w:t>Exhibit 21.1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jc w:val="left"/>
        <w:rPr/>
      </w:pPr>
      <w:r>
        <w:rPr/>
        <w:t> </w:t>
      </w:r>
    </w:p>
    <w:tbl>
      <w:tblPr>
        <w:tblW w:w="9632" w:type="dxa"/>
        <w:jc w:val="left"/>
        <w:tblInd w:w="0" w:type="dxa"/>
        <w:tblLayout w:type="fixed"/>
        <w:tblCellMar>
          <w:top w:w="28" w:type="dxa"/>
          <w:left w:w="28" w:type="dxa"/>
          <w:bottom w:w="28" w:type="dxa"/>
          <w:right w:w="28" w:type="dxa"/>
        </w:tblCellMar>
      </w:tblPr>
      <w:tblGrid>
        <w:gridCol w:w="4291"/>
        <w:gridCol w:w="5341"/>
      </w:tblGrid>
      <w:tr>
        <w:trPr/>
        <w:tc>
          <w:tcPr>
            <w:tcW w:w="4291"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SUBSIDIARY NAME</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OF INCORPORATION OR OTHER JURISDICTION</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Adeia Media Holdings Inc.</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Imaging LLC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Holdings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Media LLC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Media Solutions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Technologies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Guides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Solutions LLC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Emerging Technologies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Europe Limited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Adeia Korea Co., Ltd.</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Semiconductor Bonding Technologies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Semiconductor Advanced Technologies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Semiconductor Solutions LLC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Semiconductor Inc.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Semiconductor Intellectual Property LLC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2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Adeia Semiconductor Technologies LLC </w:t>
            </w:r>
          </w:p>
        </w:tc>
        <w:tc>
          <w:tcPr>
            <w:tcW w:w="5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names of other subsidiaries are omitted. Such subsidiaries would not, if considered in the aggregate as a single subsidiary, constitute a significant subsidiary within the meaning of Item 601(b)(21)(ii) of Regulation S-K.</w:t>
      </w:r>
    </w:p>
    <w:p>
      <w:pPr>
        <w:pStyle w:val="HorizontalLine"/>
        <w:pBdr>
          <w:bottom w:val="double" w:sz="2" w:space="0" w:color="808080"/>
        </w:pBdr>
        <w:bidi w:val="0"/>
        <w:spacing w:before="0" w:after="283"/>
        <w:jc w:val="left"/>
        <w:rPr/>
      </w:pPr>
      <w:r>
        <w:rPr/>
      </w:r>
    </w:p>
    <w:p>
      <w:pPr>
        <w:pStyle w:val="TextBody"/>
        <w:bidi w:val="0"/>
        <w:jc w:val="left"/>
        <w:rPr/>
      </w:pPr>
      <w:bookmarkStart w:id="50" w:name="adea-ex23_1.htm"/>
      <w:bookmarkStart w:id="51" w:name="ksadeaex23_1"/>
      <w:bookmarkEnd w:id="50"/>
      <w:bookmarkEnd w:id="51"/>
      <w:r>
        <w:rPr/>
        <w:t> </w:t>
      </w:r>
      <w:r>
        <w:br w:type="page"/>
      </w:r>
    </w:p>
    <w:p>
      <w:pPr>
        <w:pStyle w:val="TextBody"/>
        <w:bidi w:val="0"/>
        <w:spacing w:before="0" w:after="48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(Nos. 333-279270, 333-264591 and 333-238846) of Adeia Inc. of our report dated February 26, 2026 relating to the financial statements, financial statement schedule and the effectiveness of internal control over financial reporting, which appears in this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jc w:val="left"/>
        <w:rPr/>
      </w:pPr>
      <w:r>
        <w:rPr/>
        <w:t> </w:t>
      </w:r>
    </w:p>
    <w:p>
      <w:pPr>
        <w:pStyle w:val="TextBody"/>
        <w:bidi w:val="0"/>
        <w:jc w:val="left"/>
        <w:rPr/>
      </w:pPr>
      <w:r>
        <w:rPr/>
        <w:t> </w:t>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pPr>
      <w:bookmarkStart w:id="52" w:name="adea-ex31_1.htm"/>
      <w:bookmarkStart w:id="53" w:name="ksadeaex31_1"/>
      <w:bookmarkEnd w:id="52"/>
      <w:bookmarkEnd w:id="53"/>
      <w:r>
        <w:rPr/>
        <w:t> </w:t>
      </w:r>
      <w:r>
        <w:br w:type="page"/>
      </w:r>
    </w:p>
    <w:p>
      <w:pPr>
        <w:pStyle w:val="TextBody"/>
        <w:bidi w:val="0"/>
        <w:jc w:val="right"/>
        <w:rPr>
          <w:rFonts w:ascii="Times New Roman" w:hAnsi="Times New Roman"/>
          <w:b/>
          <w:color w:val="000000"/>
          <w:sz w:val="20"/>
        </w:rPr>
      </w:pPr>
      <w:bookmarkStart w:id="54" w:name="section_1"/>
      <w:bookmarkEnd w:id="54"/>
      <w:r>
        <w:rPr>
          <w:rFonts w:ascii="Times New Roman" w:hAnsi="Times New Roman"/>
          <w:b/>
          <w:color w:val="000000"/>
          <w:sz w:val="20"/>
        </w:rPr>
        <w:t>Exhibit 31.1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Paul E. Davis,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annual report on Form 10-K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spacing w:before="0" w:after="140"/>
        <w:jc w:val="left"/>
        <w:rPr/>
      </w:pPr>
      <w:r>
        <w:rPr/>
        <w:t> </w:t>
      </w:r>
    </w:p>
    <w:tbl>
      <w:tblPr>
        <w:tblW w:w="5443" w:type="dxa"/>
        <w:jc w:val="left"/>
        <w:tblInd w:w="0" w:type="dxa"/>
        <w:tblLayout w:type="fixed"/>
        <w:tblCellMar>
          <w:top w:w="28" w:type="dxa"/>
          <w:left w:w="28" w:type="dxa"/>
          <w:bottom w:w="28" w:type="dxa"/>
          <w:right w:w="28" w:type="dxa"/>
        </w:tblCellMar>
      </w:tblPr>
      <w:tblGrid>
        <w:gridCol w:w="2086"/>
        <w:gridCol w:w="14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21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Paul E. Davis</w:t>
            </w:r>
          </w:p>
        </w:tc>
      </w:tr>
      <w:tr>
        <w:trPr/>
        <w:tc>
          <w:tcPr>
            <w:tcW w:w="208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Paul E. Davis</w:t>
            </w:r>
          </w:p>
        </w:tc>
      </w:tr>
      <w:tr>
        <w:trPr/>
        <w:tc>
          <w:tcPr>
            <w:tcW w:w="208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pPr>
      <w:bookmarkStart w:id="55" w:name="adea-ex31_2.htm"/>
      <w:bookmarkStart w:id="56" w:name="ksadeaex31_2"/>
      <w:bookmarkEnd w:id="55"/>
      <w:bookmarkEnd w:id="56"/>
      <w:r>
        <w:rPr/>
        <w:t> </w:t>
      </w:r>
      <w:r>
        <w:br w:type="page"/>
      </w:r>
    </w:p>
    <w:p>
      <w:pPr>
        <w:pStyle w:val="TextBody"/>
        <w:bidi w:val="0"/>
        <w:jc w:val="right"/>
        <w:rPr>
          <w:rFonts w:ascii="Times New Roman" w:hAnsi="Times New Roman"/>
          <w:b/>
          <w:color w:val="000000"/>
          <w:sz w:val="20"/>
        </w:rPr>
      </w:pPr>
      <w:bookmarkStart w:id="57" w:name="section_11"/>
      <w:bookmarkEnd w:id="57"/>
      <w:r>
        <w:rPr>
          <w:rFonts w:ascii="Times New Roman" w:hAnsi="Times New Roman"/>
          <w:b/>
          <w:color w:val="000000"/>
          <w:sz w:val="20"/>
        </w:rPr>
        <w:t>Exhibit 31.2</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Keith A. Jones,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annual report on Form 10-K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spacing w:before="0" w:after="140"/>
        <w:jc w:val="left"/>
        <w:rPr/>
      </w:pPr>
      <w:r>
        <w:rPr/>
        <w:t> </w:t>
      </w:r>
    </w:p>
    <w:tbl>
      <w:tblPr>
        <w:tblW w:w="4304" w:type="dxa"/>
        <w:jc w:val="left"/>
        <w:tblInd w:w="0" w:type="dxa"/>
        <w:tblLayout w:type="fixed"/>
        <w:tblCellMar>
          <w:top w:w="28" w:type="dxa"/>
          <w:left w:w="28" w:type="dxa"/>
          <w:bottom w:w="28" w:type="dxa"/>
          <w:right w:w="28" w:type="dxa"/>
        </w:tblCellMar>
      </w:tblPr>
      <w:tblGrid>
        <w:gridCol w:w="556"/>
        <w:gridCol w:w="1591"/>
        <w:gridCol w:w="14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4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February 26, 2026</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 Keith A. Jones</w:t>
            </w:r>
          </w:p>
        </w:tc>
      </w:tr>
      <w:tr>
        <w:trPr/>
        <w:tc>
          <w:tcPr>
            <w:tcW w:w="556" w:type="dxa"/>
            <w:tcBorders/>
            <w:tcMar>
              <w:top w:w="0" w:type="dxa"/>
              <w:left w:w="0" w:type="dxa"/>
              <w:bottom w:w="0" w:type="dxa"/>
              <w:right w:w="0" w:type="dxa"/>
            </w:tcMar>
            <w:vAlign w:val="center"/>
          </w:tcPr>
          <w:p>
            <w:pPr>
              <w:pStyle w:val="TableContents"/>
              <w:bidi w:val="0"/>
              <w:spacing w:before="4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Keith A. Jones</w:t>
            </w:r>
          </w:p>
        </w:tc>
      </w:tr>
      <w:tr>
        <w:trPr/>
        <w:tc>
          <w:tcPr>
            <w:tcW w:w="556" w:type="dxa"/>
            <w:tcBorders/>
            <w:tcMar>
              <w:top w:w="0" w:type="dxa"/>
              <w:left w:w="0" w:type="dxa"/>
              <w:bottom w:w="0" w:type="dxa"/>
              <w:right w:w="0" w:type="dxa"/>
            </w:tcMar>
            <w:vAlign w:val="center"/>
          </w:tcPr>
          <w:p>
            <w:pPr>
              <w:pStyle w:val="TableContents"/>
              <w:bidi w:val="0"/>
              <w:spacing w:before="4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6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adea-ex32_1.htm"/>
      <w:bookmarkStart w:id="59" w:name="ksadeaex32_1"/>
      <w:bookmarkEnd w:id="58"/>
      <w:bookmarkEnd w:id="59"/>
      <w:r>
        <w:rPr/>
        <w:t> </w:t>
      </w:r>
      <w:r>
        <w:br w:type="page"/>
      </w:r>
    </w:p>
    <w:p>
      <w:pPr>
        <w:pStyle w:val="TextBody"/>
        <w:bidi w:val="0"/>
        <w:jc w:val="right"/>
        <w:rPr>
          <w:rFonts w:ascii="Times New Roman" w:hAnsi="Times New Roman"/>
          <w:b/>
          <w:color w:val="000000"/>
          <w:sz w:val="20"/>
        </w:rPr>
      </w:pPr>
      <w:bookmarkStart w:id="60" w:name="section_12"/>
      <w:bookmarkEnd w:id="60"/>
      <w:r>
        <w:rPr>
          <w:rFonts w:ascii="Times New Roman" w:hAnsi="Times New Roman"/>
          <w:b/>
          <w:color w:val="000000"/>
          <w:sz w:val="20"/>
        </w:rPr>
        <w:t>Exhibit 32.1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Annual Report of Adeia Inc., a Delaware corporation (the “Company”), on Form 10-K for the year ended December 31, 2025 as filed with the Securities and Exchange Commission (the “Report”), I, Paul E. Davis, Chief Executive Officer and President, certify, pursuant to Rule 13a-14(b) of the Securities Exchange Act of 1934, as amended,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322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Paul E. Davis</w:t>
            </w:r>
          </w:p>
        </w:tc>
      </w:tr>
      <w:tr>
        <w:trPr/>
        <w:tc>
          <w:tcPr>
            <w:tcW w:w="322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Paul E. Davis</w:t>
            </w:r>
          </w:p>
        </w:tc>
      </w:tr>
      <w:tr>
        <w:trPr/>
        <w:tc>
          <w:tcPr>
            <w:tcW w:w="32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322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February 26, 2026</w:t>
            </w:r>
          </w:p>
        </w:tc>
      </w:tr>
    </w:tbl>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Annual Report of Adeia Inc., a Delaware corporation (the “Company”), on Form 10-K for the year ended December 31, 2025 as filed with the Securities and Exchange Commission (the “Report”), I, Keith A. Jones, Chief Financial Officer of the Company, certify, pursuant to Rule 13a-14(b) of the Securities Exchange Act of 1934, as amended,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2026" w:type="dxa"/>
            <w:tcBorders>
              <w:bottom w:val="single" w:sz="8"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 Keith A. Jones</w:t>
            </w:r>
          </w:p>
        </w:tc>
      </w:tr>
      <w:tr>
        <w:trPr/>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Keith A. Jones</w:t>
            </w:r>
          </w:p>
        </w:tc>
      </w:tr>
      <w:tr>
        <w:trPr/>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2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February 26, 2026</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 signed original of this written statement required by Rule 13a-14(b) of the Securities Exchange Act of 1934, as amended, and 18 U.S.C. § 1350 has been provided to the Registrant and will be retained by the Registrant and furnished to the Securities and Exchange Commission or its staff upon request.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480"/>
        <w:jc w:val="right"/>
        <w:rPr>
          <w:rFonts w:ascii="Times New Roman" w:hAnsi="Times New Roman"/>
          <w:b/>
          <w:color w:val="000000"/>
          <w:sz w:val="20"/>
        </w:rPr>
      </w:pPr>
      <w:bookmarkStart w:id="61" w:name="adea-ex97_1.htm"/>
      <w:bookmarkStart w:id="62" w:name="ksadeaex97_1"/>
      <w:bookmarkEnd w:id="61"/>
      <w:bookmarkEnd w:id="62"/>
      <w:r>
        <w:rPr>
          <w:rFonts w:ascii="Times New Roman" w:hAnsi="Times New Roman"/>
          <w:b/>
          <w:color w:val="000000"/>
          <w:sz w:val="20"/>
        </w:rPr>
        <w:t>Exhibit 97.1</w:t>
      </w:r>
      <w:r>
        <w:br w:type="page"/>
      </w:r>
    </w:p>
    <w:p>
      <w:pPr>
        <w:pStyle w:val="TextBody"/>
        <w:bidi w:val="0"/>
        <w:jc w:val="center"/>
        <w:rPr>
          <w:rFonts w:ascii="Times New Roman" w:hAnsi="Times New Roman"/>
          <w:sz w:val="20"/>
        </w:rPr>
      </w:pPr>
      <w:r>
        <w:rPr>
          <w:rFonts w:ascii="Times New Roman" w:hAnsi="Times New Roman"/>
          <w:b/>
          <w:color w:val="000000"/>
          <w:sz w:val="20"/>
        </w:rPr>
        <w:t>Amended &amp; Restated Executive Compensation Clawback Policy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COMPENSATION RECOVERY POLICY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AS OF OCTOBER 24, 2023</w:t>
      </w:r>
    </w:p>
    <w:p>
      <w:pPr>
        <w:pStyle w:val="TextBody"/>
        <w:bidi w:val="0"/>
        <w:spacing w:before="240" w:after="283"/>
        <w:jc w:val="left"/>
        <w:rPr>
          <w:rFonts w:ascii="Times New Roman" w:hAnsi="Times New Roman"/>
          <w:sz w:val="20"/>
        </w:rPr>
      </w:pPr>
      <w:r>
        <w:rPr>
          <w:rFonts w:ascii="Times New Roman" w:hAnsi="Times New Roman"/>
          <w:b/>
          <w:color w:val="000000"/>
          <w:sz w:val="24"/>
        </w:rPr>
        <w:t>I. PURPOSE</w:t>
      </w:r>
      <w:r>
        <w:rPr>
          <w:rFonts w:ascii="Times New Roman" w:hAnsi="Times New Roman"/>
          <w:color w:val="000000"/>
          <w:sz w:val="24"/>
        </w:rPr>
        <w:t>. This Amended and Restated Compensation Recovery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of Adeia Inc. (“</w:t>
      </w:r>
      <w:r>
        <w:rPr>
          <w:rFonts w:ascii="Times New Roman" w:hAnsi="Times New Roman"/>
          <w:color w:val="000000"/>
          <w:sz w:val="24"/>
          <w:u w:val="single"/>
        </w:rPr>
        <w:t>Adeia</w:t>
      </w:r>
      <w:r>
        <w:rPr>
          <w:rFonts w:ascii="Times New Roman" w:hAnsi="Times New Roman"/>
          <w:color w:val="000000"/>
          <w:sz w:val="20"/>
        </w:rPr>
        <w:t>”</w:t>
      </w:r>
      <w:r>
        <w:rPr>
          <w:rFonts w:ascii="Times New Roman" w:hAnsi="Times New Roman"/>
          <w:color w:val="000000"/>
          <w:sz w:val="24"/>
        </w:rPr>
        <w:t>) and its subsidiaries (together with Adeia,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is intended to provide for the recovery of Incentive-Based Compensation in the event of a Recoverable Event (each, as defined below). This Policy, as amended and restated, is intended to comply with, and will be interpreted to be consistent with, the requirements of the Nasdaq Stock Market (“</w:t>
      </w:r>
      <w:r>
        <w:rPr>
          <w:rFonts w:ascii="Times New Roman" w:hAnsi="Times New Roman"/>
          <w:color w:val="000000"/>
          <w:sz w:val="24"/>
          <w:u w:val="single"/>
        </w:rPr>
        <w:t>Nasdaq</w:t>
      </w:r>
      <w:r>
        <w:rPr>
          <w:rFonts w:ascii="Times New Roman" w:hAnsi="Times New Roman"/>
          <w:color w:val="000000"/>
          <w:sz w:val="20"/>
        </w:rPr>
        <w:t>”</w:t>
      </w:r>
      <w:r>
        <w:rPr>
          <w:rFonts w:ascii="Times New Roman" w:hAnsi="Times New Roman"/>
          <w:color w:val="000000"/>
          <w:sz w:val="24"/>
        </w:rPr>
        <w:t>) Listing Rule 5608 and shall apply to Incentive-Based Compensation “received” on or after October 2, 2023, notwithstanding anything herein to the contrary.</w:t>
      </w:r>
      <w:r>
        <w:rPr>
          <w:rFonts w:ascii="Times New Roman" w:hAnsi="Times New Roman"/>
          <w:color w:val="000000"/>
          <w:sz w:val="20"/>
        </w:rPr>
        <w:t xml:space="preserve"> </w:t>
      </w:r>
      <w:r>
        <w:rPr>
          <w:rFonts w:ascii="Times New Roman" w:hAnsi="Times New Roman"/>
          <w:color w:val="000000"/>
          <w:sz w:val="24"/>
        </w:rPr>
        <w:t>For purposes of this Policy, Incentive-Based Compensation shall be deemed “received” in Adeia’s fiscal period during which the Financial Reporting Measure (as defined below) specified in the Incentive-Based Compensation award is attained, even if the payment or grant of the Incentive-Based Compensation occurs after the end of that period.</w:t>
      </w:r>
    </w:p>
    <w:p>
      <w:pPr>
        <w:pStyle w:val="TextBody"/>
        <w:bidi w:val="0"/>
        <w:spacing w:before="240" w:after="283"/>
        <w:jc w:val="left"/>
        <w:rPr>
          <w:rFonts w:ascii="Times New Roman" w:hAnsi="Times New Roman"/>
          <w:sz w:val="20"/>
        </w:rPr>
      </w:pPr>
      <w:r>
        <w:rPr>
          <w:rFonts w:ascii="Times New Roman" w:hAnsi="Times New Roman"/>
          <w:b/>
          <w:color w:val="000000"/>
          <w:sz w:val="24"/>
        </w:rPr>
        <w:t>II. APPLICABILITY</w:t>
      </w:r>
      <w:r>
        <w:rPr>
          <w:rFonts w:ascii="Times New Roman" w:hAnsi="Times New Roman"/>
          <w:color w:val="000000"/>
          <w:sz w:val="24"/>
        </w:rPr>
        <w:t>. This Policy applies to Incentive-Based Compensation received by a person: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after beginning service as an Executive Officer (as defined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who served as an Executive Officer at any time during the performance period for that Incentive-Based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while the Corporation has a class of securities listed on a national securities exchange,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during the three completed fiscal years immediately preceding the date that the Corporation is required to prepare a Restatement (as defined below) (the “Recovery Period”).</w:t>
      </w:r>
    </w:p>
    <w:p>
      <w:pPr>
        <w:pStyle w:val="TextBody"/>
        <w:bidi w:val="0"/>
        <w:spacing w:before="240" w:after="283"/>
        <w:jc w:val="left"/>
        <w:rPr>
          <w:rFonts w:ascii="Times New Roman" w:hAnsi="Times New Roman"/>
          <w:sz w:val="20"/>
        </w:rPr>
      </w:pPr>
      <w:r>
        <w:rPr>
          <w:rFonts w:ascii="Times New Roman" w:hAnsi="Times New Roman"/>
          <w:color w:val="000000"/>
          <w:sz w:val="24"/>
        </w:rPr>
        <w:t>This Policy also applies to Incentive-Based Compensation received during the Recovery Period by such other key employees of the Corporation who may from time to time be determined to be deemed subject to this Policy by the Administrator (as defined below) (together with the Executive Officers, the “</w:t>
      </w:r>
      <w:r>
        <w:rPr>
          <w:rFonts w:ascii="Times New Roman" w:hAnsi="Times New Roman"/>
          <w:color w:val="000000"/>
          <w:sz w:val="24"/>
          <w:u w:val="single"/>
        </w:rPr>
        <w:t>Covered Employees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For purposes of this Policy, “</w:t>
      </w:r>
      <w:r>
        <w:rPr>
          <w:rFonts w:ascii="Times New Roman" w:hAnsi="Times New Roman"/>
          <w:color w:val="000000"/>
          <w:sz w:val="24"/>
          <w:u w:val="single"/>
        </w:rPr>
        <w:t>Executive Officer</w:t>
      </w:r>
      <w:r>
        <w:rPr>
          <w:rFonts w:ascii="Times New Roman" w:hAnsi="Times New Roman"/>
          <w:color w:val="000000"/>
          <w:sz w:val="20"/>
        </w:rPr>
        <w:t xml:space="preserve">” </w:t>
      </w:r>
      <w:r>
        <w:rPr>
          <w:rFonts w:ascii="Times New Roman" w:hAnsi="Times New Roman"/>
          <w:color w:val="000000"/>
          <w:sz w:val="24"/>
        </w:rPr>
        <w:t>shall mean</w:t>
      </w:r>
      <w:r>
        <w:rPr>
          <w:rFonts w:ascii="Times New Roman" w:hAnsi="Times New Roman"/>
          <w:color w:val="000000"/>
          <w:sz w:val="20"/>
        </w:rPr>
        <w:t xml:space="preserve"> </w:t>
      </w:r>
      <w:r>
        <w:rPr>
          <w:rFonts w:ascii="Times New Roman" w:hAnsi="Times New Roman"/>
          <w:color w:val="000000"/>
          <w:sz w:val="24"/>
        </w:rPr>
        <w:t>Adeia’s president, principal financial officer, principal accounting officer (or if there is no such accounting officer, the controller), any vice-president of the Adeia in charge of a principal business unit, division, or function (such as sales, administration, or finance), any other officer who performs a policy-making function, or any other person who performs similar policymaking functions for Adeia. Executive officers of Adeia’s subsidiaries, as applicable, are deemed Executive Officers of Adeia if they perform such policy making functions for Adeia. Policy-making function is not intended to include policymaking functions that are not significant. Identification of an Executive Officer for purposes of this Policy will include at a minimum executive officers identified pursuant to 17 CFR 229.401(b).</w:t>
      </w:r>
    </w:p>
    <w:p>
      <w:pPr>
        <w:pStyle w:val="TextBody"/>
        <w:bidi w:val="0"/>
        <w:spacing w:before="240" w:after="283"/>
        <w:jc w:val="left"/>
        <w:rPr>
          <w:rFonts w:ascii="Times New Roman" w:hAnsi="Times New Roman"/>
          <w:sz w:val="20"/>
        </w:rPr>
      </w:pPr>
      <w:r>
        <w:rPr>
          <w:rFonts w:ascii="Times New Roman" w:hAnsi="Times New Roman"/>
          <w:color w:val="000000"/>
          <w:sz w:val="24"/>
        </w:rPr>
        <w:t>In addition to the Recovery Period, this Policy applies to any transition period (that results from a change in Adeia’s fiscal year) within or immediately following the Recovery Period (a “</w:t>
      </w:r>
      <w:r>
        <w:rPr>
          <w:rFonts w:ascii="Times New Roman" w:hAnsi="Times New Roman"/>
          <w:color w:val="000000"/>
          <w:sz w:val="24"/>
          <w:u w:val="single"/>
        </w:rPr>
        <w:t>Transition Period</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Transition Period between the last day of Adeia’s previous fiscal year end and the first day of Adeia’s new fiscal year that comprises a period of nine to 12 months will be deemed a completed fiscal year. For purposes of determining the relevant Recovery Period, the date that the Corporation is required to prepare the Restatement is the earlier to occur of:</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date the board of directors of Adeia (the “Board”), a committee of the Board, or the officer or officers of the Corporation authorized to take such action if Board action is not required, concludes, or reasonably should have concluded, that the Corporation is required to prepare a Restatement,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date a court, regulator, or other legally authorized body directs the Corporation to prepare a Restatement.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clarity, the Corporation’s obligation to recover erroneously awarded Incentive-Based Compensation under this Policy is not dependent on if or when a Restatement is filed.</w:t>
      </w:r>
    </w:p>
    <w:p>
      <w:pPr>
        <w:pStyle w:val="TextBody"/>
        <w:bidi w:val="0"/>
        <w:spacing w:before="240" w:after="283"/>
        <w:jc w:val="left"/>
        <w:rPr>
          <w:rFonts w:ascii="Times New Roman" w:hAnsi="Times New Roman"/>
          <w:sz w:val="20"/>
        </w:rPr>
      </w:pPr>
      <w:r>
        <w:rPr>
          <w:rFonts w:ascii="Times New Roman" w:hAnsi="Times New Roman"/>
          <w:b/>
          <w:color w:val="000000"/>
          <w:sz w:val="24"/>
        </w:rPr>
        <w:t>III. ADMINISTRATION.</w:t>
      </w:r>
      <w:r>
        <w:rPr>
          <w:rFonts w:ascii="Times New Roman" w:hAnsi="Times New Roman"/>
          <w:color w:val="000000"/>
          <w:sz w:val="20"/>
        </w:rPr>
        <w:t xml:space="preserve"> </w:t>
      </w:r>
      <w:r>
        <w:rPr>
          <w:rFonts w:ascii="Times New Roman" w:hAnsi="Times New Roman"/>
          <w:color w:val="000000"/>
          <w:sz w:val="24"/>
        </w:rPr>
        <w:t>This Policy will be administered by the Compensation Committee of the Board (the “</w:t>
      </w:r>
      <w:r>
        <w:rPr>
          <w:rFonts w:ascii="Times New Roman" w:hAnsi="Times New Roman"/>
          <w:color w:val="000000"/>
          <w:sz w:val="24"/>
          <w:u w:val="single"/>
        </w:rPr>
        <w:t>Committee</w:t>
      </w:r>
      <w:r>
        <w:rPr>
          <w:rFonts w:ascii="Times New Roman" w:hAnsi="Times New Roman"/>
          <w:color w:val="000000"/>
          <w:sz w:val="20"/>
        </w:rPr>
        <w:t>”</w:t>
      </w:r>
      <w:r>
        <w:rPr>
          <w:rFonts w:ascii="Times New Roman" w:hAnsi="Times New Roman"/>
          <w:color w:val="000000"/>
          <w:sz w:val="24"/>
        </w:rPr>
        <w:t>) unless the Board determines to administer this Policy itself, except with respect to such matters otherwise required to be administered by the Committee (as noted herein) (the Committee or the Board, as applicable, in its role administering this Policy is the “</w:t>
      </w:r>
      <w:r>
        <w:rPr>
          <w:rFonts w:ascii="Times New Roman" w:hAnsi="Times New Roman"/>
          <w:color w:val="000000"/>
          <w:sz w:val="24"/>
          <w:u w:val="single"/>
        </w:rPr>
        <w:t>Administrator</w:t>
      </w:r>
      <w:r>
        <w:rPr>
          <w:rFonts w:ascii="Times New Roman" w:hAnsi="Times New Roman"/>
          <w:color w:val="000000"/>
          <w:sz w:val="20"/>
        </w:rPr>
        <w:t>”</w:t>
      </w:r>
      <w:r>
        <w:rPr>
          <w:rFonts w:ascii="Times New Roman" w:hAnsi="Times New Roman"/>
          <w:color w:val="000000"/>
          <w:sz w:val="24"/>
        </w:rPr>
        <w:t>). All determinations and decisions made by the Administrator pursuant to the provisions of this Policy shall be final, conclusive and binding on all persons, including the Corporation, its affiliates, its stockholders and employees, and need not be uniform with respect to each individual covered by this Policy. The Administrator may amend this Policy from time to time and may terminate this Policy at any time, in each case in its sole discretion and subject to compliance with applicable laws, rules and regulations.</w:t>
      </w:r>
    </w:p>
    <w:p>
      <w:pPr>
        <w:pStyle w:val="TextBody"/>
        <w:bidi w:val="0"/>
        <w:spacing w:before="240" w:after="283"/>
        <w:jc w:val="left"/>
        <w:rPr>
          <w:rFonts w:ascii="Times New Roman" w:hAnsi="Times New Roman"/>
          <w:sz w:val="20"/>
        </w:rPr>
      </w:pPr>
      <w:r>
        <w:rPr>
          <w:rFonts w:ascii="Times New Roman" w:hAnsi="Times New Roman"/>
          <w:b/>
          <w:color w:val="000000"/>
          <w:sz w:val="24"/>
        </w:rPr>
        <w:t>IV. RECOVERABLE AMOUNTS AND FORFEITURE</w:t>
      </w:r>
      <w:r>
        <w:rPr>
          <w:rFonts w:ascii="Times New Roman" w:hAnsi="Times New Roman"/>
          <w:color w:val="000000"/>
          <w:sz w:val="24"/>
        </w:rPr>
        <w:t>. In the event of the Corporation being required to prepare an accounting restatement due to its material noncompliance with any financial reporting requirement under United States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hAnsi="Times New Roman"/>
          <w:color w:val="000000"/>
          <w:sz w:val="24"/>
          <w:u w:val="single"/>
        </w:rPr>
        <w:t>Restatement</w:t>
      </w:r>
      <w:r>
        <w:rPr>
          <w:rFonts w:ascii="Times New Roman" w:hAnsi="Times New Roman"/>
          <w:color w:val="000000"/>
          <w:sz w:val="24"/>
        </w:rPr>
        <w:t>,” and such event, a “</w:t>
      </w:r>
      <w:r>
        <w:rPr>
          <w:rFonts w:ascii="Times New Roman" w:hAnsi="Times New Roman"/>
          <w:color w:val="000000"/>
          <w:sz w:val="24"/>
          <w:u w:val="single"/>
        </w:rPr>
        <w:t>Recoverable Event</w:t>
      </w:r>
      <w:r>
        <w:rPr>
          <w:rFonts w:ascii="Times New Roman" w:hAnsi="Times New Roman"/>
          <w:color w:val="000000"/>
          <w:sz w:val="20"/>
        </w:rPr>
        <w:t>”</w:t>
      </w:r>
      <w:r>
        <w:rPr>
          <w:rFonts w:ascii="Times New Roman" w:hAnsi="Times New Roman"/>
          <w:color w:val="000000"/>
          <w:sz w:val="24"/>
        </w:rPr>
        <w:t>), the Administrator shall recover reasonably promptly the amount of erroneously awarded Incentive-Based Compensation, except to the extent provided under Section VI below. The amount of Incentive-Based Compensation subject to recovery under this Policy is the amount of Incentive-Based Compensation received that exceeds the amount of Incentive-Based Compensation that would have been received had the financial results been properly reported, without regard to any taxes paid (the “</w:t>
      </w:r>
      <w:r>
        <w:rPr>
          <w:rFonts w:ascii="Times New Roman" w:hAnsi="Times New Roman"/>
          <w:color w:val="000000"/>
          <w:sz w:val="24"/>
          <w:u w:val="single"/>
        </w:rPr>
        <w:t>Recoverable Amount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For Incentive-Based Compensation based on stock price or total shareholder return (“</w:t>
      </w:r>
      <w:r>
        <w:rPr>
          <w:rFonts w:ascii="Times New Roman" w:hAnsi="Times New Roman"/>
          <w:color w:val="000000"/>
          <w:sz w:val="24"/>
          <w:u w:val="single"/>
        </w:rPr>
        <w:t>TSR</w:t>
      </w:r>
      <w:r>
        <w:rPr>
          <w:rFonts w:ascii="Times New Roman" w:hAnsi="Times New Roman"/>
          <w:color w:val="000000"/>
          <w:sz w:val="20"/>
        </w:rPr>
        <w:t>”</w:t>
      </w:r>
      <w:r>
        <w:rPr>
          <w:rFonts w:ascii="Times New Roman" w:hAnsi="Times New Roman"/>
          <w:color w:val="000000"/>
          <w:sz w:val="24"/>
        </w:rPr>
        <w:t>), where the amount of erroneously awarded Incentive-Based Compensation is not subject to mathematical recalculation directly from the information in a Restatement, the Recoverable Amount shall be determined by the Administrator based on a reasonable estimate of the effect of the Restatement on the stock price or TSR upon which the Incentive-Based Compensation was received. In such event, the Corporation shall maintain documentation of the determination of that reasonable estimate and provide such documentation to Nasdaq.</w:t>
      </w:r>
    </w:p>
    <w:p>
      <w:pPr>
        <w:pStyle w:val="TextBody"/>
        <w:bidi w:val="0"/>
        <w:spacing w:before="240" w:after="283"/>
        <w:jc w:val="left"/>
        <w:rPr>
          <w:rFonts w:ascii="Times New Roman" w:hAnsi="Times New Roman"/>
          <w:sz w:val="20"/>
        </w:rPr>
      </w:pPr>
      <w:r>
        <w:rPr>
          <w:rFonts w:ascii="Times New Roman" w:hAnsi="Times New Roman"/>
          <w:color w:val="000000"/>
          <w:sz w:val="24"/>
        </w:rPr>
        <w:t>For purposes of this Policy, “</w:t>
      </w:r>
      <w:r>
        <w:rPr>
          <w:rFonts w:ascii="Times New Roman" w:hAnsi="Times New Roman"/>
          <w:color w:val="000000"/>
          <w:sz w:val="24"/>
          <w:u w:val="single"/>
        </w:rPr>
        <w:t>Incentive-Based Compensation</w:t>
      </w:r>
      <w:r>
        <w:rPr>
          <w:rFonts w:ascii="Times New Roman" w:hAnsi="Times New Roman"/>
          <w:color w:val="000000"/>
          <w:sz w:val="20"/>
        </w:rPr>
        <w:t xml:space="preserve">” </w:t>
      </w:r>
      <w:r>
        <w:rPr>
          <w:rFonts w:ascii="Times New Roman" w:hAnsi="Times New Roman"/>
          <w:color w:val="000000"/>
          <w:sz w:val="24"/>
        </w:rPr>
        <w:t>shall mean any bonus, incentive payment, equity based award or other compensation granted, earned, or vested based wholly or in part on the attainment of a Financial Reporting Measure.</w:t>
      </w:r>
    </w:p>
    <w:p>
      <w:pPr>
        <w:pStyle w:val="TextBody"/>
        <w:bidi w:val="0"/>
        <w:spacing w:before="240" w:after="283"/>
        <w:jc w:val="left"/>
        <w:rPr>
          <w:rFonts w:ascii="Times New Roman" w:hAnsi="Times New Roman"/>
          <w:sz w:val="20"/>
        </w:rPr>
      </w:pPr>
      <w:r>
        <w:rPr>
          <w:rFonts w:ascii="Times New Roman" w:hAnsi="Times New Roman"/>
          <w:color w:val="000000"/>
          <w:sz w:val="24"/>
        </w:rPr>
        <w:t>For purposes of this Policy, “</w:t>
      </w:r>
      <w:r>
        <w:rPr>
          <w:rFonts w:ascii="Times New Roman" w:hAnsi="Times New Roman"/>
          <w:color w:val="000000"/>
          <w:sz w:val="24"/>
          <w:u w:val="single"/>
        </w:rPr>
        <w:t>Financial Reporting Measure</w:t>
      </w:r>
      <w:r>
        <w:rPr>
          <w:rFonts w:ascii="Times New Roman" w:hAnsi="Times New Roman"/>
          <w:color w:val="000000"/>
          <w:sz w:val="20"/>
        </w:rPr>
        <w:t xml:space="preserve">” </w:t>
      </w:r>
      <w:r>
        <w:rPr>
          <w:rFonts w:ascii="Times New Roman" w:hAnsi="Times New Roman"/>
          <w:color w:val="000000"/>
          <w:sz w:val="24"/>
        </w:rPr>
        <w:t>shall mean any of the following: (i) measures that are determined and presented in accordance with the accounting principles used in preparing the Corporation’s financial statements, and any measures that are derived wholly or in part from such measures, (ii) stock price and (iii) TSR. A Financial Reporting Measure need not be presented within the Corporation’s financial statements or included in a filing with the Securities and Exchange Commission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4"/>
        </w:rPr>
        <w:t>V. DETERMINATION IN DISCRETION OF THE ADMINISTRATOR.</w:t>
      </w:r>
      <w:r>
        <w:rPr>
          <w:rFonts w:ascii="Times New Roman" w:hAnsi="Times New Roman"/>
          <w:color w:val="000000"/>
          <w:sz w:val="20"/>
        </w:rPr>
        <w:t xml:space="preserve"> </w:t>
      </w:r>
      <w:r>
        <w:rPr>
          <w:rFonts w:ascii="Times New Roman" w:hAnsi="Times New Roman"/>
          <w:color w:val="000000"/>
          <w:sz w:val="24"/>
        </w:rPr>
        <w:t>The Administrator shall determine in its sole and absolute discretion the manner of recovery of any Recoverable Amount under this Policy, recognizing that different means of recovery may be appropriate in different circumstances.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Administrator may apply this Section V differently to each Covered Employee, in its discretion, taking into account such factors as determined by the Administrator.</w:t>
      </w:r>
    </w:p>
    <w:p>
      <w:pPr>
        <w:pStyle w:val="TextBody"/>
        <w:bidi w:val="0"/>
        <w:spacing w:before="240" w:after="283"/>
        <w:jc w:val="left"/>
        <w:rPr>
          <w:rFonts w:ascii="Times New Roman" w:hAnsi="Times New Roman"/>
          <w:sz w:val="20"/>
        </w:rPr>
      </w:pPr>
      <w:r>
        <w:rPr>
          <w:rFonts w:ascii="Times New Roman" w:hAnsi="Times New Roman"/>
          <w:b/>
          <w:color w:val="000000"/>
          <w:sz w:val="24"/>
        </w:rPr>
        <w:t>VI. EXCEPTIONS.</w:t>
      </w:r>
      <w:r>
        <w:rPr>
          <w:rFonts w:ascii="Times New Roman" w:hAnsi="Times New Roman"/>
          <w:color w:val="000000"/>
          <w:sz w:val="20"/>
        </w:rPr>
        <w:t xml:space="preserve"> </w:t>
      </w:r>
      <w:r>
        <w:rPr>
          <w:rFonts w:ascii="Times New Roman" w:hAnsi="Times New Roman"/>
          <w:color w:val="000000"/>
          <w:sz w:val="24"/>
        </w:rPr>
        <w:t>The Corporation shall recover erroneously awarded Incentive-Based Compensation in compliance with this Policy except to the extent that the conditions set out below are met and the Committee has made a determination that recovery would be impracticable: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direct expense paid to a third party to assist in enforcing this Policy would exceed the amount to be recovered; provided, however, that before concluding it would be impracticable to recover any amount of erroneously awarded Incentive-Based Compensation based on expense of enforcement, the Corporation shall make a reasonable attempt to recover such erroneously awarded Incentive-Based Compensation, document such reasonable attempt(s) to recover, and provide that documentation to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Recovery would likely cause an otherwise tax-qualified retirement plan, under which benefits are broadly available to employees of the Corporation, to fail to meet the requirements of 26 U.S.C. 401(a)(13) or 26 U.S.C. 411(a) and regulations thereunder.</w:t>
      </w:r>
    </w:p>
    <w:p>
      <w:pPr>
        <w:pStyle w:val="TextBody"/>
        <w:bidi w:val="0"/>
        <w:spacing w:before="240" w:after="283"/>
        <w:jc w:val="left"/>
        <w:rPr>
          <w:rFonts w:ascii="Times New Roman" w:hAnsi="Times New Roman"/>
          <w:sz w:val="20"/>
        </w:rPr>
      </w:pPr>
      <w:r>
        <w:rPr>
          <w:rFonts w:ascii="Times New Roman" w:hAnsi="Times New Roman"/>
          <w:b/>
          <w:color w:val="000000"/>
          <w:sz w:val="24"/>
        </w:rPr>
        <w:t>VII. PROHIBITION AGAINST INDEMNIFICATION.</w:t>
      </w:r>
      <w:r>
        <w:rPr>
          <w:rFonts w:ascii="Times New Roman" w:hAnsi="Times New Roman"/>
          <w:color w:val="000000"/>
          <w:sz w:val="20"/>
        </w:rPr>
        <w:t xml:space="preserve"> </w:t>
      </w:r>
      <w:r>
        <w:rPr>
          <w:rFonts w:ascii="Times New Roman" w:hAnsi="Times New Roman"/>
          <w:color w:val="000000"/>
          <w:sz w:val="24"/>
        </w:rPr>
        <w:t>Notwithstanding the terms of any indemnification arrangement or insurance policy with any individual covered by this Policy, the Corporation shall not indemnify any Executive Officer, former Executive Officers or Covered Employees against the loss of erroneously awarded Incentive-Based Compensation, including any payment or reimbursement for the cost of insurance obtained by any such covered individual to fund amounts recoverable under this Policy.</w:t>
      </w:r>
    </w:p>
    <w:p>
      <w:pPr>
        <w:pStyle w:val="TextBody"/>
        <w:bidi w:val="0"/>
        <w:spacing w:before="240" w:after="283"/>
        <w:jc w:val="left"/>
        <w:rPr>
          <w:rFonts w:ascii="Times New Roman" w:hAnsi="Times New Roman"/>
          <w:sz w:val="20"/>
        </w:rPr>
      </w:pPr>
      <w:r>
        <w:rPr>
          <w:rFonts w:ascii="Times New Roman" w:hAnsi="Times New Roman"/>
          <w:b/>
          <w:color w:val="000000"/>
          <w:sz w:val="24"/>
        </w:rPr>
        <w:t>VIII. DISCLOSURE.</w:t>
      </w:r>
      <w:r>
        <w:rPr>
          <w:rFonts w:ascii="Times New Roman" w:hAnsi="Times New Roman"/>
          <w:color w:val="000000"/>
          <w:sz w:val="20"/>
        </w:rPr>
        <w:t xml:space="preserve"> </w:t>
      </w:r>
      <w:r>
        <w:rPr>
          <w:rFonts w:ascii="Times New Roman" w:hAnsi="Times New Roman"/>
          <w:color w:val="000000"/>
          <w:sz w:val="24"/>
        </w:rPr>
        <w:t>The Corporation shall file all disclosures with respect to this Policy and recoveries under this Policy in accordance with the requirements of the United States Federal securities laws, including the disclosure required by the applicable SEC filings.</w:t>
      </w:r>
    </w:p>
    <w:p>
      <w:pPr>
        <w:pStyle w:val="TextBody"/>
        <w:bidi w:val="0"/>
        <w:spacing w:before="240" w:after="283"/>
        <w:jc w:val="left"/>
        <w:rPr>
          <w:rFonts w:ascii="Times New Roman" w:hAnsi="Times New Roman"/>
          <w:sz w:val="20"/>
        </w:rPr>
      </w:pPr>
      <w:r>
        <w:rPr>
          <w:rFonts w:ascii="Times New Roman" w:hAnsi="Times New Roman"/>
          <w:b/>
          <w:color w:val="000000"/>
          <w:sz w:val="24"/>
        </w:rPr>
        <w:t>IX. ENFORCEABILITY.</w:t>
      </w:r>
      <w:r>
        <w:rPr>
          <w:rFonts w:ascii="Times New Roman" w:hAnsi="Times New Roman"/>
          <w:color w:val="000000"/>
          <w:sz w:val="20"/>
        </w:rPr>
        <w:t xml:space="preserve"> </w:t>
      </w:r>
      <w:r>
        <w:rPr>
          <w:rFonts w:ascii="Times New Roman" w:hAnsi="Times New Roman"/>
          <w:color w:val="000000"/>
          <w:sz w:val="24"/>
        </w:rPr>
        <w:t>The Administrator may determine that any equity award agreement, employment agreement, bonus plan or similar agreement or plan entered into or amended on or after the Effective Date shall, as a condition to the grant of any benefit covered by such agreement or plan, require a Covered Employee to contractually agree to abide by the terms of this Policy. Further, the adoption of this Policy does not mitigate, and is intended to enhance, the effect of any recoupment, forfeiture or similar policies in any equity award agreement, employment agreement or similar agreement in effect prior to the Effective Date. The remedy specified in this Policy shall not be exclusive and shall be in addition to every other right or remedy at law or in equity that may be available to the Corporation.</w:t>
      </w:r>
    </w:p>
    <w:p>
      <w:pPr>
        <w:pStyle w:val="TextBody"/>
        <w:bidi w:val="0"/>
        <w:spacing w:before="240" w:after="283"/>
        <w:jc w:val="left"/>
        <w:rPr>
          <w:rFonts w:ascii="Times New Roman" w:hAnsi="Times New Roman"/>
          <w:sz w:val="20"/>
        </w:rPr>
      </w:pPr>
      <w:r>
        <w:rPr>
          <w:rFonts w:ascii="Times New Roman" w:hAnsi="Times New Roman"/>
          <w:b/>
          <w:color w:val="000000"/>
          <w:sz w:val="24"/>
        </w:rPr>
        <w:t>X. SEVERABILITY.</w:t>
      </w:r>
      <w:r>
        <w:rPr>
          <w:rFonts w:ascii="Times New Roman" w:hAnsi="Times New Roman"/>
          <w:color w:val="000000"/>
          <w:sz w:val="20"/>
        </w:rPr>
        <w:t xml:space="preserve"> </w:t>
      </w:r>
      <w:r>
        <w:rPr>
          <w:rFonts w:ascii="Times New Roman" w:hAnsi="Times New Roman"/>
          <w:color w:val="000000"/>
          <w:sz w:val="24"/>
        </w:rPr>
        <w:t xml:space="preserve">The provisions in this Policy are intended to be applied to the fullest extent of the law; </w:t>
      </w:r>
      <w:r>
        <w:rPr>
          <w:rFonts w:ascii="Times New Roman" w:hAnsi="Times New Roman"/>
          <w:color w:val="000000"/>
          <w:sz w:val="24"/>
          <w:u w:val="single"/>
        </w:rPr>
        <w:t>provided, however</w:t>
      </w:r>
      <w:r>
        <w:rPr>
          <w:rFonts w:ascii="Times New Roman" w:hAnsi="Times New Roman"/>
          <w:color w:val="000000"/>
          <w:sz w:val="24"/>
        </w:rPr>
        <w:t>,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240" w:after="283"/>
        <w:jc w:val="left"/>
        <w:rPr>
          <w:rFonts w:ascii="Times New Roman" w:hAnsi="Times New Roman"/>
          <w:sz w:val="20"/>
        </w:rPr>
      </w:pPr>
      <w:r>
        <w:rPr>
          <w:rFonts w:ascii="Times New Roman" w:hAnsi="Times New Roman"/>
          <w:b/>
          <w:color w:val="000000"/>
          <w:sz w:val="24"/>
        </w:rPr>
        <w:t>XI. EFFECTIVENESS.</w:t>
      </w:r>
      <w:r>
        <w:rPr>
          <w:rFonts w:ascii="Times New Roman" w:hAnsi="Times New Roman"/>
          <w:color w:val="000000"/>
          <w:sz w:val="20"/>
        </w:rPr>
        <w:t xml:space="preserve"> </w:t>
      </w:r>
      <w:r>
        <w:rPr>
          <w:rFonts w:ascii="Times New Roman" w:hAnsi="Times New Roman"/>
          <w:color w:val="000000"/>
          <w:sz w:val="24"/>
        </w:rPr>
        <w:t>This Policy, as amended and restated, shall be effective as of October 24, 2023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hyperlink" Target="https://www.sec.gov/Archives/edgar/data/1803696/000119312522258605/d514385dex21.htm" TargetMode="External"/><Relationship Id="rId7" Type="http://schemas.openxmlformats.org/officeDocument/2006/relationships/hyperlink" Target="https://www.sec.gov/Archives/edgar/data/1803696/000119312522258605/d514385dex21.htm" TargetMode="External"/><Relationship Id="rId8" Type="http://schemas.openxmlformats.org/officeDocument/2006/relationships/hyperlink" Target="https://www.sec.gov/Archives/edgar/data/1803696/000119312520156658/d933307dex31.htm" TargetMode="External"/><Relationship Id="rId9" Type="http://schemas.openxmlformats.org/officeDocument/2006/relationships/hyperlink" Target="https://www.sec.gov/Archives/edgar/data/1803696/000119312522258605/d514385dex31.htm" TargetMode="External"/><Relationship Id="rId10" Type="http://schemas.openxmlformats.org/officeDocument/2006/relationships/hyperlink" Target="https://www.sec.gov/Archives/edgar/data/1803696/000095017023005437/adea-ex3_2.htm" TargetMode="External"/><Relationship Id="rId11" Type="http://schemas.openxmlformats.org/officeDocument/2006/relationships/hyperlink" Target="https://www.sec.gov/Archives/edgar/data/1803696/000095017022023885/adea-ex3_2.htm" TargetMode="External"/><Relationship Id="rId12" Type="http://schemas.openxmlformats.org/officeDocument/2006/relationships/hyperlink" Target="https://www.sec.gov/Archives/edgar/data/1803696/000095017022023885/adea-ex3_2.htm" TargetMode="External"/><Relationship Id="rId13" Type="http://schemas.openxmlformats.org/officeDocument/2006/relationships/hyperlink" Target="https://www.sec.gov/Archives/edgar/data/1690666/000162828017007884/exhibit10363017.htm" TargetMode="External"/><Relationship Id="rId14" Type="http://schemas.openxmlformats.org/officeDocument/2006/relationships/hyperlink" Target="https://www.sec.gov/Archives/edgar/data/1690666/000119312520002967/d863847dex101.htm" TargetMode="External"/><Relationship Id="rId15" Type="http://schemas.openxmlformats.org/officeDocument/2006/relationships/hyperlink" Target="https://www.sec.gov/Archives/edgar/data/1803696/000119312520156658/d933307dex101.htm" TargetMode="External"/><Relationship Id="rId16" Type="http://schemas.openxmlformats.org/officeDocument/2006/relationships/hyperlink" Target="https://www.sec.gov/Archives/edgar/data/1803696/000119312520156658/d933307dex102.htm" TargetMode="External"/><Relationship Id="rId17" Type="http://schemas.openxmlformats.org/officeDocument/2006/relationships/hyperlink" Target="https://www.sec.gov/Archives/edgar/data/1803696/000119312525175417/adea-ex10_2.htm" TargetMode="External"/><Relationship Id="rId18" Type="http://schemas.openxmlformats.org/officeDocument/2006/relationships/hyperlink" Target="https://www.sec.gov/Archives/edgar/data/1803696/000119312520156658/d933307dex103.htm" TargetMode="External"/><Relationship Id="rId19" Type="http://schemas.openxmlformats.org/officeDocument/2006/relationships/hyperlink" Target="https://www.sec.gov/Archives/edgar/data/1803696/000119312525175417/adea-ex10_1.htm" TargetMode="External"/><Relationship Id="rId20" Type="http://schemas.openxmlformats.org/officeDocument/2006/relationships/hyperlink" Target="https://www.sec.gov/ix?doc=/Archives/edgar/data/0001803696/000095017024062378/adea-20240520.htm" TargetMode="External"/><Relationship Id="rId21" Type="http://schemas.openxmlformats.org/officeDocument/2006/relationships/hyperlink" Target="https://www.sec.gov/ix?doc=/Archives/edgar/data/0001803696/000095017025011133/adea-20250130.htm" TargetMode="External"/><Relationship Id="rId22" Type="http://schemas.openxmlformats.org/officeDocument/2006/relationships/hyperlink" Target="https://www.sec.gov/Archives/edgar/data/1803696/000119312520157276/d933348dex410.htm" TargetMode="External"/><Relationship Id="rId23" Type="http://schemas.openxmlformats.org/officeDocument/2006/relationships/hyperlink" Target="https://www.sec.gov/Archives/edgar/data/1803696/000119312520157276/d933348dex411.htm" TargetMode="External"/><Relationship Id="rId24" Type="http://schemas.openxmlformats.org/officeDocument/2006/relationships/hyperlink" Target="https://www.sec.gov/Archives/edgar/data/1803696/000119312520156658/d933307dex104.htm" TargetMode="External"/><Relationship Id="rId25" Type="http://schemas.openxmlformats.org/officeDocument/2006/relationships/hyperlink" Target="https://www.sec.gov/Archives/edgar/data/1803696/000119312520157322/d933352dex1012.htm" TargetMode="External"/><Relationship Id="rId26" Type="http://schemas.openxmlformats.org/officeDocument/2006/relationships/hyperlink" Target="https://www.sec.gov/Archives/edgar/data/1803696/000119312520157322/d933352dex1013.htm" TargetMode="External"/><Relationship Id="rId27" Type="http://schemas.openxmlformats.org/officeDocument/2006/relationships/hyperlink" Target="https://www.sec.gov/Archives/edgar/data/1675820/000167582019000013/tivodefproxy-2019annualmee.htm" TargetMode="External"/><Relationship Id="rId28" Type="http://schemas.openxmlformats.org/officeDocument/2006/relationships/hyperlink" Target="https://www.sec.gov/Archives/edgar/data/1675820/000119312516706588/d255046ds8.htm" TargetMode="External"/><Relationship Id="rId29" Type="http://schemas.openxmlformats.org/officeDocument/2006/relationships/hyperlink" Target="https://www.sec.gov/Archives/edgar/data/1690666/000119312518120171/d570588ddefa14a.htm" TargetMode="External"/><Relationship Id="rId30" Type="http://schemas.openxmlformats.org/officeDocument/2006/relationships/hyperlink" Target="https://www.sec.gov/Archives/edgar/data/1226308/000110465914062267/a14-19382_1ex10d1.htm" TargetMode="External"/><Relationship Id="rId31" Type="http://schemas.openxmlformats.org/officeDocument/2006/relationships/hyperlink" Target="https://www.sec.gov/Archives/edgar/data/1226308/000110465915058323/a15-17214_1ex99d3.htm" TargetMode="External"/><Relationship Id="rId32" Type="http://schemas.openxmlformats.org/officeDocument/2006/relationships/hyperlink" Target="https://www.sec.gov/Archives/edgar/data/1226308/000110465915077313/a15-22453_1ex99d3.htm" TargetMode="External"/><Relationship Id="rId33" Type="http://schemas.openxmlformats.org/officeDocument/2006/relationships/hyperlink" Target="https://www.sec.gov/Archives/edgar/data/1226308/000130817915000133/ldts2015_def14a.htm" TargetMode="External"/><Relationship Id="rId34" Type="http://schemas.openxmlformats.org/officeDocument/2006/relationships/hyperlink" Target="https://www.sec.gov/Archives/edgar/data/1226308/000110465912057415/a12-18096_1ex4d4.htm" TargetMode="External"/><Relationship Id="rId35" Type="http://schemas.openxmlformats.org/officeDocument/2006/relationships/hyperlink" Target="https://www.sec.gov/Archives/edgar/data/1226308/000104746910009412/a2200716zex-10_1.htm" TargetMode="External"/><Relationship Id="rId36" Type="http://schemas.openxmlformats.org/officeDocument/2006/relationships/hyperlink" Target="https://www.sec.gov/Archives/edgar/data/1803696/000095017023002897/adea-ex10_1.htm" TargetMode="External"/><Relationship Id="rId37" Type="http://schemas.openxmlformats.org/officeDocument/2006/relationships/hyperlink" Target="https://www.sec.gov/Archives/edgar/data/1803696/000095017023002897/adea-ex10_2.htm" TargetMode="External"/><Relationship Id="rId38" Type="http://schemas.openxmlformats.org/officeDocument/2006/relationships/hyperlink" Target="https://www.sec.gov/Archives/edgar/data/1803696/000119312522258605/d514385dex101.htm" TargetMode="External"/><Relationship Id="rId39" Type="http://schemas.openxmlformats.org/officeDocument/2006/relationships/hyperlink" Target="https://www.sec.gov/Archives/edgar/data/1803696/000119312522258605/d514385dex102.htm" TargetMode="External"/><Relationship Id="rId40" Type="http://schemas.openxmlformats.org/officeDocument/2006/relationships/hyperlink" Target="https://www.sec.gov/Archives/edgar/data/1803696/000119312522258605/d514385dex103.htm" TargetMode="External"/><Relationship Id="rId41" Type="http://schemas.openxmlformats.org/officeDocument/2006/relationships/hyperlink" Target="https://www.sec.gov/Archives/edgar/data/1803696/000119312522258605/d514385dex104.htm" TargetMode="External"/><Relationship Id="rId42" Type="http://schemas.openxmlformats.org/officeDocument/2006/relationships/hyperlink" Target="https://www.sec.gov/Archives/edgar/data/1803696/000119312522258605/d514385dex105.htm" TargetMode="External"/><Relationship Id="rId43" Type="http://schemas.openxmlformats.org/officeDocument/2006/relationships/hyperlink" Target="https://www.sec.gov/Archives/edgar/data/1803696/000119312522258605/d514385dex105.htm" TargetMode="External"/><Relationship Id="rId44" Type="http://schemas.openxmlformats.org/officeDocument/2006/relationships/hyperlink" Target="https://www.sec.gov/Archives/edgar/data/1803696/000095017025023148/adea-ex19_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52443</Words>
  <Characters>290936</Characters>
  <CharactersWithSpaces>344906</CharactersWithSpaces>
  <Paragraphs>9289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