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9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 w:lineRule="exact"/>
        <w:rPr>
          <w:sz w:val="24"/>
          <w:szCs w:val="24"/>
          <w:color w:val="auto"/>
        </w:rPr>
      </w:pPr>
    </w:p>
    <w:p>
      <w:pPr>
        <w:ind w:left="3660" w:right="1880" w:hanging="3652"/>
        <w:spacing w:after="0" w:line="438" w:lineRule="auto"/>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311" w:lineRule="exact"/>
        <w:rPr>
          <w:sz w:val="24"/>
          <w:szCs w:val="24"/>
          <w:color w:val="auto"/>
        </w:rPr>
      </w:pPr>
    </w:p>
    <w:p>
      <w:pPr>
        <w:ind w:left="4200" w:right="1860" w:hanging="4192"/>
        <w:spacing w:after="0" w:line="454" w:lineRule="auto"/>
        <w:tabs>
          <w:tab w:leader="none" w:pos="21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001-39304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ADEIA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7"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5120" w:type="dxa"/>
            <w:vAlign w:val="bottom"/>
          </w:tcPr>
          <w:p>
            <w:pPr>
              <w:jc w:val="center"/>
              <w:ind w:right="1595"/>
              <w:spacing w:after="0"/>
              <w:rPr>
                <w:sz w:val="20"/>
                <w:szCs w:val="20"/>
                <w:color w:val="auto"/>
              </w:rPr>
            </w:pPr>
            <w:r>
              <w:rPr>
                <w:rFonts w:ascii="Arial" w:cs="Arial" w:eastAsia="Arial" w:hAnsi="Arial"/>
                <w:sz w:val="18"/>
                <w:szCs w:val="18"/>
                <w:b w:val="1"/>
                <w:bCs w:val="1"/>
                <w:color w:val="auto"/>
                <w:w w:val="91"/>
              </w:rPr>
              <w:t>Delaware</w:t>
            </w:r>
          </w:p>
        </w:tc>
        <w:tc>
          <w:tcPr>
            <w:tcW w:w="2960" w:type="dxa"/>
            <w:vAlign w:val="bottom"/>
          </w:tcPr>
          <w:p>
            <w:pPr>
              <w:jc w:val="right"/>
              <w:ind w:right="115"/>
              <w:spacing w:after="0"/>
              <w:rPr>
                <w:sz w:val="20"/>
                <w:szCs w:val="20"/>
                <w:color w:val="auto"/>
              </w:rPr>
            </w:pPr>
            <w:r>
              <w:rPr>
                <w:rFonts w:ascii="Arial" w:cs="Arial" w:eastAsia="Arial" w:hAnsi="Arial"/>
                <w:sz w:val="18"/>
                <w:szCs w:val="18"/>
                <w:b w:val="1"/>
                <w:bCs w:val="1"/>
                <w:color w:val="auto"/>
              </w:rPr>
              <w:t>84-4734590</w:t>
            </w:r>
          </w:p>
        </w:tc>
      </w:tr>
      <w:tr>
        <w:trPr>
          <w:trHeight w:val="216"/>
        </w:trPr>
        <w:tc>
          <w:tcPr>
            <w:tcW w:w="5120" w:type="dxa"/>
            <w:vAlign w:val="bottom"/>
          </w:tcPr>
          <w:p>
            <w:pPr>
              <w:jc w:val="center"/>
              <w:ind w:right="1575"/>
              <w:spacing w:after="0"/>
              <w:rPr>
                <w:sz w:val="20"/>
                <w:szCs w:val="20"/>
                <w:color w:val="auto"/>
              </w:rPr>
            </w:pPr>
            <w:r>
              <w:rPr>
                <w:rFonts w:ascii="Arial" w:cs="Arial" w:eastAsia="Arial" w:hAnsi="Arial"/>
                <w:sz w:val="16"/>
                <w:szCs w:val="16"/>
                <w:b w:val="1"/>
                <w:bCs w:val="1"/>
                <w:color w:val="auto"/>
                <w:w w:val="92"/>
              </w:rPr>
              <w:t>(State or Other Jurisdiction of</w:t>
            </w:r>
          </w:p>
        </w:tc>
        <w:tc>
          <w:tcPr>
            <w:tcW w:w="2960" w:type="dxa"/>
            <w:vAlign w:val="bottom"/>
          </w:tcPr>
          <w:p>
            <w:pPr>
              <w:jc w:val="center"/>
              <w:ind w:left="1615"/>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5120" w:type="dxa"/>
            <w:vAlign w:val="bottom"/>
          </w:tcPr>
          <w:p>
            <w:pPr>
              <w:jc w:val="center"/>
              <w:ind w:right="1575"/>
              <w:spacing w:after="0"/>
              <w:rPr>
                <w:sz w:val="20"/>
                <w:szCs w:val="20"/>
                <w:color w:val="auto"/>
              </w:rPr>
            </w:pPr>
            <w:r>
              <w:rPr>
                <w:rFonts w:ascii="Arial" w:cs="Arial" w:eastAsia="Arial" w:hAnsi="Arial"/>
                <w:sz w:val="16"/>
                <w:szCs w:val="16"/>
                <w:b w:val="1"/>
                <w:bCs w:val="1"/>
                <w:color w:val="auto"/>
                <w:w w:val="94"/>
              </w:rPr>
              <w:t>Incorporation or Organization)</w:t>
            </w:r>
          </w:p>
        </w:tc>
        <w:tc>
          <w:tcPr>
            <w:tcW w:w="2960" w:type="dxa"/>
            <w:vAlign w:val="bottom"/>
          </w:tcPr>
          <w:p>
            <w:pPr>
              <w:jc w:val="center"/>
              <w:ind w:left="1615"/>
              <w:spacing w:after="0"/>
              <w:rPr>
                <w:sz w:val="20"/>
                <w:szCs w:val="20"/>
                <w:color w:val="auto"/>
              </w:rPr>
            </w:pPr>
            <w:r>
              <w:rPr>
                <w:rFonts w:ascii="Arial" w:cs="Arial" w:eastAsia="Arial" w:hAnsi="Arial"/>
                <w:sz w:val="16"/>
                <w:szCs w:val="16"/>
                <w:b w:val="1"/>
                <w:bCs w:val="1"/>
                <w:color w:val="auto"/>
                <w:w w:val="93"/>
              </w:rPr>
              <w:t>Identification No.)</w:t>
            </w:r>
          </w:p>
        </w:tc>
      </w:tr>
      <w:tr>
        <w:trPr>
          <w:trHeight w:val="398"/>
        </w:trPr>
        <w:tc>
          <w:tcPr>
            <w:tcW w:w="5120" w:type="dxa"/>
            <w:vAlign w:val="bottom"/>
          </w:tcPr>
          <w:p>
            <w:pPr>
              <w:jc w:val="center"/>
              <w:ind w:right="1595"/>
              <w:spacing w:after="0"/>
              <w:rPr>
                <w:sz w:val="20"/>
                <w:szCs w:val="20"/>
                <w:color w:val="auto"/>
              </w:rPr>
            </w:pPr>
            <w:r>
              <w:rPr>
                <w:rFonts w:ascii="Arial" w:cs="Arial" w:eastAsia="Arial" w:hAnsi="Arial"/>
                <w:sz w:val="18"/>
                <w:szCs w:val="18"/>
                <w:b w:val="1"/>
                <w:bCs w:val="1"/>
                <w:color w:val="auto"/>
                <w:w w:val="91"/>
              </w:rPr>
              <w:t>3025 Orchard Parkway, San Jose, California</w:t>
            </w:r>
          </w:p>
        </w:tc>
        <w:tc>
          <w:tcPr>
            <w:tcW w:w="2960" w:type="dxa"/>
            <w:vAlign w:val="bottom"/>
          </w:tcPr>
          <w:p>
            <w:pPr>
              <w:jc w:val="right"/>
              <w:ind w:right="315"/>
              <w:spacing w:after="0"/>
              <w:rPr>
                <w:sz w:val="20"/>
                <w:szCs w:val="20"/>
                <w:color w:val="auto"/>
              </w:rPr>
            </w:pPr>
            <w:r>
              <w:rPr>
                <w:rFonts w:ascii="Arial" w:cs="Arial" w:eastAsia="Arial" w:hAnsi="Arial"/>
                <w:sz w:val="18"/>
                <w:szCs w:val="18"/>
                <w:b w:val="1"/>
                <w:bCs w:val="1"/>
                <w:color w:val="auto"/>
              </w:rPr>
              <w:t>95134</w:t>
            </w:r>
          </w:p>
        </w:tc>
      </w:tr>
      <w:tr>
        <w:trPr>
          <w:trHeight w:val="223"/>
        </w:trPr>
        <w:tc>
          <w:tcPr>
            <w:tcW w:w="5120" w:type="dxa"/>
            <w:vAlign w:val="bottom"/>
          </w:tcPr>
          <w:p>
            <w:pPr>
              <w:jc w:val="center"/>
              <w:ind w:right="1595"/>
              <w:spacing w:after="0"/>
              <w:rPr>
                <w:sz w:val="20"/>
                <w:szCs w:val="20"/>
                <w:color w:val="auto"/>
              </w:rPr>
            </w:pPr>
            <w:r>
              <w:rPr>
                <w:rFonts w:ascii="Arial" w:cs="Arial" w:eastAsia="Arial" w:hAnsi="Arial"/>
                <w:sz w:val="16"/>
                <w:szCs w:val="16"/>
                <w:b w:val="1"/>
                <w:bCs w:val="1"/>
                <w:color w:val="auto"/>
                <w:w w:val="90"/>
              </w:rPr>
              <w:t>(Address of Principal Executive Offices)</w:t>
            </w:r>
          </w:p>
        </w:tc>
        <w:tc>
          <w:tcPr>
            <w:tcW w:w="2960" w:type="dxa"/>
            <w:vAlign w:val="bottom"/>
          </w:tcPr>
          <w:p>
            <w:pPr>
              <w:jc w:val="center"/>
              <w:ind w:left="1615"/>
              <w:spacing w:after="0"/>
              <w:rPr>
                <w:sz w:val="20"/>
                <w:szCs w:val="20"/>
                <w:color w:val="auto"/>
              </w:rPr>
            </w:pPr>
            <w:r>
              <w:rPr>
                <w:rFonts w:ascii="Arial" w:cs="Arial" w:eastAsia="Arial" w:hAnsi="Arial"/>
                <w:sz w:val="16"/>
                <w:szCs w:val="16"/>
                <w:b w:val="1"/>
                <w:bCs w:val="1"/>
                <w:color w:val="auto"/>
                <w:w w:val="93"/>
              </w:rPr>
              <w:t>(Zip Code)</w:t>
            </w:r>
          </w:p>
        </w:tc>
      </w:tr>
    </w:tbl>
    <w:p>
      <w:pPr>
        <w:spacing w:after="0" w:line="1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(408) 473-2500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108585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3"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900" w:type="dxa"/>
            <w:vAlign w:val="bottom"/>
          </w:tcPr>
          <w:p>
            <w:pPr>
              <w:spacing w:after="0"/>
              <w:rPr>
                <w:sz w:val="20"/>
                <w:szCs w:val="20"/>
                <w:color w:val="auto"/>
              </w:rPr>
            </w:pPr>
            <w:r>
              <w:rPr>
                <w:rFonts w:ascii="Arial" w:cs="Arial" w:eastAsia="Arial" w:hAnsi="Arial"/>
                <w:sz w:val="16"/>
                <w:szCs w:val="16"/>
                <w:color w:val="auto"/>
                <w:w w:val="94"/>
              </w:rPr>
              <w:t>Securities registered pursuant to Section 12(b) of the Act:</w:t>
            </w:r>
          </w:p>
        </w:tc>
        <w:tc>
          <w:tcPr>
            <w:tcW w:w="2520" w:type="dxa"/>
            <w:vAlign w:val="bottom"/>
          </w:tcPr>
          <w:p>
            <w:pPr>
              <w:spacing w:after="0"/>
              <w:rPr>
                <w:sz w:val="17"/>
                <w:szCs w:val="17"/>
                <w:color w:val="auto"/>
              </w:rPr>
            </w:pPr>
          </w:p>
        </w:tc>
        <w:tc>
          <w:tcPr>
            <w:tcW w:w="4820" w:type="dxa"/>
            <w:vAlign w:val="bottom"/>
          </w:tcPr>
          <w:p>
            <w:pPr>
              <w:spacing w:after="0"/>
              <w:rPr>
                <w:sz w:val="17"/>
                <w:szCs w:val="17"/>
                <w:color w:val="auto"/>
              </w:rPr>
            </w:pPr>
          </w:p>
        </w:tc>
      </w:tr>
      <w:tr>
        <w:trPr>
          <w:trHeight w:val="225"/>
        </w:trPr>
        <w:tc>
          <w:tcPr>
            <w:tcW w:w="39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4820" w:type="dxa"/>
            <w:vAlign w:val="bottom"/>
            <w:tcBorders>
              <w:bottom w:val="single" w:sz="8" w:color="auto"/>
            </w:tcBorders>
          </w:tcPr>
          <w:p>
            <w:pPr>
              <w:spacing w:after="0"/>
              <w:rPr>
                <w:sz w:val="19"/>
                <w:szCs w:val="19"/>
                <w:color w:val="auto"/>
              </w:rPr>
            </w:pPr>
          </w:p>
        </w:tc>
      </w:tr>
      <w:tr>
        <w:trPr>
          <w:trHeight w:val="179"/>
        </w:trPr>
        <w:tc>
          <w:tcPr>
            <w:tcW w:w="3900" w:type="dxa"/>
            <w:vAlign w:val="bottom"/>
            <w:tcBorders>
              <w:left w:val="single" w:sz="8" w:color="auto"/>
              <w:right w:val="single" w:sz="8" w:color="auto"/>
            </w:tcBorders>
          </w:tcPr>
          <w:p>
            <w:pPr>
              <w:spacing w:after="0"/>
              <w:rPr>
                <w:sz w:val="15"/>
                <w:szCs w:val="15"/>
                <w:color w:val="auto"/>
              </w:rPr>
            </w:pPr>
          </w:p>
        </w:tc>
        <w:tc>
          <w:tcPr>
            <w:tcW w:w="252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16"/>
                <w:szCs w:val="16"/>
                <w:b w:val="1"/>
                <w:bCs w:val="1"/>
                <w:color w:val="auto"/>
                <w:w w:val="95"/>
              </w:rPr>
              <w:t>Trading</w:t>
            </w:r>
          </w:p>
        </w:tc>
        <w:tc>
          <w:tcPr>
            <w:tcW w:w="4820" w:type="dxa"/>
            <w:vAlign w:val="bottom"/>
            <w:tcBorders>
              <w:right w:val="single" w:sz="8" w:color="auto"/>
            </w:tcBorders>
          </w:tcPr>
          <w:p>
            <w:pPr>
              <w:spacing w:after="0"/>
              <w:rPr>
                <w:sz w:val="15"/>
                <w:szCs w:val="15"/>
                <w:color w:val="auto"/>
              </w:rPr>
            </w:pPr>
          </w:p>
        </w:tc>
      </w:tr>
      <w:tr>
        <w:trPr>
          <w:trHeight w:val="243"/>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Symbol(s)</w:t>
            </w:r>
          </w:p>
        </w:tc>
        <w:tc>
          <w:tcPr>
            <w:tcW w:w="4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3"/>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$0.001 per share)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ADEA</w:t>
            </w:r>
          </w:p>
        </w:tc>
        <w:tc>
          <w:tcPr>
            <w:tcW w:w="4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Nasdaq Global Select Market</w:t>
            </w:r>
          </w:p>
        </w:tc>
      </w:tr>
    </w:tbl>
    <w:p>
      <w:pPr>
        <w:spacing w:after="0" w:line="301" w:lineRule="exact"/>
        <w:rPr>
          <w:sz w:val="24"/>
          <w:szCs w:val="24"/>
          <w:color w:val="auto"/>
        </w:rPr>
      </w:pPr>
    </w:p>
    <w:p>
      <w:pPr>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8" w:lineRule="exact"/>
        <w:rPr>
          <w:sz w:val="24"/>
          <w:szCs w:val="24"/>
          <w:color w:val="auto"/>
        </w:rPr>
      </w:pPr>
    </w:p>
    <w:p>
      <w:pPr>
        <w:ind w:right="240"/>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9" w:lineRule="exact"/>
        <w:rPr>
          <w:sz w:val="24"/>
          <w:szCs w:val="24"/>
          <w:color w:val="auto"/>
        </w:rPr>
      </w:pPr>
    </w:p>
    <w:p>
      <w:pPr>
        <w:ind w:right="16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4"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3140"/>
              <w:spacing w:after="0"/>
              <w:rPr>
                <w:sz w:val="20"/>
                <w:szCs w:val="20"/>
                <w:color w:val="auto"/>
              </w:rPr>
            </w:pPr>
            <w:r>
              <w:rPr>
                <w:rFonts w:ascii="Arial" w:cs="Arial" w:eastAsia="Arial" w:hAnsi="Arial"/>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9"/>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3140"/>
              <w:spacing w:after="0"/>
              <w:rPr>
                <w:sz w:val="20"/>
                <w:szCs w:val="20"/>
                <w:color w:val="auto"/>
              </w:rPr>
            </w:pPr>
            <w:r>
              <w:rPr>
                <w:rFonts w:ascii="Arial" w:cs="Arial" w:eastAsia="Arial" w:hAnsi="Arial"/>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spacing w:after="0"/>
              <w:rPr>
                <w:sz w:val="23"/>
                <w:szCs w:val="23"/>
                <w:color w:val="auto"/>
              </w:rPr>
            </w:pPr>
          </w:p>
        </w:tc>
        <w:tc>
          <w:tcPr>
            <w:tcW w:w="300" w:type="dxa"/>
            <w:vAlign w:val="bottom"/>
          </w:tcPr>
          <w:p>
            <w:pPr>
              <w:spacing w:after="0"/>
              <w:rPr>
                <w:sz w:val="23"/>
                <w:szCs w:val="23"/>
                <w:color w:val="auto"/>
              </w:rPr>
            </w:pPr>
          </w:p>
        </w:tc>
      </w:tr>
    </w:tbl>
    <w:p>
      <w:pPr>
        <w:spacing w:after="0" w:line="294" w:lineRule="exact"/>
        <w:rPr>
          <w:sz w:val="24"/>
          <w:szCs w:val="24"/>
          <w:color w:val="auto"/>
        </w:rPr>
      </w:pPr>
    </w:p>
    <w:p>
      <w:pPr>
        <w:ind w:right="58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right="2980"/>
        <w:spacing w:after="0" w:line="279"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number of shares outstanding of the registrant’s common stock as of October 25, 2023 was 107,172,789.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386080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ADEIA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Page</w:t>
            </w:r>
          </w:p>
        </w:tc>
      </w:tr>
      <w:tr>
        <w:trPr>
          <w:trHeight w:val="189"/>
        </w:trPr>
        <w:tc>
          <w:tcPr>
            <w:tcW w:w="1160" w:type="dxa"/>
            <w:vAlign w:val="bottom"/>
          </w:tcPr>
          <w:p>
            <w:pPr>
              <w:spacing w:after="0"/>
              <w:rPr>
                <w:sz w:val="16"/>
                <w:szCs w:val="16"/>
                <w:color w:val="auto"/>
              </w:rPr>
            </w:pPr>
          </w:p>
        </w:tc>
        <w:tc>
          <w:tcPr>
            <w:tcW w:w="9160" w:type="dxa"/>
            <w:vAlign w:val="bottom"/>
            <w:gridSpan w:val="13"/>
          </w:tcPr>
          <w:p>
            <w:pPr>
              <w:spacing w:after="0" w:line="189" w:lineRule="exact"/>
              <w:rPr>
                <w:sz w:val="20"/>
                <w:szCs w:val="20"/>
                <w:color w:val="auto"/>
              </w:rPr>
            </w:pPr>
            <w:r>
              <w:rPr>
                <w:rFonts w:ascii="Arial" w:cs="Arial" w:eastAsia="Arial" w:hAnsi="Arial"/>
                <w:sz w:val="18"/>
                <w:szCs w:val="18"/>
                <w:b w:val="1"/>
                <w:bCs w:val="1"/>
                <w:color w:val="0000FF"/>
              </w:rPr>
              <w:t>PART I</w:t>
            </w:r>
          </w:p>
        </w:tc>
        <w:tc>
          <w:tcPr>
            <w:tcW w:w="900" w:type="dxa"/>
            <w:vAlign w:val="bottom"/>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Item 1.</w:t>
            </w:r>
          </w:p>
        </w:tc>
        <w:tc>
          <w:tcPr>
            <w:tcW w:w="9160" w:type="dxa"/>
            <w:vAlign w:val="bottom"/>
            <w:gridSpan w:val="13"/>
          </w:tcPr>
          <w:p>
            <w:pPr>
              <w:spacing w:after="0"/>
              <w:rPr>
                <w:sz w:val="20"/>
                <w:szCs w:val="20"/>
                <w:color w:val="auto"/>
              </w:rPr>
            </w:pPr>
            <w:r>
              <w:rPr>
                <w:rFonts w:ascii="Arial" w:cs="Arial" w:eastAsia="Arial" w:hAnsi="Arial"/>
                <w:sz w:val="18"/>
                <w:szCs w:val="18"/>
                <w:color w:val="0000FF"/>
              </w:rPr>
              <w:t>Financial Statements (unaudited)</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9160" w:type="dxa"/>
            <w:vAlign w:val="bottom"/>
            <w:gridSpan w:val="13"/>
          </w:tcPr>
          <w:p>
            <w:pPr>
              <w:spacing w:after="0"/>
              <w:rPr>
                <w:sz w:val="20"/>
                <w:szCs w:val="20"/>
                <w:color w:val="auto"/>
              </w:rPr>
            </w:pPr>
            <w:r>
              <w:rPr>
                <w:rFonts w:ascii="Arial" w:cs="Arial" w:eastAsia="Arial" w:hAnsi="Arial"/>
                <w:sz w:val="18"/>
                <w:szCs w:val="18"/>
                <w:color w:val="0000FF"/>
                <w:w w:val="98"/>
              </w:rPr>
              <w:t>Condensed Consolidated Statements of Operations – Three and Nine Months Ended September 30, 2023 and 2022</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9160" w:type="dxa"/>
            <w:vAlign w:val="bottom"/>
            <w:gridSpan w:val="13"/>
          </w:tcPr>
          <w:p>
            <w:pPr>
              <w:spacing w:after="0"/>
              <w:rPr>
                <w:sz w:val="20"/>
                <w:szCs w:val="20"/>
                <w:color w:val="auto"/>
              </w:rPr>
            </w:pPr>
            <w:r>
              <w:rPr>
                <w:rFonts w:ascii="Arial" w:cs="Arial" w:eastAsia="Arial" w:hAnsi="Arial"/>
                <w:sz w:val="18"/>
                <w:szCs w:val="18"/>
                <w:color w:val="0000FF"/>
                <w:w w:val="95"/>
              </w:rPr>
              <w:t>Condensed Consolidated Statements of Comprehensive Income (Loss) – Three and Nine Months Ended September 30,</w:t>
            </w:r>
          </w:p>
        </w:tc>
        <w:tc>
          <w:tcPr>
            <w:tcW w:w="9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160" w:type="dxa"/>
            <w:vAlign w:val="bottom"/>
            <w:gridSpan w:val="13"/>
          </w:tcPr>
          <w:p>
            <w:pPr>
              <w:spacing w:after="0" w:line="196" w:lineRule="exact"/>
              <w:rPr>
                <w:sz w:val="20"/>
                <w:szCs w:val="20"/>
                <w:color w:val="auto"/>
              </w:rPr>
            </w:pPr>
            <w:r>
              <w:rPr>
                <w:rFonts w:ascii="Arial" w:cs="Arial" w:eastAsia="Arial" w:hAnsi="Arial"/>
                <w:sz w:val="18"/>
                <w:szCs w:val="18"/>
                <w:color w:val="0000FF"/>
              </w:rPr>
              <w:t>2023 and 2022</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060" w:type="dxa"/>
            <w:vAlign w:val="bottom"/>
            <w:tcBorders>
              <w:right w:val="single" w:sz="8" w:color="0000EE"/>
            </w:tcBorders>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9160" w:type="dxa"/>
            <w:vAlign w:val="bottom"/>
            <w:gridSpan w:val="13"/>
          </w:tcPr>
          <w:p>
            <w:pPr>
              <w:spacing w:after="0"/>
              <w:rPr>
                <w:sz w:val="20"/>
                <w:szCs w:val="20"/>
                <w:color w:val="auto"/>
              </w:rPr>
            </w:pPr>
            <w:r>
              <w:rPr>
                <w:rFonts w:ascii="Arial" w:cs="Arial" w:eastAsia="Arial" w:hAnsi="Arial"/>
                <w:sz w:val="18"/>
                <w:szCs w:val="18"/>
                <w:color w:val="0000FF"/>
              </w:rPr>
              <w:t>Condensed Consolidated Balance Sheets – September 30, 2023 and December 31, 2022</w:t>
            </w: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9160" w:type="dxa"/>
            <w:vAlign w:val="bottom"/>
            <w:gridSpan w:val="13"/>
          </w:tcPr>
          <w:p>
            <w:pPr>
              <w:spacing w:after="0"/>
              <w:rPr>
                <w:sz w:val="20"/>
                <w:szCs w:val="20"/>
                <w:color w:val="auto"/>
              </w:rPr>
            </w:pPr>
            <w:r>
              <w:rPr>
                <w:rFonts w:ascii="Arial" w:cs="Arial" w:eastAsia="Arial" w:hAnsi="Arial"/>
                <w:sz w:val="18"/>
                <w:szCs w:val="18"/>
                <w:color w:val="0000FF"/>
              </w:rPr>
              <w:t>Condensed Consolidated Statements of Cash Flows – Nine Months Ended September 30, 2023 and 2022</w:t>
            </w: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9160" w:type="dxa"/>
            <w:vAlign w:val="bottom"/>
            <w:gridSpan w:val="13"/>
          </w:tcPr>
          <w:p>
            <w:pPr>
              <w:spacing w:after="0"/>
              <w:rPr>
                <w:sz w:val="20"/>
                <w:szCs w:val="20"/>
                <w:color w:val="auto"/>
              </w:rPr>
            </w:pPr>
            <w:r>
              <w:rPr>
                <w:rFonts w:ascii="Arial" w:cs="Arial" w:eastAsia="Arial" w:hAnsi="Arial"/>
                <w:sz w:val="18"/>
                <w:szCs w:val="18"/>
                <w:color w:val="0000FF"/>
              </w:rPr>
              <w:t>Condensed Consolidated Statements of Equity – Three and Nine Months Ended September 30, 2023 and 2022</w:t>
            </w: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9160" w:type="dxa"/>
            <w:vAlign w:val="bottom"/>
            <w:gridSpan w:val="13"/>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2240" w:type="dxa"/>
            <w:vAlign w:val="bottom"/>
            <w:tcBorders>
              <w:right w:val="single" w:sz="8" w:color="0000EE"/>
            </w:tcBorders>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Item 2.</w:t>
            </w:r>
          </w:p>
        </w:tc>
        <w:tc>
          <w:tcPr>
            <w:tcW w:w="9160" w:type="dxa"/>
            <w:vAlign w:val="bottom"/>
            <w:gridSpan w:val="13"/>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Item 3.</w:t>
            </w:r>
          </w:p>
        </w:tc>
        <w:tc>
          <w:tcPr>
            <w:tcW w:w="9160" w:type="dxa"/>
            <w:vAlign w:val="bottom"/>
            <w:gridSpan w:val="13"/>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Item 4.</w:t>
            </w:r>
          </w:p>
        </w:tc>
        <w:tc>
          <w:tcPr>
            <w:tcW w:w="9160" w:type="dxa"/>
            <w:vAlign w:val="bottom"/>
            <w:gridSpan w:val="13"/>
          </w:tcPr>
          <w:p>
            <w:pPr>
              <w:spacing w:after="0"/>
              <w:rPr>
                <w:sz w:val="20"/>
                <w:szCs w:val="20"/>
                <w:color w:val="auto"/>
              </w:rPr>
            </w:pPr>
            <w:r>
              <w:rPr>
                <w:rFonts w:ascii="Arial" w:cs="Arial" w:eastAsia="Arial" w:hAnsi="Arial"/>
                <w:sz w:val="18"/>
                <w:szCs w:val="18"/>
                <w:color w:val="0000FF"/>
              </w:rPr>
              <w:t>Controls and Procedures</w:t>
            </w: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360" w:type="dxa"/>
            <w:vAlign w:val="bottom"/>
            <w:gridSpan w:val="7"/>
          </w:tcPr>
          <w:p>
            <w:pPr>
              <w:spacing w:after="0"/>
              <w:rPr>
                <w:sz w:val="20"/>
                <w:szCs w:val="20"/>
                <w:color w:val="auto"/>
              </w:rPr>
            </w:pPr>
            <w:r>
              <w:rPr>
                <w:rFonts w:ascii="Arial" w:cs="Arial" w:eastAsia="Arial" w:hAnsi="Arial"/>
                <w:sz w:val="18"/>
                <w:szCs w:val="18"/>
                <w:b w:val="1"/>
                <w:bCs w:val="1"/>
                <w:color w:val="0000FF"/>
              </w:rPr>
              <w:t>PART II</w:t>
            </w:r>
          </w:p>
        </w:tc>
        <w:tc>
          <w:tcPr>
            <w:tcW w:w="57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4360" w:type="dxa"/>
            <w:vAlign w:val="bottom"/>
            <w:gridSpan w:val="7"/>
          </w:tcPr>
          <w:p>
            <w:pPr>
              <w:spacing w:after="0"/>
              <w:rPr>
                <w:sz w:val="20"/>
                <w:szCs w:val="20"/>
                <w:color w:val="auto"/>
              </w:rPr>
            </w:pPr>
            <w:r>
              <w:rPr>
                <w:rFonts w:ascii="Arial" w:cs="Arial" w:eastAsia="Arial" w:hAnsi="Arial"/>
                <w:sz w:val="18"/>
                <w:szCs w:val="18"/>
                <w:color w:val="0000FF"/>
              </w:rPr>
              <w:t>Legal Proceedings</w:t>
            </w:r>
          </w:p>
        </w:tc>
        <w:tc>
          <w:tcPr>
            <w:tcW w:w="57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4360" w:type="dxa"/>
            <w:vAlign w:val="bottom"/>
            <w:gridSpan w:val="7"/>
          </w:tcPr>
          <w:p>
            <w:pPr>
              <w:spacing w:after="0"/>
              <w:rPr>
                <w:sz w:val="20"/>
                <w:szCs w:val="20"/>
                <w:color w:val="auto"/>
              </w:rPr>
            </w:pPr>
            <w:r>
              <w:rPr>
                <w:rFonts w:ascii="Arial" w:cs="Arial" w:eastAsia="Arial" w:hAnsi="Arial"/>
                <w:sz w:val="18"/>
                <w:szCs w:val="18"/>
                <w:color w:val="0000FF"/>
              </w:rPr>
              <w:t>Risk Factors</w:t>
            </w:r>
          </w:p>
        </w:tc>
        <w:tc>
          <w:tcPr>
            <w:tcW w:w="57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4360" w:type="dxa"/>
            <w:vAlign w:val="bottom"/>
            <w:gridSpan w:val="7"/>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57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4360" w:type="dxa"/>
            <w:vAlign w:val="bottom"/>
            <w:gridSpan w:val="7"/>
          </w:tcPr>
          <w:p>
            <w:pPr>
              <w:spacing w:after="0"/>
              <w:rPr>
                <w:sz w:val="20"/>
                <w:szCs w:val="20"/>
                <w:color w:val="auto"/>
              </w:rPr>
            </w:pPr>
            <w:r>
              <w:rPr>
                <w:rFonts w:ascii="Arial" w:cs="Arial" w:eastAsia="Arial" w:hAnsi="Arial"/>
                <w:sz w:val="18"/>
                <w:szCs w:val="18"/>
                <w:color w:val="0000FF"/>
              </w:rPr>
              <w:t>Defaults Upon Senior Securities</w:t>
            </w:r>
          </w:p>
        </w:tc>
        <w:tc>
          <w:tcPr>
            <w:tcW w:w="57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4360" w:type="dxa"/>
            <w:vAlign w:val="bottom"/>
            <w:gridSpan w:val="7"/>
          </w:tcPr>
          <w:p>
            <w:pPr>
              <w:spacing w:after="0"/>
              <w:rPr>
                <w:sz w:val="20"/>
                <w:szCs w:val="20"/>
                <w:color w:val="auto"/>
              </w:rPr>
            </w:pPr>
            <w:r>
              <w:rPr>
                <w:rFonts w:ascii="Arial" w:cs="Arial" w:eastAsia="Arial" w:hAnsi="Arial"/>
                <w:sz w:val="18"/>
                <w:szCs w:val="18"/>
                <w:color w:val="0000FF"/>
              </w:rPr>
              <w:t>Mine Safety Disclosures</w:t>
            </w:r>
          </w:p>
        </w:tc>
        <w:tc>
          <w:tcPr>
            <w:tcW w:w="57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4360" w:type="dxa"/>
            <w:vAlign w:val="bottom"/>
            <w:gridSpan w:val="7"/>
          </w:tcPr>
          <w:p>
            <w:pPr>
              <w:spacing w:after="0"/>
              <w:rPr>
                <w:sz w:val="20"/>
                <w:szCs w:val="20"/>
                <w:color w:val="auto"/>
              </w:rPr>
            </w:pPr>
            <w:r>
              <w:rPr>
                <w:rFonts w:ascii="Arial" w:cs="Arial" w:eastAsia="Arial" w:hAnsi="Arial"/>
                <w:sz w:val="18"/>
                <w:szCs w:val="18"/>
                <w:color w:val="0000FF"/>
              </w:rPr>
              <w:t>Other Information</w:t>
            </w:r>
          </w:p>
        </w:tc>
        <w:tc>
          <w:tcPr>
            <w:tcW w:w="57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4360" w:type="dxa"/>
            <w:vAlign w:val="bottom"/>
            <w:gridSpan w:val="7"/>
          </w:tcPr>
          <w:p>
            <w:pPr>
              <w:spacing w:after="0"/>
              <w:rPr>
                <w:sz w:val="20"/>
                <w:szCs w:val="20"/>
                <w:color w:val="auto"/>
              </w:rPr>
            </w:pPr>
            <w:r>
              <w:rPr>
                <w:rFonts w:ascii="Arial" w:cs="Arial" w:eastAsia="Arial" w:hAnsi="Arial"/>
                <w:sz w:val="18"/>
                <w:szCs w:val="18"/>
                <w:color w:val="0000FF"/>
              </w:rPr>
              <w:t>Exhibits</w:t>
            </w:r>
          </w:p>
        </w:tc>
        <w:tc>
          <w:tcPr>
            <w:tcW w:w="57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66"/>
        </w:trPr>
        <w:tc>
          <w:tcPr>
            <w:tcW w:w="1180" w:type="dxa"/>
            <w:vAlign w:val="bottom"/>
            <w:gridSpan w:val="3"/>
          </w:tcPr>
          <w:p>
            <w:pPr>
              <w:ind w:left="20"/>
              <w:spacing w:after="0"/>
              <w:rPr>
                <w:sz w:val="20"/>
                <w:szCs w:val="20"/>
                <w:color w:val="auto"/>
              </w:rPr>
            </w:pPr>
            <w:r>
              <w:rPr>
                <w:rFonts w:ascii="Arial" w:cs="Arial" w:eastAsia="Arial" w:hAnsi="Arial"/>
                <w:sz w:val="18"/>
                <w:szCs w:val="18"/>
                <w:color w:val="0000FF"/>
              </w:rPr>
              <w:t>Signatures</w:t>
            </w:r>
          </w:p>
        </w:tc>
        <w:tc>
          <w:tcPr>
            <w:tcW w:w="6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682"/>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00" w:type="dxa"/>
            <w:vAlign w:val="bottom"/>
          </w:tcPr>
          <w:p>
            <w:pPr>
              <w:jc w:val="right"/>
              <w:ind w:right="5490"/>
              <w:spacing w:after="0"/>
              <w:rPr>
                <w:sz w:val="20"/>
                <w:szCs w:val="20"/>
                <w:color w:val="auto"/>
              </w:rPr>
            </w:pPr>
            <w:r>
              <w:rPr>
                <w:rFonts w:ascii="Arial" w:cs="Arial" w:eastAsia="Arial" w:hAnsi="Arial"/>
                <w:sz w:val="18"/>
                <w:szCs w:val="18"/>
                <w:color w:val="auto"/>
                <w:w w:val="99"/>
              </w:rPr>
              <w:t>2</w:t>
            </w: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ADEIA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gridSpan w:val="5"/>
          </w:tcPr>
          <w:p>
            <w:pPr>
              <w:jc w:val="right"/>
              <w:ind w:right="8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3000" w:type="dxa"/>
            <w:vAlign w:val="bottom"/>
            <w:gridSpan w:val="5"/>
          </w:tcPr>
          <w:p>
            <w:pPr>
              <w:jc w:val="right"/>
              <w:ind w:right="761"/>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1"/>
        </w:trPr>
        <w:tc>
          <w:tcPr>
            <w:tcW w:w="48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87"/>
              </w:rPr>
              <w:t>September 30,</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September 30,</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87"/>
              </w:rPr>
              <w:t>September 30,</w:t>
            </w: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September 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101,397</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89,297</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301,921</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335,644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39,895</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21,921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34,770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71,177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103,430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expense</w:t>
            </w: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23,386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24,195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70,725</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200"/>
              <w:spacing w:after="0"/>
              <w:rPr>
                <w:sz w:val="20"/>
                <w:szCs w:val="20"/>
                <w:color w:val="auto"/>
              </w:rPr>
            </w:pPr>
            <w:r>
              <w:rPr>
                <w:rFonts w:ascii="Arial" w:cs="Arial" w:eastAsia="Arial" w:hAnsi="Arial"/>
                <w:sz w:val="18"/>
                <w:szCs w:val="18"/>
                <w:color w:val="auto"/>
              </w:rPr>
              <w:t>Litigation expense</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61,280</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73,655</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188,958</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215,827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860" w:type="dxa"/>
            <w:vAlign w:val="bottom"/>
          </w:tcPr>
          <w:p>
            <w:pPr>
              <w:ind w:left="200"/>
              <w:spacing w:after="0"/>
              <w:rPr>
                <w:sz w:val="20"/>
                <w:szCs w:val="20"/>
                <w:color w:val="auto"/>
              </w:rPr>
            </w:pPr>
            <w:r>
              <w:rPr>
                <w:rFonts w:ascii="Arial" w:cs="Arial" w:eastAsia="Arial" w:hAnsi="Arial"/>
                <w:sz w:val="18"/>
                <w:szCs w:val="18"/>
                <w:color w:val="auto"/>
              </w:rPr>
              <w:t>Operating income from continuing operations</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40,117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15,642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112,963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119,817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(15,659 )</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(12,444 )</w:t>
            </w:r>
          </w:p>
        </w:tc>
        <w:tc>
          <w:tcPr>
            <w:tcW w:w="1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(47,137 )</w:t>
            </w:r>
          </w:p>
        </w:tc>
        <w:tc>
          <w:tcPr>
            <w:tcW w:w="1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(30,313 )</w:t>
            </w: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Other income and expense, net</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from continuing operations before income taxes</w:t>
            </w: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25,944</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4,058</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70,549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15,877</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12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24,232</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(6,343</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54,672</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64,662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Net loss from discontinued operations, net of tax</w:t>
            </w:r>
          </w:p>
        </w:tc>
        <w:tc>
          <w:tcPr>
            <w:tcW w:w="12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(383,476 )</w:t>
            </w:r>
          </w:p>
        </w:tc>
        <w:tc>
          <w:tcPr>
            <w:tcW w:w="12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(436,978 )</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24,232</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(389,819</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54,672</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(372,316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5"/>
        </w:trPr>
        <w:tc>
          <w:tcPr>
            <w:tcW w:w="4860" w:type="dxa"/>
            <w:vAlign w:val="bottom"/>
          </w:tcPr>
          <w:p>
            <w:pPr>
              <w:ind w:left="200"/>
              <w:spacing w:after="0"/>
              <w:rPr>
                <w:sz w:val="20"/>
                <w:szCs w:val="20"/>
                <w:color w:val="auto"/>
              </w:rPr>
            </w:pPr>
            <w:r>
              <w:rPr>
                <w:rFonts w:ascii="Arial" w:cs="Arial" w:eastAsia="Arial" w:hAnsi="Arial"/>
                <w:sz w:val="18"/>
                <w:szCs w:val="18"/>
                <w:color w:val="auto"/>
              </w:rPr>
              <w:t>Less: Net loss attributable to non-controlling interest in</w:t>
            </w:r>
          </w:p>
        </w:tc>
        <w:tc>
          <w:tcPr>
            <w:tcW w:w="120" w:type="dxa"/>
            <w:vAlign w:val="bottom"/>
          </w:tcPr>
          <w:p>
            <w:pPr>
              <w:spacing w:after="0"/>
              <w:rPr>
                <w:sz w:val="18"/>
                <w:szCs w:val="18"/>
                <w:color w:val="auto"/>
              </w:rPr>
            </w:pPr>
          </w:p>
        </w:tc>
        <w:tc>
          <w:tcPr>
            <w:tcW w:w="14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(890 )</w:t>
            </w:r>
          </w:p>
        </w:tc>
        <w:tc>
          <w:tcPr>
            <w:tcW w:w="120" w:type="dxa"/>
            <w:vAlign w:val="bottom"/>
          </w:tcPr>
          <w:p>
            <w:pPr>
              <w:spacing w:after="0"/>
              <w:rPr>
                <w:sz w:val="18"/>
                <w:szCs w:val="18"/>
                <w:color w:val="auto"/>
              </w:rPr>
            </w:pPr>
          </w:p>
        </w:tc>
        <w:tc>
          <w:tcPr>
            <w:tcW w:w="14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8"/>
                <w:szCs w:val="18"/>
                <w:color w:val="auto"/>
              </w:rPr>
              <w:t>(2,706 )</w:t>
            </w:r>
          </w:p>
        </w:tc>
        <w:tc>
          <w:tcPr>
            <w:tcW w:w="0" w:type="dxa"/>
            <w:vAlign w:val="bottom"/>
          </w:tcPr>
          <w:p>
            <w:pPr>
              <w:spacing w:after="0"/>
              <w:rPr>
                <w:sz w:val="1"/>
                <w:szCs w:val="1"/>
                <w:color w:val="auto"/>
              </w:rPr>
            </w:pPr>
          </w:p>
        </w:tc>
      </w:tr>
      <w:tr>
        <w:trPr>
          <w:trHeight w:val="230"/>
        </w:trPr>
        <w:tc>
          <w:tcPr>
            <w:tcW w:w="486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(loss) attributable to the Company</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24,232</w:t>
            </w:r>
          </w:p>
        </w:tc>
        <w:tc>
          <w:tcPr>
            <w:tcW w:w="2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(388,929</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54,672</w:t>
            </w:r>
          </w:p>
        </w:tc>
        <w:tc>
          <w:tcPr>
            <w:tcW w:w="2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(369,610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Income (loss) per share:</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300"/>
              <w:spacing w:after="0"/>
              <w:rPr>
                <w:sz w:val="20"/>
                <w:szCs w:val="20"/>
                <w:color w:val="auto"/>
              </w:rPr>
            </w:pPr>
            <w:r>
              <w:rPr>
                <w:rFonts w:ascii="Arial" w:cs="Arial" w:eastAsia="Arial" w:hAnsi="Arial"/>
                <w:sz w:val="18"/>
                <w:szCs w:val="18"/>
                <w:color w:val="auto"/>
              </w:rPr>
              <w:t>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0.23</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(0.06 )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0.51</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CFF0FC"/>
          </w:tcPr>
          <w:p>
            <w:pPr>
              <w:ind w:left="300"/>
              <w:spacing w:after="0"/>
              <w:rPr>
                <w:sz w:val="20"/>
                <w:szCs w:val="20"/>
                <w:color w:val="auto"/>
              </w:rPr>
            </w:pPr>
            <w:r>
              <w:rPr>
                <w:rFonts w:ascii="Arial" w:cs="Arial" w:eastAsia="Arial" w:hAnsi="Arial"/>
                <w:sz w:val="18"/>
                <w:szCs w:val="18"/>
                <w:color w:val="auto"/>
              </w:rPr>
              <w:t>Discontinued operations</w:t>
            </w: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(3.66 )</w:t>
            </w:r>
          </w:p>
        </w:tc>
        <w:tc>
          <w:tcPr>
            <w:tcW w:w="1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(4.17 )</w:t>
            </w:r>
          </w:p>
        </w:tc>
        <w:tc>
          <w:tcPr>
            <w:tcW w:w="0" w:type="dxa"/>
            <w:vAlign w:val="bottom"/>
          </w:tcPr>
          <w:p>
            <w:pPr>
              <w:spacing w:after="0"/>
              <w:rPr>
                <w:sz w:val="1"/>
                <w:szCs w:val="1"/>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60" w:type="dxa"/>
            <w:vAlign w:val="bottom"/>
          </w:tcPr>
          <w:p>
            <w:pPr>
              <w:ind w:left="300"/>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0.23</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(3.72 )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0.51</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(3.55 )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300"/>
              <w:spacing w:after="0"/>
              <w:rPr>
                <w:sz w:val="20"/>
                <w:szCs w:val="20"/>
                <w:color w:val="auto"/>
              </w:rPr>
            </w:pPr>
            <w:r>
              <w:rPr>
                <w:rFonts w:ascii="Arial" w:cs="Arial" w:eastAsia="Arial" w:hAnsi="Arial"/>
                <w:sz w:val="18"/>
                <w:szCs w:val="18"/>
                <w:color w:val="auto"/>
              </w:rPr>
              <w:t>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0.21</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(0.06 )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0.48</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CFF0FC"/>
          </w:tcPr>
          <w:p>
            <w:pPr>
              <w:ind w:left="300"/>
              <w:spacing w:after="0"/>
              <w:rPr>
                <w:sz w:val="20"/>
                <w:szCs w:val="20"/>
                <w:color w:val="auto"/>
              </w:rPr>
            </w:pPr>
            <w:r>
              <w:rPr>
                <w:rFonts w:ascii="Arial" w:cs="Arial" w:eastAsia="Arial" w:hAnsi="Arial"/>
                <w:sz w:val="18"/>
                <w:szCs w:val="18"/>
                <w:color w:val="auto"/>
              </w:rPr>
              <w:t>Discontinued operations</w:t>
            </w: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(3.66 )</w:t>
            </w:r>
          </w:p>
        </w:tc>
        <w:tc>
          <w:tcPr>
            <w:tcW w:w="1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(4.11 )</w:t>
            </w:r>
          </w:p>
        </w:tc>
        <w:tc>
          <w:tcPr>
            <w:tcW w:w="0" w:type="dxa"/>
            <w:vAlign w:val="bottom"/>
          </w:tcPr>
          <w:p>
            <w:pPr>
              <w:spacing w:after="0"/>
              <w:rPr>
                <w:sz w:val="1"/>
                <w:szCs w:val="1"/>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60" w:type="dxa"/>
            <w:vAlign w:val="bottom"/>
          </w:tcPr>
          <w:p>
            <w:pPr>
              <w:ind w:left="300"/>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0.21</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(3.72 )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0.48</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Weighted average number of shares used in per share</w:t>
            </w:r>
          </w:p>
        </w:tc>
        <w:tc>
          <w:tcPr>
            <w:tcW w:w="120" w:type="dxa"/>
            <w:vAlign w:val="bottom"/>
            <w:shd w:val="clear" w:color="auto" w:fill="CFF0FC"/>
          </w:tcPr>
          <w:p>
            <w:pPr>
              <w:spacing w:after="0"/>
              <w:rPr>
                <w:sz w:val="17"/>
                <w:szCs w:val="17"/>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106,902</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104,510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106,322</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104,066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calculations-basic</w:t>
            </w:r>
          </w:p>
        </w:tc>
        <w:tc>
          <w:tcPr>
            <w:tcW w:w="12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60" w:type="dxa"/>
            <w:vAlign w:val="bottom"/>
          </w:tcPr>
          <w:p>
            <w:pPr>
              <w:ind w:left="200"/>
              <w:spacing w:after="0"/>
              <w:rPr>
                <w:sz w:val="20"/>
                <w:szCs w:val="20"/>
                <w:color w:val="auto"/>
              </w:rPr>
            </w:pPr>
            <w:r>
              <w:rPr>
                <w:rFonts w:ascii="Arial" w:cs="Arial" w:eastAsia="Arial" w:hAnsi="Arial"/>
                <w:sz w:val="18"/>
                <w:szCs w:val="18"/>
                <w:color w:val="auto"/>
              </w:rPr>
              <w:t>Weighted average number of shares used in per share</w:t>
            </w:r>
          </w:p>
        </w:tc>
        <w:tc>
          <w:tcPr>
            <w:tcW w:w="12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112,929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104,510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112,765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105,620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0"/>
              <w:spacing w:after="0"/>
              <w:rPr>
                <w:sz w:val="20"/>
                <w:szCs w:val="20"/>
                <w:color w:val="auto"/>
              </w:rPr>
            </w:pPr>
            <w:r>
              <w:rPr>
                <w:rFonts w:ascii="Arial" w:cs="Arial" w:eastAsia="Arial" w:hAnsi="Arial"/>
                <w:sz w:val="18"/>
                <w:szCs w:val="18"/>
                <w:color w:val="auto"/>
              </w:rPr>
              <w:t>calculations-diluted</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-3796665</wp:posOffset>
            </wp:positionV>
            <wp:extent cx="7747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-3796665</wp:posOffset>
            </wp:positionV>
            <wp:extent cx="6858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-3796665</wp:posOffset>
            </wp:positionV>
            <wp:extent cx="6858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-3796665</wp:posOffset>
            </wp:positionV>
            <wp:extent cx="6858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-2845435</wp:posOffset>
            </wp:positionV>
            <wp:extent cx="7747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-2845435</wp:posOffset>
            </wp:positionV>
            <wp:extent cx="685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-2845435</wp:posOffset>
            </wp:positionV>
            <wp:extent cx="685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-2519680</wp:posOffset>
            </wp:positionV>
            <wp:extent cx="77470" cy="300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-2519680</wp:posOffset>
            </wp:positionV>
            <wp:extent cx="68580" cy="300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-2519680</wp:posOffset>
            </wp:positionV>
            <wp:extent cx="68580" cy="3003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3003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-2065020</wp:posOffset>
            </wp:positionV>
            <wp:extent cx="318897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88970" cy="17970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-1422400</wp:posOffset>
            </wp:positionV>
            <wp:extent cx="7747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-1422400</wp:posOffset>
            </wp:positionV>
            <wp:extent cx="6858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-1422400</wp:posOffset>
            </wp:positionV>
            <wp:extent cx="6858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-770890</wp:posOffset>
            </wp:positionV>
            <wp:extent cx="7747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-770890</wp:posOffset>
            </wp:positionV>
            <wp:extent cx="6858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-770890</wp:posOffset>
            </wp:positionV>
            <wp:extent cx="6858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-299085</wp:posOffset>
            </wp:positionV>
            <wp:extent cx="77470" cy="2997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29972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-299085</wp:posOffset>
            </wp:positionV>
            <wp:extent cx="68580" cy="2997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-299085</wp:posOffset>
            </wp:positionV>
            <wp:extent cx="68580" cy="2997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2997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29972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ADEIA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5"/>
          </w:tcPr>
          <w:p>
            <w:pPr>
              <w:jc w:val="right"/>
              <w:ind w:right="76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500" w:type="dxa"/>
            <w:vAlign w:val="bottom"/>
            <w:gridSpan w:val="5"/>
          </w:tcPr>
          <w:p>
            <w:pPr>
              <w:jc w:val="right"/>
              <w:ind w:right="668"/>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58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68"/>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68"/>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right"/>
              <w:ind w:right="268"/>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68"/>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1"/>
                <w:szCs w:val="11"/>
                <w:color w:val="auto"/>
              </w:rPr>
            </w:pPr>
          </w:p>
        </w:tc>
      </w:tr>
      <w:tr>
        <w:trPr>
          <w:trHeight w:val="185"/>
        </w:trPr>
        <w:tc>
          <w:tcPr>
            <w:tcW w:w="5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169"/>
        </w:trPr>
        <w:tc>
          <w:tcPr>
            <w:tcW w:w="5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24,232</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(389,819</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54,672</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(372,316</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75"/>
        </w:trPr>
        <w:tc>
          <w:tcPr>
            <w:tcW w:w="586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Change in foreign currency translation adjustment</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(1,523 )</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(4,441 )</w:t>
            </w:r>
          </w:p>
        </w:tc>
      </w:tr>
      <w:tr>
        <w:trPr>
          <w:trHeight w:val="176"/>
        </w:trPr>
        <w:tc>
          <w:tcPr>
            <w:tcW w:w="5860" w:type="dxa"/>
            <w:vAlign w:val="bottom"/>
          </w:tcPr>
          <w:p>
            <w:pPr>
              <w:ind w:left="200"/>
              <w:spacing w:after="0"/>
              <w:rPr>
                <w:sz w:val="20"/>
                <w:szCs w:val="20"/>
                <w:color w:val="auto"/>
              </w:rPr>
            </w:pPr>
            <w:r>
              <w:rPr>
                <w:rFonts w:ascii="Arial" w:cs="Arial" w:eastAsia="Arial" w:hAnsi="Arial"/>
                <w:sz w:val="14"/>
                <w:szCs w:val="14"/>
                <w:color w:val="auto"/>
              </w:rPr>
              <w:t>Net unrealized gain (losses) on available-for-sale debt securities</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68"/>
              <w:spacing w:after="0"/>
              <w:rPr>
                <w:sz w:val="20"/>
                <w:szCs w:val="20"/>
                <w:color w:val="auto"/>
              </w:rPr>
            </w:pPr>
            <w:r>
              <w:rPr>
                <w:rFonts w:ascii="Arial" w:cs="Arial" w:eastAsia="Arial" w:hAnsi="Arial"/>
                <w:sz w:val="14"/>
                <w:szCs w:val="14"/>
                <w:color w:val="auto"/>
              </w:rPr>
              <w:t>(27 )</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5"/>
                <w:szCs w:val="15"/>
                <w:color w:val="auto"/>
              </w:rPr>
            </w:pPr>
          </w:p>
        </w:tc>
      </w:tr>
      <w:tr>
        <w:trPr>
          <w:trHeight w:val="169"/>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(1,481</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22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(4,377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5860" w:type="dxa"/>
            <w:vAlign w:val="bottom"/>
          </w:tcPr>
          <w:p>
            <w:pPr>
              <w:ind w:left="20"/>
              <w:spacing w:after="0"/>
              <w:rPr>
                <w:sz w:val="20"/>
                <w:szCs w:val="20"/>
                <w:color w:val="auto"/>
              </w:rPr>
            </w:pPr>
            <w:r>
              <w:rPr>
                <w:rFonts w:ascii="Arial" w:cs="Arial" w:eastAsia="Arial" w:hAnsi="Arial"/>
                <w:sz w:val="14"/>
                <w:szCs w:val="14"/>
                <w:color w:val="auto"/>
              </w:rPr>
              <w:t>Comprehensive income (loss)</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24,244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88"/>
              <w:spacing w:after="0"/>
              <w:rPr>
                <w:sz w:val="20"/>
                <w:szCs w:val="20"/>
                <w:color w:val="auto"/>
              </w:rPr>
            </w:pPr>
            <w:r>
              <w:rPr>
                <w:rFonts w:ascii="Arial" w:cs="Arial" w:eastAsia="Arial" w:hAnsi="Arial"/>
                <w:sz w:val="14"/>
                <w:szCs w:val="14"/>
                <w:color w:val="auto"/>
              </w:rPr>
              <w:t>(391,300 )</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54,654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(376,693 )</w:t>
            </w:r>
          </w:p>
        </w:tc>
      </w:tr>
      <w:tr>
        <w:trPr>
          <w:trHeight w:val="176"/>
        </w:trPr>
        <w:tc>
          <w:tcPr>
            <w:tcW w:w="58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Less: Comprehensive loss attributable to noncontrolling interest</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(890 )</w:t>
            </w: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(2,706 )</w:t>
            </w:r>
          </w:p>
        </w:tc>
      </w:tr>
      <w:tr>
        <w:trPr>
          <w:trHeight w:val="20"/>
        </w:trPr>
        <w:tc>
          <w:tcPr>
            <w:tcW w:w="58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5860" w:type="dxa"/>
            <w:vAlign w:val="bottom"/>
          </w:tcPr>
          <w:p>
            <w:pPr>
              <w:ind w:left="20"/>
              <w:spacing w:after="0"/>
              <w:rPr>
                <w:sz w:val="20"/>
                <w:szCs w:val="20"/>
                <w:color w:val="auto"/>
              </w:rPr>
            </w:pPr>
            <w:r>
              <w:rPr>
                <w:rFonts w:ascii="Arial" w:cs="Arial" w:eastAsia="Arial" w:hAnsi="Arial"/>
                <w:sz w:val="14"/>
                <w:szCs w:val="14"/>
                <w:color w:val="auto"/>
              </w:rPr>
              <w:t>Comprehensive income (loss) attributable to the Company</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24,244</w:t>
            </w:r>
          </w:p>
        </w:tc>
        <w:tc>
          <w:tcPr>
            <w:tcW w:w="2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88"/>
              <w:spacing w:after="0"/>
              <w:rPr>
                <w:sz w:val="20"/>
                <w:szCs w:val="20"/>
                <w:color w:val="auto"/>
              </w:rPr>
            </w:pPr>
            <w:r>
              <w:rPr>
                <w:rFonts w:ascii="Arial" w:cs="Arial" w:eastAsia="Arial" w:hAnsi="Arial"/>
                <w:sz w:val="14"/>
                <w:szCs w:val="14"/>
                <w:color w:val="auto"/>
              </w:rPr>
              <w:t>(390,410 )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54,654</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(373,987 )</w:t>
            </w:r>
          </w:p>
        </w:tc>
      </w:tr>
      <w:tr>
        <w:trPr>
          <w:trHeight w:val="20"/>
        </w:trPr>
        <w:tc>
          <w:tcPr>
            <w:tcW w:w="5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-376555</wp:posOffset>
            </wp:positionV>
            <wp:extent cx="76835" cy="120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-376555</wp:posOffset>
            </wp:positionV>
            <wp:extent cx="68580"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-376555</wp:posOffset>
            </wp:positionV>
            <wp:extent cx="68580" cy="120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1200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-144780</wp:posOffset>
            </wp:positionV>
            <wp:extent cx="76835"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-144780</wp:posOffset>
            </wp:positionV>
            <wp:extent cx="6858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-144780</wp:posOffset>
            </wp:positionV>
            <wp:extent cx="6858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ADEIA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December 31,</w:t>
            </w:r>
          </w:p>
        </w:tc>
      </w:tr>
      <w:tr>
        <w:trPr>
          <w:trHeight w:val="241"/>
        </w:trPr>
        <w:tc>
          <w:tcPr>
            <w:tcW w:w="7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51,855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114,555</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30,245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 of allowance for credit losses of $1,463 and $713, respectively</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44,191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58,480</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Unbilled contracts receivable, net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83,343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73,754</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10,150</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219,784</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258,713</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unbilled contracts receivable</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65,531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40,705</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5,437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4,550</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5,993</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367,146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432,476</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313,660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313,660</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Long-term income tax receivable</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107,923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113,679</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40,026</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40,750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1,124,071</w:t>
            </w:r>
          </w:p>
        </w:tc>
        <w:tc>
          <w:tcPr>
            <w:tcW w:w="2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1,210,526</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10,136</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8,546</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18,509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31,277</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36,988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109,813</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16,279</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17,076</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81,912</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166,712</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Deferred revenue, less current portion</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11,161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10,683</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 net</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576,781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619,580</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3,072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4,794</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income tax payable</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89,248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87,302</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18,072</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20,043</w:t>
            </w:r>
          </w:p>
        </w:tc>
        <w:tc>
          <w:tcPr>
            <w:tcW w:w="100" w:type="dxa"/>
            <w:vAlign w:val="bottom"/>
          </w:tcPr>
          <w:p>
            <w:pPr>
              <w:spacing w:after="0"/>
              <w:rPr>
                <w:sz w:val="20"/>
                <w:szCs w:val="20"/>
                <w:color w:val="auto"/>
              </w:rPr>
            </w:pPr>
          </w:p>
        </w:tc>
      </w:tr>
      <w:tr>
        <w:trPr>
          <w:trHeight w:val="236"/>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780,246</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909,114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Commitments and contingencies (Note 15)</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7740" w:type="dxa"/>
            <w:vAlign w:val="bottom"/>
          </w:tcPr>
          <w:p>
            <w:pPr>
              <w:ind w:left="200"/>
              <w:spacing w:after="0"/>
              <w:rPr>
                <w:sz w:val="20"/>
                <w:szCs w:val="20"/>
                <w:color w:val="auto"/>
              </w:rPr>
            </w:pPr>
            <w:r>
              <w:rPr>
                <w:rFonts w:ascii="Arial" w:cs="Arial" w:eastAsia="Arial" w:hAnsi="Arial"/>
                <w:sz w:val="18"/>
                <w:szCs w:val="18"/>
                <w:color w:val="auto"/>
                <w:w w:val="94"/>
              </w:rPr>
              <w:t>Preferred stock: $0.001 par value; (2023: authorized 15,000 shares; 2022: authorized 15,000 shares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and no shares issued and outstanding)</w:t>
            </w:r>
          </w:p>
        </w:tc>
        <w:tc>
          <w:tcPr>
            <w:tcW w:w="18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2"/>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$0.001 par value; (2023: authorized 350,000 shares, issued 120,359 shares,</w:t>
            </w: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5"/>
              </w:rPr>
              <w:t>outstanding 107,096 shares; 2022: authorized 350,000 shares, issued 117,392 shares, outstanding</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105,167 shares)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634,526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636,266</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Treasury stock at cost (2023: 13,263 shares; 2022: 12,225 shares)</w:t>
            </w:r>
          </w:p>
        </w:tc>
        <w:tc>
          <w:tcPr>
            <w:tcW w:w="18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(221,727 )</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(211,223 )</w:t>
            </w: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(69 )</w:t>
            </w:r>
          </w:p>
        </w:tc>
        <w:tc>
          <w:tcPr>
            <w:tcW w:w="18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(51 )</w:t>
            </w:r>
          </w:p>
        </w:tc>
      </w:tr>
      <w:tr>
        <w:trPr>
          <w:trHeight w:val="243"/>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(69,025 )</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(123,697 )</w:t>
            </w:r>
          </w:p>
        </w:tc>
      </w:tr>
      <w:tr>
        <w:trPr>
          <w:trHeight w:val="237"/>
        </w:trPr>
        <w:tc>
          <w:tcPr>
            <w:tcW w:w="774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343,825</w:t>
            </w: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301,412</w:t>
            </w:r>
          </w:p>
        </w:tc>
        <w:tc>
          <w:tcPr>
            <w:tcW w:w="100" w:type="dxa"/>
            <w:vAlign w:val="bottom"/>
            <w:tcBorders>
              <w:top w:val="single" w:sz="8" w:color="CFF0FC"/>
            </w:tcBorders>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1,124,071</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1,210,526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-5468620</wp:posOffset>
            </wp:positionV>
            <wp:extent cx="6858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-5468620</wp:posOffset>
            </wp:positionV>
            <wp:extent cx="6858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-4217035</wp:posOffset>
            </wp:positionV>
            <wp:extent cx="68580"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-4217035</wp:posOffset>
            </wp:positionV>
            <wp:extent cx="68580"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-2005330</wp:posOffset>
            </wp:positionV>
            <wp:extent cx="68580"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-351155</wp:posOffset>
            </wp:positionV>
            <wp:extent cx="6858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ADEIA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7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w w:val="97"/>
              </w:rPr>
              <w:t>Nine Months Ended</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7760" w:type="dxa"/>
            <w:vAlign w:val="bottom"/>
          </w:tcPr>
          <w:p>
            <w:pPr>
              <w:spacing w:after="0"/>
              <w:rPr>
                <w:sz w:val="20"/>
                <w:szCs w:val="20"/>
                <w:color w:val="auto"/>
              </w:rPr>
            </w:pPr>
          </w:p>
        </w:tc>
        <w:tc>
          <w:tcPr>
            <w:tcW w:w="18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 2023</w:t>
            </w: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September 30, 2022</w:t>
            </w:r>
          </w:p>
        </w:tc>
        <w:tc>
          <w:tcPr>
            <w:tcW w:w="100" w:type="dxa"/>
            <w:vAlign w:val="bottom"/>
          </w:tcPr>
          <w:p>
            <w:pPr>
              <w:spacing w:after="0"/>
              <w:rPr>
                <w:sz w:val="20"/>
                <w:szCs w:val="20"/>
                <w:color w:val="auto"/>
              </w:rPr>
            </w:pPr>
          </w:p>
        </w:tc>
      </w:tr>
      <w:tr>
        <w:trPr>
          <w:trHeight w:val="241"/>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54,672</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(372,316 )</w:t>
            </w:r>
          </w:p>
        </w:tc>
      </w:tr>
      <w:tr>
        <w:trPr>
          <w:trHeight w:val="249"/>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income (loss) to net cash from operating activities:</w:t>
            </w:r>
          </w:p>
        </w:tc>
        <w:tc>
          <w:tcPr>
            <w:tcW w:w="5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8"/>
                <w:szCs w:val="18"/>
                <w:color w:val="auto"/>
              </w:rPr>
              <w:t>Depreciation of property and equipment</w:t>
            </w: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1,151</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16,759</w:t>
            </w:r>
          </w:p>
        </w:tc>
        <w:tc>
          <w:tcPr>
            <w:tcW w:w="100" w:type="dxa"/>
            <w:vAlign w:val="bottom"/>
          </w:tcPr>
          <w:p>
            <w:pPr>
              <w:spacing w:after="0"/>
              <w:rPr>
                <w:sz w:val="20"/>
                <w:szCs w:val="20"/>
                <w:color w:val="auto"/>
              </w:rPr>
            </w:pPr>
          </w:p>
        </w:tc>
      </w:tr>
      <w:tr>
        <w:trPr>
          <w:trHeight w:val="249"/>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of intangible assets</w:t>
            </w:r>
          </w:p>
        </w:tc>
        <w:tc>
          <w:tcPr>
            <w:tcW w:w="5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70,725</w:t>
            </w:r>
          </w:p>
        </w:tc>
        <w:tc>
          <w:tcPr>
            <w:tcW w:w="2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119,293</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8"/>
                <w:szCs w:val="18"/>
                <w:color w:val="auto"/>
              </w:rPr>
              <w:t>Goodwill impairment</w:t>
            </w:r>
          </w:p>
        </w:tc>
        <w:tc>
          <w:tcPr>
            <w:tcW w:w="500" w:type="dxa"/>
            <w:vAlign w:val="bottom"/>
          </w:tcPr>
          <w:p>
            <w:pPr>
              <w:spacing w:after="0"/>
              <w:rPr>
                <w:sz w:val="20"/>
                <w:szCs w:val="20"/>
                <w:color w:val="auto"/>
              </w:rPr>
            </w:pPr>
          </w:p>
        </w:tc>
        <w:tc>
          <w:tcPr>
            <w:tcW w:w="13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354,000</w:t>
            </w:r>
          </w:p>
        </w:tc>
        <w:tc>
          <w:tcPr>
            <w:tcW w:w="100" w:type="dxa"/>
            <w:vAlign w:val="bottom"/>
          </w:tcPr>
          <w:p>
            <w:pPr>
              <w:spacing w:after="0"/>
              <w:rPr>
                <w:sz w:val="20"/>
                <w:szCs w:val="20"/>
                <w:color w:val="auto"/>
              </w:rPr>
            </w:pPr>
          </w:p>
        </w:tc>
      </w:tr>
      <w:tr>
        <w:trPr>
          <w:trHeight w:val="249"/>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 expense</w:t>
            </w:r>
          </w:p>
        </w:tc>
        <w:tc>
          <w:tcPr>
            <w:tcW w:w="5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13,070</w:t>
            </w:r>
          </w:p>
        </w:tc>
        <w:tc>
          <w:tcPr>
            <w:tcW w:w="2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49,283</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(1,761 )</w:t>
            </w:r>
          </w:p>
        </w:tc>
      </w:tr>
      <w:tr>
        <w:trPr>
          <w:trHeight w:val="249"/>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of debt issuance costs</w:t>
            </w:r>
          </w:p>
        </w:tc>
        <w:tc>
          <w:tcPr>
            <w:tcW w:w="5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3,251</w:t>
            </w:r>
          </w:p>
        </w:tc>
        <w:tc>
          <w:tcPr>
            <w:tcW w:w="2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3,325</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0"/>
                <w:szCs w:val="20"/>
                <w:color w:val="auto"/>
              </w:rPr>
            </w:pPr>
          </w:p>
        </w:tc>
      </w:tr>
      <w:tr>
        <w:trPr>
          <w:trHeight w:val="249"/>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5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560"/>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13,728</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40,075</w:t>
            </w:r>
          </w:p>
        </w:tc>
        <w:tc>
          <w:tcPr>
            <w:tcW w:w="100" w:type="dxa"/>
            <w:vAlign w:val="bottom"/>
          </w:tcPr>
          <w:p>
            <w:pPr>
              <w:spacing w:after="0"/>
              <w:rPr>
                <w:sz w:val="20"/>
                <w:szCs w:val="20"/>
                <w:color w:val="auto"/>
              </w:rPr>
            </w:pPr>
          </w:p>
        </w:tc>
      </w:tr>
      <w:tr>
        <w:trPr>
          <w:trHeight w:val="249"/>
        </w:trPr>
        <w:tc>
          <w:tcPr>
            <w:tcW w:w="77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Unbilled contracts receivable</w:t>
            </w:r>
          </w:p>
        </w:tc>
        <w:tc>
          <w:tcPr>
            <w:tcW w:w="5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(34,415 )</w:t>
            </w:r>
          </w:p>
        </w:tc>
        <w:tc>
          <w:tcPr>
            <w:tcW w:w="7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(89,636 )</w:t>
            </w:r>
          </w:p>
        </w:tc>
      </w:tr>
      <w:tr>
        <w:trPr>
          <w:trHeight w:val="237"/>
        </w:trPr>
        <w:tc>
          <w:tcPr>
            <w:tcW w:w="7760" w:type="dxa"/>
            <w:vAlign w:val="bottom"/>
          </w:tcPr>
          <w:p>
            <w:pPr>
              <w:ind w:left="560"/>
              <w:spacing w:after="0"/>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9,993</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7,264</w:t>
            </w:r>
          </w:p>
        </w:tc>
        <w:tc>
          <w:tcPr>
            <w:tcW w:w="100" w:type="dxa"/>
            <w:vAlign w:val="bottom"/>
          </w:tcPr>
          <w:p>
            <w:pPr>
              <w:spacing w:after="0"/>
              <w:rPr>
                <w:sz w:val="20"/>
                <w:szCs w:val="20"/>
                <w:color w:val="auto"/>
              </w:rPr>
            </w:pPr>
          </w:p>
        </w:tc>
      </w:tr>
      <w:tr>
        <w:trPr>
          <w:trHeight w:val="249"/>
        </w:trPr>
        <w:tc>
          <w:tcPr>
            <w:tcW w:w="77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Accounts payable</w:t>
            </w:r>
          </w:p>
        </w:tc>
        <w:tc>
          <w:tcPr>
            <w:tcW w:w="5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2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16,606</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560"/>
              <w:spacing w:after="0"/>
              <w:rPr>
                <w:sz w:val="20"/>
                <w:szCs w:val="20"/>
                <w:color w:val="auto"/>
              </w:rPr>
            </w:pPr>
            <w:r>
              <w:rPr>
                <w:rFonts w:ascii="Arial" w:cs="Arial" w:eastAsia="Arial" w:hAnsi="Arial"/>
                <w:sz w:val="18"/>
                <w:szCs w:val="18"/>
                <w:color w:val="auto"/>
              </w:rPr>
              <w:t>Accrued and other liabilities</w:t>
            </w:r>
          </w:p>
        </w:tc>
        <w:tc>
          <w:tcPr>
            <w:tcW w:w="500" w:type="dxa"/>
            <w:vAlign w:val="bottom"/>
          </w:tcPr>
          <w:p>
            <w:pPr>
              <w:spacing w:after="0"/>
              <w:rPr>
                <w:sz w:val="20"/>
                <w:szCs w:val="20"/>
                <w:color w:val="auto"/>
              </w:rPr>
            </w:pPr>
          </w:p>
        </w:tc>
        <w:tc>
          <w:tcPr>
            <w:tcW w:w="1340" w:type="dxa"/>
            <w:vAlign w:val="bottom"/>
            <w:gridSpan w:val="2"/>
          </w:tcPr>
          <w:p>
            <w:pPr>
              <w:jc w:val="right"/>
              <w:ind w:right="110"/>
              <w:spacing w:after="0"/>
              <w:rPr>
                <w:sz w:val="20"/>
                <w:szCs w:val="20"/>
                <w:color w:val="auto"/>
              </w:rPr>
            </w:pPr>
            <w:r>
              <w:rPr>
                <w:rFonts w:ascii="Arial" w:cs="Arial" w:eastAsia="Arial" w:hAnsi="Arial"/>
                <w:sz w:val="18"/>
                <w:szCs w:val="18"/>
                <w:color w:val="auto"/>
              </w:rPr>
              <w:t>(14,515 )</w:t>
            </w:r>
          </w:p>
        </w:tc>
        <w:tc>
          <w:tcPr>
            <w:tcW w:w="7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2,508</w:t>
            </w:r>
          </w:p>
        </w:tc>
        <w:tc>
          <w:tcPr>
            <w:tcW w:w="100" w:type="dxa"/>
            <w:vAlign w:val="bottom"/>
          </w:tcPr>
          <w:p>
            <w:pPr>
              <w:spacing w:after="0"/>
              <w:rPr>
                <w:sz w:val="20"/>
                <w:szCs w:val="20"/>
                <w:color w:val="auto"/>
              </w:rPr>
            </w:pPr>
          </w:p>
        </w:tc>
      </w:tr>
      <w:tr>
        <w:trPr>
          <w:trHeight w:val="243"/>
        </w:trPr>
        <w:tc>
          <w:tcPr>
            <w:tcW w:w="77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Deferred revenue</w:t>
            </w:r>
          </w:p>
        </w:tc>
        <w:tc>
          <w:tcPr>
            <w:tcW w:w="5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(4,719 )</w:t>
            </w:r>
          </w:p>
        </w:tc>
        <w:tc>
          <w:tcPr>
            <w:tcW w:w="7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(4,345 )</w:t>
            </w:r>
          </w:p>
        </w:tc>
      </w:tr>
      <w:tr>
        <w:trPr>
          <w:trHeight w:val="236"/>
        </w:trPr>
        <w:tc>
          <w:tcPr>
            <w:tcW w:w="7760" w:type="dxa"/>
            <w:vAlign w:val="bottom"/>
            <w:tcBorders>
              <w:top w:val="single" w:sz="8" w:color="CFF0FC"/>
            </w:tcBorders>
          </w:tcPr>
          <w:p>
            <w:pPr>
              <w:ind w:left="740"/>
              <w:spacing w:after="0"/>
              <w:rPr>
                <w:sz w:val="20"/>
                <w:szCs w:val="20"/>
                <w:color w:val="auto"/>
              </w:rPr>
            </w:pPr>
            <w:r>
              <w:rPr>
                <w:rFonts w:ascii="Arial" w:cs="Arial" w:eastAsia="Arial" w:hAnsi="Arial"/>
                <w:sz w:val="18"/>
                <w:szCs w:val="18"/>
                <w:color w:val="auto"/>
              </w:rPr>
              <w:t>Net cash from operating activities</w:t>
            </w:r>
          </w:p>
        </w:tc>
        <w:tc>
          <w:tcPr>
            <w:tcW w:w="5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113,315</w:t>
            </w:r>
          </w:p>
        </w:tc>
        <w:tc>
          <w:tcPr>
            <w:tcW w:w="280" w:type="dxa"/>
            <w:vAlign w:val="bottom"/>
            <w:tcBorders>
              <w:top w:val="single" w:sz="8" w:color="CFF0FC"/>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142,042</w:t>
            </w:r>
          </w:p>
        </w:tc>
        <w:tc>
          <w:tcPr>
            <w:tcW w:w="100" w:type="dxa"/>
            <w:vAlign w:val="bottom"/>
            <w:tcBorders>
              <w:top w:val="single" w:sz="8" w:color="CFF0FC"/>
            </w:tcBorders>
          </w:tcPr>
          <w:p>
            <w:pPr>
              <w:spacing w:after="0"/>
              <w:rPr>
                <w:sz w:val="20"/>
                <w:szCs w:val="20"/>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500" w:type="dxa"/>
            <w:vAlign w:val="bottom"/>
          </w:tcPr>
          <w:p>
            <w:pPr>
              <w:spacing w:after="0"/>
              <w:rPr>
                <w:sz w:val="20"/>
                <w:szCs w:val="20"/>
                <w:color w:val="auto"/>
              </w:rPr>
            </w:pPr>
          </w:p>
        </w:tc>
        <w:tc>
          <w:tcPr>
            <w:tcW w:w="1340" w:type="dxa"/>
            <w:vAlign w:val="bottom"/>
            <w:gridSpan w:val="2"/>
          </w:tcPr>
          <w:p>
            <w:pPr>
              <w:jc w:val="right"/>
              <w:ind w:right="110"/>
              <w:spacing w:after="0"/>
              <w:rPr>
                <w:sz w:val="20"/>
                <w:szCs w:val="20"/>
                <w:color w:val="auto"/>
              </w:rPr>
            </w:pPr>
            <w:r>
              <w:rPr>
                <w:rFonts w:ascii="Arial" w:cs="Arial" w:eastAsia="Arial" w:hAnsi="Arial"/>
                <w:sz w:val="18"/>
                <w:szCs w:val="18"/>
                <w:color w:val="auto"/>
              </w:rPr>
              <w:t>(1,936 )</w:t>
            </w:r>
          </w:p>
        </w:tc>
        <w:tc>
          <w:tcPr>
            <w:tcW w:w="7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(12,576 )</w:t>
            </w:r>
          </w:p>
        </w:tc>
      </w:tr>
      <w:tr>
        <w:trPr>
          <w:trHeight w:val="249"/>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sale of property and equipment</w:t>
            </w:r>
          </w:p>
        </w:tc>
        <w:tc>
          <w:tcPr>
            <w:tcW w:w="5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Cash paid for acquisitions, net of cash acquired</w:t>
            </w:r>
          </w:p>
        </w:tc>
        <w:tc>
          <w:tcPr>
            <w:tcW w:w="500" w:type="dxa"/>
            <w:vAlign w:val="bottom"/>
          </w:tcPr>
          <w:p>
            <w:pPr>
              <w:spacing w:after="0"/>
              <w:rPr>
                <w:sz w:val="20"/>
                <w:szCs w:val="20"/>
                <w:color w:val="auto"/>
              </w:rPr>
            </w:pPr>
          </w:p>
        </w:tc>
        <w:tc>
          <w:tcPr>
            <w:tcW w:w="13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(50,473 )</w:t>
            </w:r>
          </w:p>
        </w:tc>
      </w:tr>
      <w:tr>
        <w:trPr>
          <w:trHeight w:val="249"/>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intangible assets</w:t>
            </w:r>
          </w:p>
        </w:tc>
        <w:tc>
          <w:tcPr>
            <w:tcW w:w="5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(95 )</w:t>
            </w:r>
          </w:p>
        </w:tc>
        <w:tc>
          <w:tcPr>
            <w:tcW w:w="7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(290 )</w:t>
            </w: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500" w:type="dxa"/>
            <w:vAlign w:val="bottom"/>
          </w:tcPr>
          <w:p>
            <w:pPr>
              <w:spacing w:after="0"/>
              <w:rPr>
                <w:sz w:val="20"/>
                <w:szCs w:val="20"/>
                <w:color w:val="auto"/>
              </w:rPr>
            </w:pPr>
          </w:p>
        </w:tc>
        <w:tc>
          <w:tcPr>
            <w:tcW w:w="1340" w:type="dxa"/>
            <w:vAlign w:val="bottom"/>
            <w:gridSpan w:val="2"/>
          </w:tcPr>
          <w:p>
            <w:pPr>
              <w:jc w:val="right"/>
              <w:ind w:right="110"/>
              <w:spacing w:after="0"/>
              <w:rPr>
                <w:sz w:val="20"/>
                <w:szCs w:val="20"/>
                <w:color w:val="auto"/>
              </w:rPr>
            </w:pPr>
            <w:r>
              <w:rPr>
                <w:rFonts w:ascii="Arial" w:cs="Arial" w:eastAsia="Arial" w:hAnsi="Arial"/>
                <w:sz w:val="18"/>
                <w:szCs w:val="18"/>
                <w:color w:val="auto"/>
              </w:rPr>
              <w:t>(33,598 )</w:t>
            </w:r>
          </w:p>
        </w:tc>
        <w:tc>
          <w:tcPr>
            <w:tcW w:w="7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(4,490 )</w:t>
            </w:r>
          </w:p>
        </w:tc>
      </w:tr>
      <w:tr>
        <w:trPr>
          <w:trHeight w:val="249"/>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sales of investments</w:t>
            </w:r>
          </w:p>
        </w:tc>
        <w:tc>
          <w:tcPr>
            <w:tcW w:w="5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28,254</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Proceeds from maturities of investments</w:t>
            </w: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w:t>
            </w:r>
          </w:p>
        </w:tc>
        <w:tc>
          <w:tcPr>
            <w:tcW w:w="2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35,176</w:t>
            </w:r>
          </w:p>
        </w:tc>
        <w:tc>
          <w:tcPr>
            <w:tcW w:w="100" w:type="dxa"/>
            <w:vAlign w:val="bottom"/>
          </w:tcPr>
          <w:p>
            <w:pPr>
              <w:spacing w:after="0"/>
              <w:rPr>
                <w:sz w:val="20"/>
                <w:szCs w:val="20"/>
                <w:color w:val="auto"/>
              </w:rPr>
            </w:pPr>
          </w:p>
        </w:tc>
      </w:tr>
      <w:tr>
        <w:trPr>
          <w:trHeight w:val="237"/>
        </w:trPr>
        <w:tc>
          <w:tcPr>
            <w:tcW w:w="776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from investing activities</w:t>
            </w:r>
          </w:p>
        </w:tc>
        <w:tc>
          <w:tcPr>
            <w:tcW w:w="5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(31,829</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8"/>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Dividends paid</w:t>
            </w:r>
          </w:p>
        </w:tc>
        <w:tc>
          <w:tcPr>
            <w:tcW w:w="5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(15,979 )</w:t>
            </w:r>
          </w:p>
        </w:tc>
        <w:tc>
          <w:tcPr>
            <w:tcW w:w="7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(15,631 )</w:t>
            </w: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Repayment of debt</w:t>
            </w:r>
          </w:p>
        </w:tc>
        <w:tc>
          <w:tcPr>
            <w:tcW w:w="500" w:type="dxa"/>
            <w:vAlign w:val="bottom"/>
          </w:tcPr>
          <w:p>
            <w:pPr>
              <w:spacing w:after="0"/>
              <w:rPr>
                <w:sz w:val="20"/>
                <w:szCs w:val="20"/>
                <w:color w:val="auto"/>
              </w:rPr>
            </w:pPr>
          </w:p>
        </w:tc>
        <w:tc>
          <w:tcPr>
            <w:tcW w:w="1340" w:type="dxa"/>
            <w:vAlign w:val="bottom"/>
            <w:gridSpan w:val="2"/>
          </w:tcPr>
          <w:p>
            <w:pPr>
              <w:jc w:val="right"/>
              <w:ind w:right="110"/>
              <w:spacing w:after="0"/>
              <w:rPr>
                <w:sz w:val="20"/>
                <w:szCs w:val="20"/>
                <w:color w:val="auto"/>
              </w:rPr>
            </w:pPr>
            <w:r>
              <w:rPr>
                <w:rFonts w:ascii="Arial" w:cs="Arial" w:eastAsia="Arial" w:hAnsi="Arial"/>
                <w:sz w:val="18"/>
                <w:szCs w:val="18"/>
                <w:color w:val="auto"/>
              </w:rPr>
              <w:t>(118,875 )</w:t>
            </w:r>
          </w:p>
        </w:tc>
        <w:tc>
          <w:tcPr>
            <w:tcW w:w="7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(30,375 )</w:t>
            </w:r>
          </w:p>
        </w:tc>
      </w:tr>
      <w:tr>
        <w:trPr>
          <w:trHeight w:val="249"/>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employee stock purchase program and exercise of stock options</w:t>
            </w:r>
          </w:p>
        </w:tc>
        <w:tc>
          <w:tcPr>
            <w:tcW w:w="5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w:t>
            </w:r>
          </w:p>
        </w:tc>
        <w:tc>
          <w:tcPr>
            <w:tcW w:w="2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14,252</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500" w:type="dxa"/>
            <w:vAlign w:val="bottom"/>
          </w:tcPr>
          <w:p>
            <w:pPr>
              <w:spacing w:after="0"/>
              <w:rPr>
                <w:sz w:val="20"/>
                <w:szCs w:val="20"/>
                <w:color w:val="auto"/>
              </w:rPr>
            </w:pPr>
          </w:p>
        </w:tc>
        <w:tc>
          <w:tcPr>
            <w:tcW w:w="13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(17,260 )</w:t>
            </w:r>
          </w:p>
        </w:tc>
      </w:tr>
      <w:tr>
        <w:trPr>
          <w:trHeight w:val="243"/>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Repurchases of common stock for tax withholdings on equity awards</w:t>
            </w:r>
          </w:p>
        </w:tc>
        <w:tc>
          <w:tcPr>
            <w:tcW w:w="5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(10,504 )</w:t>
            </w:r>
          </w:p>
        </w:tc>
        <w:tc>
          <w:tcPr>
            <w:tcW w:w="7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(15,325 )</w:t>
            </w:r>
          </w:p>
        </w:tc>
      </w:tr>
      <w:tr>
        <w:trPr>
          <w:trHeight w:val="20"/>
        </w:trPr>
        <w:tc>
          <w:tcPr>
            <w:tcW w:w="77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60" w:type="dxa"/>
            <w:vAlign w:val="bottom"/>
          </w:tcPr>
          <w:p>
            <w:pPr>
              <w:ind w:left="740"/>
              <w:spacing w:after="0"/>
              <w:rPr>
                <w:sz w:val="20"/>
                <w:szCs w:val="20"/>
                <w:color w:val="auto"/>
              </w:rPr>
            </w:pPr>
            <w:r>
              <w:rPr>
                <w:rFonts w:ascii="Arial" w:cs="Arial" w:eastAsia="Arial" w:hAnsi="Arial"/>
                <w:sz w:val="18"/>
                <w:szCs w:val="18"/>
                <w:color w:val="auto"/>
              </w:rPr>
              <w:t>Net cash from financing activities</w:t>
            </w:r>
          </w:p>
        </w:tc>
        <w:tc>
          <w:tcPr>
            <w:tcW w:w="500" w:type="dxa"/>
            <w:vAlign w:val="bottom"/>
          </w:tcPr>
          <w:p>
            <w:pPr>
              <w:spacing w:after="0"/>
              <w:rPr>
                <w:sz w:val="20"/>
                <w:szCs w:val="20"/>
                <w:color w:val="auto"/>
              </w:rPr>
            </w:pPr>
          </w:p>
        </w:tc>
        <w:tc>
          <w:tcPr>
            <w:tcW w:w="1340" w:type="dxa"/>
            <w:vAlign w:val="bottom"/>
            <w:gridSpan w:val="2"/>
          </w:tcPr>
          <w:p>
            <w:pPr>
              <w:jc w:val="right"/>
              <w:ind w:right="110"/>
              <w:spacing w:after="0"/>
              <w:rPr>
                <w:sz w:val="20"/>
                <w:szCs w:val="20"/>
                <w:color w:val="auto"/>
              </w:rPr>
            </w:pPr>
            <w:r>
              <w:rPr>
                <w:rFonts w:ascii="Arial" w:cs="Arial" w:eastAsia="Arial" w:hAnsi="Arial"/>
                <w:sz w:val="18"/>
                <w:szCs w:val="18"/>
                <w:color w:val="auto"/>
              </w:rPr>
              <w:t>(144,186 )</w:t>
            </w:r>
          </w:p>
        </w:tc>
        <w:tc>
          <w:tcPr>
            <w:tcW w:w="7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(64,339 )</w:t>
            </w:r>
          </w:p>
        </w:tc>
      </w:tr>
      <w:tr>
        <w:trPr>
          <w:trHeight w:val="237"/>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50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top w:val="single" w:sz="8" w:color="auto"/>
              <w:bottom w:val="single" w:sz="8" w:color="auto"/>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500" w:type="dxa"/>
            <w:vAlign w:val="bottom"/>
          </w:tcPr>
          <w:p>
            <w:pPr>
              <w:spacing w:after="0"/>
              <w:rPr>
                <w:sz w:val="20"/>
                <w:szCs w:val="20"/>
                <w:color w:val="auto"/>
              </w:rPr>
            </w:pPr>
          </w:p>
        </w:tc>
        <w:tc>
          <w:tcPr>
            <w:tcW w:w="1340" w:type="dxa"/>
            <w:vAlign w:val="bottom"/>
            <w:gridSpan w:val="2"/>
          </w:tcPr>
          <w:p>
            <w:pPr>
              <w:jc w:val="right"/>
              <w:ind w:right="110"/>
              <w:spacing w:after="0"/>
              <w:rPr>
                <w:sz w:val="20"/>
                <w:szCs w:val="20"/>
                <w:color w:val="auto"/>
              </w:rPr>
            </w:pPr>
            <w:r>
              <w:rPr>
                <w:rFonts w:ascii="Arial" w:cs="Arial" w:eastAsia="Arial" w:hAnsi="Arial"/>
                <w:sz w:val="18"/>
                <w:szCs w:val="18"/>
                <w:color w:val="auto"/>
              </w:rPr>
              <w:t>(62,700 )</w:t>
            </w:r>
          </w:p>
        </w:tc>
        <w:tc>
          <w:tcPr>
            <w:tcW w:w="7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69,971</w:t>
            </w:r>
          </w:p>
        </w:tc>
        <w:tc>
          <w:tcPr>
            <w:tcW w:w="100" w:type="dxa"/>
            <w:vAlign w:val="bottom"/>
          </w:tcPr>
          <w:p>
            <w:pPr>
              <w:spacing w:after="0"/>
              <w:rPr>
                <w:sz w:val="20"/>
                <w:szCs w:val="20"/>
                <w:color w:val="auto"/>
              </w:rPr>
            </w:pPr>
          </w:p>
        </w:tc>
      </w:tr>
      <w:tr>
        <w:trPr>
          <w:trHeight w:val="243"/>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5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114,555</w:t>
            </w:r>
          </w:p>
        </w:tc>
        <w:tc>
          <w:tcPr>
            <w:tcW w:w="28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201,121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6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51,855</w:t>
            </w:r>
          </w:p>
        </w:tc>
        <w:tc>
          <w:tcPr>
            <w:tcW w:w="2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271,092</w:t>
            </w:r>
          </w:p>
        </w:tc>
        <w:tc>
          <w:tcPr>
            <w:tcW w:w="100" w:type="dxa"/>
            <w:vAlign w:val="bottom"/>
          </w:tcPr>
          <w:p>
            <w:pPr>
              <w:spacing w:after="0"/>
              <w:rPr>
                <w:sz w:val="20"/>
                <w:szCs w:val="20"/>
                <w:color w:val="auto"/>
              </w:rPr>
            </w:pPr>
          </w:p>
        </w:tc>
      </w:tr>
      <w:tr>
        <w:trPr>
          <w:trHeight w:val="20"/>
        </w:trPr>
        <w:tc>
          <w:tcPr>
            <w:tcW w:w="7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Interest paid</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43,507</w:t>
            </w:r>
          </w:p>
        </w:tc>
        <w:tc>
          <w:tcPr>
            <w:tcW w:w="2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26,797</w:t>
            </w:r>
          </w:p>
        </w:tc>
        <w:tc>
          <w:tcPr>
            <w:tcW w:w="100" w:type="dxa"/>
            <w:vAlign w:val="bottom"/>
          </w:tcPr>
          <w:p>
            <w:pPr>
              <w:spacing w:after="0"/>
              <w:rPr>
                <w:sz w:val="20"/>
                <w:szCs w:val="20"/>
                <w:color w:val="auto"/>
              </w:rPr>
            </w:pPr>
          </w:p>
        </w:tc>
      </w:tr>
      <w:tr>
        <w:trPr>
          <w:trHeight w:val="20"/>
        </w:trPr>
        <w:tc>
          <w:tcPr>
            <w:tcW w:w="7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Income taxes paid, net of refunds</w:t>
            </w:r>
          </w:p>
        </w:tc>
        <w:tc>
          <w:tcPr>
            <w:tcW w:w="5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3,431</w:t>
            </w:r>
          </w:p>
        </w:tc>
        <w:tc>
          <w:tcPr>
            <w:tcW w:w="28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22,389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4"/>
        </w:trPr>
        <w:tc>
          <w:tcPr>
            <w:tcW w:w="7760" w:type="dxa"/>
            <w:vAlign w:val="bottom"/>
          </w:tcPr>
          <w:p>
            <w:pPr>
              <w:ind w:left="200"/>
              <w:spacing w:after="0"/>
              <w:rPr>
                <w:sz w:val="20"/>
                <w:szCs w:val="20"/>
                <w:color w:val="auto"/>
              </w:rPr>
            </w:pPr>
            <w:r>
              <w:rPr>
                <w:rFonts w:ascii="Arial" w:cs="Arial" w:eastAsia="Arial" w:hAnsi="Arial"/>
                <w:sz w:val="18"/>
                <w:szCs w:val="18"/>
                <w:color w:val="auto"/>
              </w:rPr>
              <w:t>Unpaid purchases of property and equipment at the end of the period</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280" w:type="dxa"/>
            <w:vAlign w:val="bottom"/>
          </w:tcPr>
          <w:p>
            <w:pPr>
              <w:spacing w:after="0"/>
              <w:rPr>
                <w:sz w:val="19"/>
                <w:szCs w:val="19"/>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264"/>
        </w:trPr>
        <w:tc>
          <w:tcPr>
            <w:tcW w:w="7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Unpaid purchases of intangible assets at the end of the period</w:t>
            </w:r>
          </w:p>
        </w:tc>
        <w:tc>
          <w:tcPr>
            <w:tcW w:w="5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8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7760" w:type="dxa"/>
            <w:vAlign w:val="bottom"/>
          </w:tcPr>
          <w:p>
            <w:pPr>
              <w:ind w:left="200"/>
              <w:spacing w:after="0"/>
              <w:rPr>
                <w:sz w:val="20"/>
                <w:szCs w:val="20"/>
                <w:color w:val="auto"/>
              </w:rPr>
            </w:pPr>
            <w:r>
              <w:rPr>
                <w:rFonts w:ascii="Arial" w:cs="Arial" w:eastAsia="Arial" w:hAnsi="Arial"/>
                <w:sz w:val="18"/>
                <w:szCs w:val="18"/>
                <w:color w:val="auto"/>
              </w:rPr>
              <w:t>Intangible assets acquired during the period</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w:t>
            </w:r>
          </w:p>
        </w:tc>
        <w:tc>
          <w:tcPr>
            <w:tcW w:w="280" w:type="dxa"/>
            <w:vAlign w:val="bottom"/>
          </w:tcPr>
          <w:p>
            <w:pPr>
              <w:spacing w:after="0"/>
              <w:rPr>
                <w:sz w:val="19"/>
                <w:szCs w:val="19"/>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7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Debt acquired in a business acquisition</w:t>
            </w:r>
          </w:p>
        </w:tc>
        <w:tc>
          <w:tcPr>
            <w:tcW w:w="5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-4568190</wp:posOffset>
            </wp:positionV>
            <wp:extent cx="6858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-4568190</wp:posOffset>
            </wp:positionV>
            <wp:extent cx="6858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-2999740</wp:posOffset>
            </wp:positionV>
            <wp:extent cx="68580"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-2065020</wp:posOffset>
            </wp:positionV>
            <wp:extent cx="6858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-1739265</wp:posOffset>
            </wp:positionV>
            <wp:extent cx="68580"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-1422400</wp:posOffset>
            </wp:positionV>
            <wp:extent cx="6858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-744855</wp:posOffset>
            </wp:positionV>
            <wp:extent cx="1217295" cy="2057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17295" cy="20574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-384810</wp:posOffset>
            </wp:positionV>
            <wp:extent cx="1217295" cy="2057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17295" cy="20574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 w:lineRule="exact"/>
        <w:rPr>
          <w:sz w:val="20"/>
          <w:szCs w:val="20"/>
          <w:color w:val="auto"/>
        </w:rPr>
      </w:pPr>
    </w:p>
    <w:p>
      <w:pPr>
        <w:ind w:right="20"/>
        <w:spacing w:after="0"/>
        <w:rPr>
          <w:sz w:val="20"/>
          <w:szCs w:val="20"/>
          <w:color w:val="auto"/>
        </w:rPr>
      </w:pPr>
      <w:r>
        <w:rPr>
          <w:rFonts w:ascii="Arial" w:cs="Arial" w:eastAsia="Arial" w:hAnsi="Arial"/>
          <w:sz w:val="15"/>
          <w:szCs w:val="15"/>
          <w:i w:val="1"/>
          <w:iCs w:val="1"/>
          <w:color w:val="auto"/>
        </w:rPr>
        <w:t>Cash flows above are presented on a consolidated basis and therefore also include $182.9 million of cash and cash equivalents included in current assets of discontinued operations in the condensed consolidated balance sheet as of September 30, 2022. Refer to “Note 7 – Discontinued Operations” for additional information related to cash flows from discontinued operations.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ADEIA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3"/>
          </w:tcPr>
          <w:p>
            <w:pPr>
              <w:ind w:left="4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8"/>
              </w:rPr>
              <w:t>Addition</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al</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3"/>
          </w:tcPr>
          <w:p>
            <w:pPr>
              <w:ind w:left="40"/>
              <w:spacing w:after="0"/>
              <w:rPr>
                <w:sz w:val="20"/>
                <w:szCs w:val="20"/>
                <w:color w:val="auto"/>
              </w:rPr>
            </w:pPr>
            <w:r>
              <w:rPr>
                <w:rFonts w:ascii="Arial" w:cs="Arial" w:eastAsia="Arial" w:hAnsi="Arial"/>
                <w:sz w:val="16"/>
                <w:szCs w:val="16"/>
                <w:b w:val="1"/>
                <w:bCs w:val="1"/>
                <w:color w:val="auto"/>
              </w:rPr>
              <w:t>Comprehensi</w:t>
            </w:r>
          </w:p>
        </w:tc>
        <w:tc>
          <w:tcPr>
            <w:tcW w:w="102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w:t>
            </w:r>
          </w:p>
        </w:tc>
        <w:tc>
          <w:tcPr>
            <w:tcW w:w="180" w:type="dxa"/>
            <w:vAlign w:val="bottom"/>
          </w:tcPr>
          <w:p>
            <w:pPr>
              <w:spacing w:after="0"/>
              <w:rPr>
                <w:sz w:val="17"/>
                <w:szCs w:val="17"/>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6"/>
                <w:szCs w:val="16"/>
                <w:b w:val="1"/>
                <w:bCs w:val="1"/>
                <w:color w:val="auto"/>
                <w:w w:val="92"/>
              </w:rPr>
              <w:t>Three Months Ended September 30,</w:t>
            </w:r>
          </w:p>
        </w:tc>
        <w:tc>
          <w:tcPr>
            <w:tcW w:w="440" w:type="dxa"/>
            <w:vAlign w:val="bottom"/>
            <w:gridSpan w:val="2"/>
          </w:tcPr>
          <w:p>
            <w:pPr>
              <w:spacing w:after="0"/>
              <w:rPr>
                <w:sz w:val="15"/>
                <w:szCs w:val="15"/>
                <w:color w:val="auto"/>
              </w:rPr>
            </w:pPr>
          </w:p>
        </w:tc>
        <w:tc>
          <w:tcPr>
            <w:tcW w:w="1800" w:type="dxa"/>
            <w:vAlign w:val="bottom"/>
            <w:gridSpan w:val="4"/>
            <w:vMerge w:val="restart"/>
          </w:tcPr>
          <w:p>
            <w:pPr>
              <w:jc w:val="right"/>
              <w:ind w:right="299"/>
              <w:spacing w:after="0"/>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15"/>
                <w:szCs w:val="15"/>
                <w:color w:val="auto"/>
              </w:rPr>
            </w:pPr>
          </w:p>
        </w:tc>
        <w:tc>
          <w:tcPr>
            <w:tcW w:w="920" w:type="dxa"/>
            <w:vAlign w:val="bottom"/>
            <w:gridSpan w:val="2"/>
          </w:tcPr>
          <w:p>
            <w:pPr>
              <w:jc w:val="center"/>
              <w:ind w:right="240"/>
              <w:spacing w:after="0" w:line="176" w:lineRule="exact"/>
              <w:rPr>
                <w:sz w:val="20"/>
                <w:szCs w:val="20"/>
                <w:color w:val="auto"/>
              </w:rPr>
            </w:pPr>
            <w:r>
              <w:rPr>
                <w:rFonts w:ascii="Arial" w:cs="Arial" w:eastAsia="Arial" w:hAnsi="Arial"/>
                <w:sz w:val="16"/>
                <w:szCs w:val="16"/>
                <w:b w:val="1"/>
                <w:bCs w:val="1"/>
                <w:color w:val="auto"/>
                <w:w w:val="97"/>
              </w:rPr>
              <w:t>Paid-In</w:t>
            </w:r>
          </w:p>
        </w:tc>
        <w:tc>
          <w:tcPr>
            <w:tcW w:w="1940" w:type="dxa"/>
            <w:vAlign w:val="bottom"/>
            <w:gridSpan w:val="4"/>
            <w:vMerge w:val="restart"/>
          </w:tcPr>
          <w:p>
            <w:pPr>
              <w:jc w:val="right"/>
              <w:ind w:right="540"/>
              <w:spacing w:after="0"/>
              <w:rPr>
                <w:sz w:val="20"/>
                <w:szCs w:val="20"/>
                <w:color w:val="auto"/>
              </w:rPr>
            </w:pPr>
            <w:r>
              <w:rPr>
                <w:rFonts w:ascii="Arial" w:cs="Arial" w:eastAsia="Arial" w:hAnsi="Arial"/>
                <w:sz w:val="16"/>
                <w:szCs w:val="16"/>
                <w:b w:val="1"/>
                <w:bCs w:val="1"/>
                <w:color w:val="auto"/>
              </w:rPr>
              <w:t>Treasury Stock</w:t>
            </w:r>
          </w:p>
        </w:tc>
        <w:tc>
          <w:tcPr>
            <w:tcW w:w="100" w:type="dxa"/>
            <w:vAlign w:val="bottom"/>
          </w:tcPr>
          <w:p>
            <w:pPr>
              <w:spacing w:after="0"/>
              <w:rPr>
                <w:sz w:val="15"/>
                <w:szCs w:val="15"/>
                <w:color w:val="auto"/>
              </w:rPr>
            </w:pPr>
          </w:p>
        </w:tc>
        <w:tc>
          <w:tcPr>
            <w:tcW w:w="1100" w:type="dxa"/>
            <w:vAlign w:val="bottom"/>
            <w:gridSpan w:val="2"/>
          </w:tcPr>
          <w:p>
            <w:pPr>
              <w:jc w:val="center"/>
              <w:ind w:right="360"/>
              <w:spacing w:after="0" w:line="176" w:lineRule="exact"/>
              <w:rPr>
                <w:sz w:val="20"/>
                <w:szCs w:val="20"/>
                <w:color w:val="auto"/>
              </w:rPr>
            </w:pPr>
            <w:r>
              <w:rPr>
                <w:rFonts w:ascii="Arial" w:cs="Arial" w:eastAsia="Arial" w:hAnsi="Arial"/>
                <w:sz w:val="16"/>
                <w:szCs w:val="16"/>
                <w:b w:val="1"/>
                <w:bCs w:val="1"/>
                <w:color w:val="auto"/>
                <w:w w:val="89"/>
              </w:rPr>
              <w:t>ve Income</w:t>
            </w:r>
          </w:p>
        </w:tc>
        <w:tc>
          <w:tcPr>
            <w:tcW w:w="120" w:type="dxa"/>
            <w:vAlign w:val="bottom"/>
          </w:tcPr>
          <w:p>
            <w:pPr>
              <w:spacing w:after="0"/>
              <w:rPr>
                <w:sz w:val="15"/>
                <w:szCs w:val="15"/>
                <w:color w:val="auto"/>
              </w:rPr>
            </w:pPr>
          </w:p>
        </w:tc>
        <w:tc>
          <w:tcPr>
            <w:tcW w:w="900" w:type="dxa"/>
            <w:vAlign w:val="bottom"/>
            <w:gridSpan w:val="2"/>
          </w:tcPr>
          <w:p>
            <w:pPr>
              <w:jc w:val="center"/>
              <w:ind w:right="380"/>
              <w:spacing w:after="0" w:line="176" w:lineRule="exact"/>
              <w:rPr>
                <w:sz w:val="20"/>
                <w:szCs w:val="20"/>
                <w:color w:val="auto"/>
              </w:rPr>
            </w:pPr>
            <w:r>
              <w:rPr>
                <w:rFonts w:ascii="Arial" w:cs="Arial" w:eastAsia="Arial" w:hAnsi="Arial"/>
                <w:sz w:val="16"/>
                <w:szCs w:val="16"/>
                <w:b w:val="1"/>
                <w:bCs w:val="1"/>
                <w:color w:val="auto"/>
                <w:w w:val="85"/>
              </w:rPr>
              <w:t>ed</w:t>
            </w:r>
          </w:p>
        </w:tc>
        <w:tc>
          <w:tcPr>
            <w:tcW w:w="1120" w:type="dxa"/>
            <w:vAlign w:val="bottom"/>
            <w:gridSpan w:val="3"/>
          </w:tcPr>
          <w:p>
            <w:pPr>
              <w:ind w:left="20"/>
              <w:spacing w:after="0" w:line="176"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183"/>
        </w:trPr>
        <w:tc>
          <w:tcPr>
            <w:tcW w:w="34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w w:val="84"/>
              </w:rPr>
              <w:t>2023</w:t>
            </w:r>
          </w:p>
        </w:tc>
        <w:tc>
          <w:tcPr>
            <w:tcW w:w="2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center"/>
              <w:ind w:right="200"/>
              <w:spacing w:after="0" w:line="183" w:lineRule="exact"/>
              <w:rPr>
                <w:sz w:val="20"/>
                <w:szCs w:val="20"/>
                <w:color w:val="auto"/>
              </w:rPr>
            </w:pPr>
            <w:r>
              <w:rPr>
                <w:rFonts w:ascii="Arial" w:cs="Arial" w:eastAsia="Arial" w:hAnsi="Arial"/>
                <w:sz w:val="16"/>
                <w:szCs w:val="16"/>
                <w:b w:val="1"/>
                <w:bCs w:val="1"/>
                <w:color w:val="auto"/>
                <w:w w:val="97"/>
              </w:rPr>
              <w:t>Capital</w:t>
            </w:r>
          </w:p>
        </w:tc>
        <w:tc>
          <w:tcPr>
            <w:tcW w:w="19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320"/>
              <w:spacing w:after="0" w:line="183" w:lineRule="exact"/>
              <w:rPr>
                <w:sz w:val="20"/>
                <w:szCs w:val="20"/>
                <w:color w:val="auto"/>
              </w:rPr>
            </w:pPr>
            <w:r>
              <w:rPr>
                <w:rFonts w:ascii="Arial" w:cs="Arial" w:eastAsia="Arial" w:hAnsi="Arial"/>
                <w:sz w:val="16"/>
                <w:szCs w:val="16"/>
                <w:b w:val="1"/>
                <w:bCs w:val="1"/>
                <w:color w:val="auto"/>
                <w:w w:val="87"/>
              </w:rPr>
              <w:t>(Loss)</w:t>
            </w:r>
          </w:p>
        </w:tc>
        <w:tc>
          <w:tcPr>
            <w:tcW w:w="120" w:type="dxa"/>
            <w:vAlign w:val="bottom"/>
          </w:tcPr>
          <w:p>
            <w:pPr>
              <w:spacing w:after="0"/>
              <w:rPr>
                <w:sz w:val="15"/>
                <w:szCs w:val="15"/>
                <w:color w:val="auto"/>
              </w:rPr>
            </w:pPr>
          </w:p>
        </w:tc>
        <w:tc>
          <w:tcPr>
            <w:tcW w:w="900" w:type="dxa"/>
            <w:vAlign w:val="bottom"/>
            <w:gridSpan w:val="2"/>
          </w:tcPr>
          <w:p>
            <w:pPr>
              <w:jc w:val="center"/>
              <w:ind w:right="360"/>
              <w:spacing w:after="0" w:line="183" w:lineRule="exact"/>
              <w:rPr>
                <w:sz w:val="20"/>
                <w:szCs w:val="20"/>
                <w:color w:val="auto"/>
              </w:rPr>
            </w:pPr>
            <w:r>
              <w:rPr>
                <w:rFonts w:ascii="Arial" w:cs="Arial" w:eastAsia="Arial" w:hAnsi="Arial"/>
                <w:sz w:val="16"/>
                <w:szCs w:val="16"/>
                <w:b w:val="1"/>
                <w:bCs w:val="1"/>
                <w:color w:val="auto"/>
                <w:w w:val="93"/>
              </w:rPr>
              <w:t>Deficit</w:t>
            </w:r>
          </w:p>
        </w:tc>
        <w:tc>
          <w:tcPr>
            <w:tcW w:w="180" w:type="dxa"/>
            <w:vAlign w:val="bottom"/>
          </w:tcPr>
          <w:p>
            <w:pPr>
              <w:spacing w:after="0"/>
              <w:rPr>
                <w:sz w:val="15"/>
                <w:szCs w:val="15"/>
                <w:color w:val="auto"/>
              </w:rPr>
            </w:pPr>
          </w:p>
        </w:tc>
        <w:tc>
          <w:tcPr>
            <w:tcW w:w="940" w:type="dxa"/>
            <w:vAlign w:val="bottom"/>
            <w:gridSpan w:val="2"/>
          </w:tcPr>
          <w:p>
            <w:pPr>
              <w:jc w:val="center"/>
              <w:ind w:right="280"/>
              <w:spacing w:after="0" w:line="183" w:lineRule="exact"/>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Amount</w:t>
            </w:r>
          </w:p>
        </w:tc>
        <w:tc>
          <w:tcPr>
            <w:tcW w:w="2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gridSpan w:val="4"/>
          </w:tcPr>
          <w:p>
            <w:pPr>
              <w:spacing w:after="0"/>
              <w:rPr>
                <w:sz w:val="20"/>
                <w:szCs w:val="20"/>
                <w:color w:val="auto"/>
              </w:rPr>
            </w:pPr>
            <w:r>
              <w:rPr>
                <w:rFonts w:ascii="Arial" w:cs="Arial" w:eastAsia="Arial" w:hAnsi="Arial"/>
                <w:sz w:val="16"/>
                <w:szCs w:val="16"/>
                <w:b w:val="1"/>
                <w:bCs w:val="1"/>
                <w:color w:val="auto"/>
              </w:rPr>
              <w:t>Balance at July 1, 2023</w:t>
            </w:r>
          </w:p>
        </w:tc>
        <w:tc>
          <w:tcPr>
            <w:tcW w:w="800" w:type="dxa"/>
            <w:vAlign w:val="bottom"/>
          </w:tcPr>
          <w:p>
            <w:pPr>
              <w:jc w:val="right"/>
              <w:spacing w:after="0"/>
              <w:rPr>
                <w:sz w:val="20"/>
                <w:szCs w:val="20"/>
                <w:color w:val="auto"/>
              </w:rPr>
            </w:pPr>
            <w:r>
              <w:rPr>
                <w:rFonts w:ascii="Arial" w:cs="Arial" w:eastAsia="Arial" w:hAnsi="Arial"/>
                <w:sz w:val="16"/>
                <w:szCs w:val="16"/>
                <w:color w:val="auto"/>
              </w:rPr>
              <w:t>106,606</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119</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$ 634,954</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12,989</w:t>
            </w:r>
          </w:p>
        </w:tc>
        <w:tc>
          <w:tcPr>
            <w:tcW w:w="2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 (218,714 )</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(81 )</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(93,257 )</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323,021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298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Net income</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24,232</w:t>
            </w:r>
          </w:p>
        </w:tc>
        <w:tc>
          <w:tcPr>
            <w:tcW w:w="2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24,232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80" w:type="dxa"/>
            <w:vAlign w:val="bottom"/>
            <w:gridSpan w:val="4"/>
          </w:tcPr>
          <w:p>
            <w:pPr>
              <w:spacing w:after="0"/>
              <w:rPr>
                <w:sz w:val="20"/>
                <w:szCs w:val="20"/>
                <w:color w:val="auto"/>
              </w:rPr>
            </w:pPr>
            <w:r>
              <w:rPr>
                <w:rFonts w:ascii="Arial" w:cs="Arial" w:eastAsia="Arial" w:hAnsi="Arial"/>
                <w:sz w:val="16"/>
                <w:szCs w:val="16"/>
                <w:color w:val="auto"/>
              </w:rPr>
              <w:t>Other comprehensive income</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298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Cash dividends paid on common stock</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FF0FC"/>
          </w:tcPr>
          <w:p>
            <w:pPr>
              <w:spacing w:after="0"/>
              <w:rPr>
                <w:sz w:val="19"/>
                <w:szCs w:val="19"/>
                <w:color w:val="auto"/>
              </w:rPr>
            </w:pPr>
          </w:p>
        </w:tc>
        <w:tc>
          <w:tcPr>
            <w:tcW w:w="298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($0.05 per share)</w:t>
            </w: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(5,343 )</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(5,343 )</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980" w:type="dxa"/>
            <w:vAlign w:val="bottom"/>
            <w:gridSpan w:val="4"/>
          </w:tcPr>
          <w:p>
            <w:pPr>
              <w:spacing w:after="0"/>
              <w:rPr>
                <w:sz w:val="20"/>
                <w:szCs w:val="20"/>
                <w:color w:val="auto"/>
              </w:rPr>
            </w:pPr>
            <w:r>
              <w:rPr>
                <w:rFonts w:ascii="Arial" w:cs="Arial" w:eastAsia="Arial" w:hAnsi="Arial"/>
                <w:sz w:val="16"/>
                <w:szCs w:val="16"/>
                <w:color w:val="auto"/>
              </w:rPr>
              <w:t>Issuance of common stock in connection</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4"/>
          </w:tcPr>
          <w:p>
            <w:pPr>
              <w:spacing w:after="0"/>
              <w:rPr>
                <w:sz w:val="20"/>
                <w:szCs w:val="20"/>
                <w:color w:val="auto"/>
              </w:rPr>
            </w:pPr>
            <w:r>
              <w:rPr>
                <w:rFonts w:ascii="Arial" w:cs="Arial" w:eastAsia="Arial" w:hAnsi="Arial"/>
                <w:sz w:val="16"/>
                <w:szCs w:val="16"/>
                <w:color w:val="auto"/>
              </w:rPr>
              <w:t>with exercise of stock options</w:t>
            </w:r>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41</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298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Issuance of restricted stock, net of shares</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FF0FC"/>
          </w:tcPr>
          <w:p>
            <w:pPr>
              <w:spacing w:after="0"/>
              <w:rPr>
                <w:sz w:val="19"/>
                <w:szCs w:val="19"/>
                <w:color w:val="auto"/>
              </w:rPr>
            </w:pPr>
          </w:p>
        </w:tc>
        <w:tc>
          <w:tcPr>
            <w:tcW w:w="298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canceled</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980" w:type="dxa"/>
            <w:vAlign w:val="bottom"/>
            <w:gridSpan w:val="4"/>
          </w:tcPr>
          <w:p>
            <w:pPr>
              <w:spacing w:after="0"/>
              <w:rPr>
                <w:sz w:val="20"/>
                <w:szCs w:val="20"/>
                <w:color w:val="auto"/>
              </w:rPr>
            </w:pPr>
            <w:r>
              <w:rPr>
                <w:rFonts w:ascii="Arial" w:cs="Arial" w:eastAsia="Arial" w:hAnsi="Arial"/>
                <w:sz w:val="16"/>
                <w:szCs w:val="16"/>
                <w:color w:val="auto"/>
              </w:rPr>
              <w:t>Withholding taxes related to net share</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4"/>
          </w:tcPr>
          <w:p>
            <w:pPr>
              <w:spacing w:after="0"/>
              <w:rPr>
                <w:sz w:val="20"/>
                <w:szCs w:val="20"/>
                <w:color w:val="auto"/>
              </w:rPr>
            </w:pPr>
            <w:r>
              <w:rPr>
                <w:rFonts w:ascii="Arial" w:cs="Arial" w:eastAsia="Arial" w:hAnsi="Arial"/>
                <w:sz w:val="16"/>
                <w:szCs w:val="16"/>
                <w:color w:val="auto"/>
              </w:rPr>
              <w:t>settlement of restricted awards</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(274 )</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274</w:t>
            </w:r>
          </w:p>
        </w:tc>
        <w:tc>
          <w:tcPr>
            <w:tcW w:w="1160" w:type="dxa"/>
            <w:vAlign w:val="bottom"/>
            <w:gridSpan w:val="3"/>
          </w:tcPr>
          <w:p>
            <w:pPr>
              <w:jc w:val="right"/>
              <w:ind w:right="140"/>
              <w:spacing w:after="0"/>
              <w:rPr>
                <w:sz w:val="20"/>
                <w:szCs w:val="20"/>
                <w:color w:val="auto"/>
              </w:rPr>
            </w:pPr>
            <w:r>
              <w:rPr>
                <w:rFonts w:ascii="Arial" w:cs="Arial" w:eastAsia="Arial" w:hAnsi="Arial"/>
                <w:sz w:val="16"/>
                <w:szCs w:val="16"/>
                <w:color w:val="auto"/>
              </w:rPr>
              <w:t>(3,013 )</w:t>
            </w: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(3,013 )</w:t>
            </w:r>
          </w:p>
        </w:tc>
        <w:tc>
          <w:tcPr>
            <w:tcW w:w="0" w:type="dxa"/>
            <w:vAlign w:val="bottom"/>
          </w:tcPr>
          <w:p>
            <w:pPr>
              <w:spacing w:after="0"/>
              <w:rPr>
                <w:sz w:val="1"/>
                <w:szCs w:val="1"/>
                <w:color w:val="auto"/>
              </w:rPr>
            </w:pPr>
          </w:p>
        </w:tc>
      </w:tr>
      <w:tr>
        <w:trPr>
          <w:trHeight w:val="233"/>
        </w:trPr>
        <w:tc>
          <w:tcPr>
            <w:tcW w:w="20" w:type="dxa"/>
            <w:vAlign w:val="bottom"/>
            <w:tcBorders>
              <w:bottom w:val="single" w:sz="8" w:color="CFF0FC"/>
            </w:tcBorders>
            <w:shd w:val="clear" w:color="auto" w:fill="CFF0FC"/>
          </w:tcPr>
          <w:p>
            <w:pPr>
              <w:spacing w:after="0"/>
              <w:rPr>
                <w:sz w:val="20"/>
                <w:szCs w:val="20"/>
                <w:color w:val="auto"/>
              </w:rPr>
            </w:pPr>
          </w:p>
        </w:tc>
        <w:tc>
          <w:tcPr>
            <w:tcW w:w="2980" w:type="dxa"/>
            <w:vAlign w:val="bottom"/>
            <w:tcBorders>
              <w:bottom w:val="single" w:sz="8" w:color="CFF0FC"/>
            </w:tcBorders>
            <w:gridSpan w:val="4"/>
            <w:shd w:val="clear" w:color="auto" w:fill="CFF0FC"/>
          </w:tcPr>
          <w:p>
            <w:pPr>
              <w:spacing w:after="0"/>
              <w:rPr>
                <w:sz w:val="20"/>
                <w:szCs w:val="20"/>
                <w:color w:val="auto"/>
              </w:rPr>
            </w:pPr>
            <w:r>
              <w:rPr>
                <w:rFonts w:ascii="Arial" w:cs="Arial" w:eastAsia="Arial" w:hAnsi="Arial"/>
                <w:sz w:val="16"/>
                <w:szCs w:val="16"/>
                <w:color w:val="auto"/>
              </w:rPr>
              <w:t>Stock-based compensation expense</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4,874</w:t>
            </w:r>
          </w:p>
        </w:tc>
        <w:tc>
          <w:tcPr>
            <w:tcW w:w="22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4,874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gridSpan w:val="4"/>
          </w:tcPr>
          <w:p>
            <w:pPr>
              <w:spacing w:after="0"/>
              <w:rPr>
                <w:sz w:val="20"/>
                <w:szCs w:val="20"/>
                <w:color w:val="auto"/>
              </w:rPr>
            </w:pPr>
            <w:r>
              <w:rPr>
                <w:rFonts w:ascii="Arial" w:cs="Arial" w:eastAsia="Arial" w:hAnsi="Arial"/>
                <w:sz w:val="16"/>
                <w:szCs w:val="16"/>
                <w:b w:val="1"/>
                <w:bCs w:val="1"/>
                <w:color w:val="auto"/>
              </w:rPr>
              <w:t>Balance at September 30, 2023</w:t>
            </w:r>
          </w:p>
        </w:tc>
        <w:tc>
          <w:tcPr>
            <w:tcW w:w="800" w:type="dxa"/>
            <w:vAlign w:val="bottom"/>
          </w:tcPr>
          <w:p>
            <w:pPr>
              <w:jc w:val="right"/>
              <w:spacing w:after="0"/>
              <w:rPr>
                <w:sz w:val="20"/>
                <w:szCs w:val="20"/>
                <w:color w:val="auto"/>
              </w:rPr>
            </w:pPr>
            <w:r>
              <w:rPr>
                <w:rFonts w:ascii="Arial" w:cs="Arial" w:eastAsia="Arial" w:hAnsi="Arial"/>
                <w:sz w:val="16"/>
                <w:szCs w:val="16"/>
                <w:color w:val="auto"/>
              </w:rPr>
              <w:t>107,096</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120</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$ 634,526</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13,263</w:t>
            </w:r>
          </w:p>
        </w:tc>
        <w:tc>
          <w:tcPr>
            <w:tcW w:w="2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 (221,727 )</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(69 )</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(69,025 )</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343,825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Addition</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3"/>
          </w:tcPr>
          <w:p>
            <w:pPr>
              <w:ind w:left="4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al</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Other</w:t>
            </w:r>
          </w:p>
        </w:tc>
        <w:tc>
          <w:tcPr>
            <w:tcW w:w="102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w:t>
            </w:r>
          </w:p>
        </w:tc>
        <w:tc>
          <w:tcPr>
            <w:tcW w:w="180" w:type="dxa"/>
            <w:vAlign w:val="bottom"/>
          </w:tcPr>
          <w:p>
            <w:pPr>
              <w:spacing w:after="0"/>
              <w:rPr>
                <w:sz w:val="17"/>
                <w:szCs w:val="17"/>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4"/>
            <w:vMerge w:val="restart"/>
          </w:tcPr>
          <w:p>
            <w:pPr>
              <w:jc w:val="right"/>
              <w:ind w:right="299"/>
              <w:spacing w:after="0"/>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Paid-In</w:t>
            </w:r>
          </w:p>
        </w:tc>
        <w:tc>
          <w:tcPr>
            <w:tcW w:w="1940" w:type="dxa"/>
            <w:vAlign w:val="bottom"/>
            <w:gridSpan w:val="4"/>
            <w:vMerge w:val="restart"/>
          </w:tcPr>
          <w:p>
            <w:pPr>
              <w:jc w:val="right"/>
              <w:ind w:right="540"/>
              <w:spacing w:after="0"/>
              <w:rPr>
                <w:sz w:val="20"/>
                <w:szCs w:val="20"/>
                <w:color w:val="auto"/>
              </w:rPr>
            </w:pPr>
            <w:r>
              <w:rPr>
                <w:rFonts w:ascii="Arial" w:cs="Arial" w:eastAsia="Arial" w:hAnsi="Arial"/>
                <w:sz w:val="16"/>
                <w:szCs w:val="16"/>
                <w:b w:val="1"/>
                <w:bCs w:val="1"/>
                <w:color w:val="auto"/>
              </w:rPr>
              <w:t>Treasury Stock</w:t>
            </w:r>
          </w:p>
        </w:tc>
        <w:tc>
          <w:tcPr>
            <w:tcW w:w="1200" w:type="dxa"/>
            <w:vAlign w:val="bottom"/>
            <w:gridSpan w:val="3"/>
          </w:tcPr>
          <w:p>
            <w:pPr>
              <w:ind w:left="40"/>
              <w:spacing w:after="0"/>
              <w:rPr>
                <w:sz w:val="20"/>
                <w:szCs w:val="20"/>
                <w:color w:val="auto"/>
              </w:rPr>
            </w:pPr>
            <w:r>
              <w:rPr>
                <w:rFonts w:ascii="Arial" w:cs="Arial" w:eastAsia="Arial" w:hAnsi="Arial"/>
                <w:sz w:val="16"/>
                <w:szCs w:val="16"/>
                <w:b w:val="1"/>
                <w:bCs w:val="1"/>
                <w:color w:val="auto"/>
              </w:rPr>
              <w:t>Comprehensi</w:t>
            </w:r>
          </w:p>
        </w:tc>
        <w:tc>
          <w:tcPr>
            <w:tcW w:w="120" w:type="dxa"/>
            <w:vAlign w:val="bottom"/>
          </w:tcPr>
          <w:p>
            <w:pPr>
              <w:spacing w:after="0"/>
              <w:rPr>
                <w:sz w:val="17"/>
                <w:szCs w:val="17"/>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5"/>
              </w:rPr>
              <w:t>ed</w:t>
            </w:r>
          </w:p>
        </w:tc>
        <w:tc>
          <w:tcPr>
            <w:tcW w:w="1120" w:type="dxa"/>
            <w:vAlign w:val="bottom"/>
            <w:gridSpan w:val="3"/>
          </w:tcPr>
          <w:p>
            <w:pPr>
              <w:ind w:left="20"/>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gridSpan w:val="4"/>
          </w:tcPr>
          <w:p>
            <w:pPr>
              <w:spacing w:after="0" w:line="176" w:lineRule="exact"/>
              <w:rPr>
                <w:sz w:val="20"/>
                <w:szCs w:val="20"/>
                <w:color w:val="auto"/>
              </w:rPr>
            </w:pPr>
            <w:r>
              <w:rPr>
                <w:rFonts w:ascii="Arial" w:cs="Arial" w:eastAsia="Arial" w:hAnsi="Arial"/>
                <w:sz w:val="16"/>
                <w:szCs w:val="16"/>
                <w:b w:val="1"/>
                <w:bCs w:val="1"/>
                <w:color w:val="auto"/>
                <w:w w:val="97"/>
              </w:rPr>
              <w:t>Nine Months Ended September 30, 2023</w:t>
            </w:r>
          </w:p>
        </w:tc>
        <w:tc>
          <w:tcPr>
            <w:tcW w:w="180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center"/>
              <w:ind w:right="200"/>
              <w:spacing w:after="0" w:line="176" w:lineRule="exact"/>
              <w:rPr>
                <w:sz w:val="20"/>
                <w:szCs w:val="20"/>
                <w:color w:val="auto"/>
              </w:rPr>
            </w:pPr>
            <w:r>
              <w:rPr>
                <w:rFonts w:ascii="Arial" w:cs="Arial" w:eastAsia="Arial" w:hAnsi="Arial"/>
                <w:sz w:val="16"/>
                <w:szCs w:val="16"/>
                <w:b w:val="1"/>
                <w:bCs w:val="1"/>
                <w:color w:val="auto"/>
                <w:w w:val="97"/>
              </w:rPr>
              <w:t>Capital</w:t>
            </w:r>
          </w:p>
        </w:tc>
        <w:tc>
          <w:tcPr>
            <w:tcW w:w="19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320"/>
              <w:spacing w:after="0" w:line="176" w:lineRule="exact"/>
              <w:rPr>
                <w:sz w:val="20"/>
                <w:szCs w:val="20"/>
                <w:color w:val="auto"/>
              </w:rPr>
            </w:pPr>
            <w:r>
              <w:rPr>
                <w:rFonts w:ascii="Arial" w:cs="Arial" w:eastAsia="Arial" w:hAnsi="Arial"/>
                <w:sz w:val="16"/>
                <w:szCs w:val="16"/>
                <w:b w:val="1"/>
                <w:bCs w:val="1"/>
                <w:color w:val="auto"/>
                <w:w w:val="83"/>
              </w:rPr>
              <w:t>ve Loss</w:t>
            </w:r>
          </w:p>
        </w:tc>
        <w:tc>
          <w:tcPr>
            <w:tcW w:w="120" w:type="dxa"/>
            <w:vAlign w:val="bottom"/>
          </w:tcPr>
          <w:p>
            <w:pPr>
              <w:spacing w:after="0"/>
              <w:rPr>
                <w:sz w:val="15"/>
                <w:szCs w:val="15"/>
                <w:color w:val="auto"/>
              </w:rPr>
            </w:pPr>
          </w:p>
        </w:tc>
        <w:tc>
          <w:tcPr>
            <w:tcW w:w="900" w:type="dxa"/>
            <w:vAlign w:val="bottom"/>
            <w:gridSpan w:val="2"/>
          </w:tcPr>
          <w:p>
            <w:pPr>
              <w:jc w:val="center"/>
              <w:ind w:right="360"/>
              <w:spacing w:after="0" w:line="176" w:lineRule="exact"/>
              <w:rPr>
                <w:sz w:val="20"/>
                <w:szCs w:val="20"/>
                <w:color w:val="auto"/>
              </w:rPr>
            </w:pPr>
            <w:r>
              <w:rPr>
                <w:rFonts w:ascii="Arial" w:cs="Arial" w:eastAsia="Arial" w:hAnsi="Arial"/>
                <w:sz w:val="16"/>
                <w:szCs w:val="16"/>
                <w:b w:val="1"/>
                <w:bCs w:val="1"/>
                <w:color w:val="auto"/>
                <w:w w:val="93"/>
              </w:rPr>
              <w:t>Deficit</w:t>
            </w:r>
          </w:p>
        </w:tc>
        <w:tc>
          <w:tcPr>
            <w:tcW w:w="180" w:type="dxa"/>
            <w:vAlign w:val="bottom"/>
          </w:tcPr>
          <w:p>
            <w:pPr>
              <w:spacing w:after="0"/>
              <w:rPr>
                <w:sz w:val="15"/>
                <w:szCs w:val="15"/>
                <w:color w:val="auto"/>
              </w:rPr>
            </w:pPr>
          </w:p>
        </w:tc>
        <w:tc>
          <w:tcPr>
            <w:tcW w:w="940" w:type="dxa"/>
            <w:vAlign w:val="bottom"/>
            <w:gridSpan w:val="2"/>
          </w:tcPr>
          <w:p>
            <w:pPr>
              <w:jc w:val="center"/>
              <w:ind w:right="280"/>
              <w:spacing w:after="0" w:line="176" w:lineRule="exact"/>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2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Amount</w:t>
            </w:r>
          </w:p>
        </w:tc>
        <w:tc>
          <w:tcPr>
            <w:tcW w:w="2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gridSpan w:val="4"/>
          </w:tcPr>
          <w:p>
            <w:pPr>
              <w:spacing w:after="0"/>
              <w:rPr>
                <w:sz w:val="20"/>
                <w:szCs w:val="20"/>
                <w:color w:val="auto"/>
              </w:rPr>
            </w:pPr>
            <w:r>
              <w:rPr>
                <w:rFonts w:ascii="Arial" w:cs="Arial" w:eastAsia="Arial" w:hAnsi="Arial"/>
                <w:sz w:val="16"/>
                <w:szCs w:val="16"/>
                <w:b w:val="1"/>
                <w:bCs w:val="1"/>
                <w:color w:val="auto"/>
              </w:rPr>
              <w:t>Balance at January 1, 2023</w:t>
            </w:r>
          </w:p>
        </w:tc>
        <w:tc>
          <w:tcPr>
            <w:tcW w:w="800" w:type="dxa"/>
            <w:vAlign w:val="bottom"/>
          </w:tcPr>
          <w:p>
            <w:pPr>
              <w:jc w:val="right"/>
              <w:spacing w:after="0"/>
              <w:rPr>
                <w:sz w:val="20"/>
                <w:szCs w:val="20"/>
                <w:color w:val="auto"/>
              </w:rPr>
            </w:pPr>
            <w:r>
              <w:rPr>
                <w:rFonts w:ascii="Arial" w:cs="Arial" w:eastAsia="Arial" w:hAnsi="Arial"/>
                <w:sz w:val="16"/>
                <w:szCs w:val="16"/>
                <w:color w:val="auto"/>
              </w:rPr>
              <w:t>105,167</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117</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$ 636,266</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12,225</w:t>
            </w:r>
          </w:p>
        </w:tc>
        <w:tc>
          <w:tcPr>
            <w:tcW w:w="2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 (211,223 )</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(51 )</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(123,697 )</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301,412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298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Net income</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54,672</w:t>
            </w:r>
          </w:p>
        </w:tc>
        <w:tc>
          <w:tcPr>
            <w:tcW w:w="2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54,672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80" w:type="dxa"/>
            <w:vAlign w:val="bottom"/>
            <w:gridSpan w:val="4"/>
          </w:tcPr>
          <w:p>
            <w:pPr>
              <w:spacing w:after="0"/>
              <w:rPr>
                <w:sz w:val="20"/>
                <w:szCs w:val="20"/>
                <w:color w:val="auto"/>
              </w:rPr>
            </w:pPr>
            <w:r>
              <w:rPr>
                <w:rFonts w:ascii="Arial" w:cs="Arial" w:eastAsia="Arial" w:hAnsi="Arial"/>
                <w:sz w:val="16"/>
                <w:szCs w:val="16"/>
                <w:color w:val="auto"/>
              </w:rPr>
              <w:t>Other comprehensive loss</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(18 )</w:t>
            </w: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298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Cash dividends paid on common stock</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FF0FC"/>
          </w:tcPr>
          <w:p>
            <w:pPr>
              <w:spacing w:after="0"/>
              <w:rPr>
                <w:sz w:val="19"/>
                <w:szCs w:val="19"/>
                <w:color w:val="auto"/>
              </w:rPr>
            </w:pPr>
          </w:p>
        </w:tc>
        <w:tc>
          <w:tcPr>
            <w:tcW w:w="298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($0.15 per share)</w:t>
            </w: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(15,979 )</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(15,979 )</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980" w:type="dxa"/>
            <w:vAlign w:val="bottom"/>
            <w:gridSpan w:val="4"/>
          </w:tcPr>
          <w:p>
            <w:pPr>
              <w:spacing w:after="0"/>
              <w:rPr>
                <w:sz w:val="20"/>
                <w:szCs w:val="20"/>
                <w:color w:val="auto"/>
              </w:rPr>
            </w:pPr>
            <w:r>
              <w:rPr>
                <w:rFonts w:ascii="Arial" w:cs="Arial" w:eastAsia="Arial" w:hAnsi="Arial"/>
                <w:sz w:val="16"/>
                <w:szCs w:val="16"/>
                <w:color w:val="auto"/>
              </w:rPr>
              <w:t>Issuance of common stock in connection</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4"/>
          </w:tcPr>
          <w:p>
            <w:pPr>
              <w:spacing w:after="0"/>
              <w:rPr>
                <w:sz w:val="20"/>
                <w:szCs w:val="20"/>
                <w:color w:val="auto"/>
              </w:rPr>
            </w:pPr>
            <w:r>
              <w:rPr>
                <w:rFonts w:ascii="Arial" w:cs="Arial" w:eastAsia="Arial" w:hAnsi="Arial"/>
                <w:sz w:val="16"/>
                <w:szCs w:val="16"/>
                <w:color w:val="auto"/>
              </w:rPr>
              <w:t>with exercise of stock options</w:t>
            </w:r>
          </w:p>
        </w:tc>
        <w:tc>
          <w:tcPr>
            <w:tcW w:w="800" w:type="dxa"/>
            <w:vAlign w:val="bottom"/>
          </w:tcPr>
          <w:p>
            <w:pPr>
              <w:jc w:val="right"/>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450</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298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Issuance of common stock in connection</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FF0FC"/>
          </w:tcPr>
          <w:p>
            <w:pPr>
              <w:spacing w:after="0"/>
              <w:rPr>
                <w:sz w:val="19"/>
                <w:szCs w:val="19"/>
                <w:color w:val="auto"/>
              </w:rPr>
            </w:pPr>
          </w:p>
        </w:tc>
        <w:tc>
          <w:tcPr>
            <w:tcW w:w="298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with employee stock purchase plan</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719</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980" w:type="dxa"/>
            <w:vAlign w:val="bottom"/>
            <w:gridSpan w:val="4"/>
          </w:tcPr>
          <w:p>
            <w:pPr>
              <w:spacing w:after="0"/>
              <w:rPr>
                <w:sz w:val="20"/>
                <w:szCs w:val="20"/>
                <w:color w:val="auto"/>
              </w:rPr>
            </w:pPr>
            <w:r>
              <w:rPr>
                <w:rFonts w:ascii="Arial" w:cs="Arial" w:eastAsia="Arial" w:hAnsi="Arial"/>
                <w:sz w:val="16"/>
                <w:szCs w:val="16"/>
                <w:color w:val="auto"/>
              </w:rPr>
              <w:t>Issuance of restricted stock, net of shares</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4"/>
          </w:tcPr>
          <w:p>
            <w:pPr>
              <w:spacing w:after="0"/>
              <w:rPr>
                <w:sz w:val="20"/>
                <w:szCs w:val="20"/>
                <w:color w:val="auto"/>
              </w:rPr>
            </w:pPr>
            <w:r>
              <w:rPr>
                <w:rFonts w:ascii="Arial" w:cs="Arial" w:eastAsia="Arial" w:hAnsi="Arial"/>
                <w:sz w:val="16"/>
                <w:szCs w:val="16"/>
                <w:color w:val="auto"/>
              </w:rPr>
              <w:t>canceled</w:t>
            </w:r>
          </w:p>
        </w:tc>
        <w:tc>
          <w:tcPr>
            <w:tcW w:w="800" w:type="dxa"/>
            <w:vAlign w:val="bottom"/>
          </w:tcPr>
          <w:p>
            <w:pPr>
              <w:jc w:val="right"/>
              <w:spacing w:after="0"/>
              <w:rPr>
                <w:sz w:val="20"/>
                <w:szCs w:val="20"/>
                <w:color w:val="auto"/>
              </w:rPr>
            </w:pPr>
            <w:r>
              <w:rPr>
                <w:rFonts w:ascii="Arial" w:cs="Arial" w:eastAsia="Arial" w:hAnsi="Arial"/>
                <w:sz w:val="16"/>
                <w:szCs w:val="16"/>
                <w:color w:val="auto"/>
              </w:rPr>
              <w:t>2,838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298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Withholding taxes related to net share</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FF0FC"/>
          </w:tcPr>
          <w:p>
            <w:pPr>
              <w:spacing w:after="0"/>
              <w:rPr>
                <w:sz w:val="19"/>
                <w:szCs w:val="19"/>
                <w:color w:val="auto"/>
              </w:rPr>
            </w:pPr>
          </w:p>
        </w:tc>
        <w:tc>
          <w:tcPr>
            <w:tcW w:w="298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settlement of restricted awards</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(1,038 )</w:t>
            </w: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1,038</w:t>
            </w:r>
          </w:p>
        </w:tc>
        <w:tc>
          <w:tcPr>
            <w:tcW w:w="11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(10,504 )</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(10,504 )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gridSpan w:val="4"/>
          </w:tcPr>
          <w:p>
            <w:pPr>
              <w:spacing w:after="0"/>
              <w:rPr>
                <w:sz w:val="20"/>
                <w:szCs w:val="20"/>
                <w:color w:val="auto"/>
              </w:rPr>
            </w:pPr>
            <w:r>
              <w:rPr>
                <w:rFonts w:ascii="Arial" w:cs="Arial" w:eastAsia="Arial" w:hAnsi="Arial"/>
                <w:sz w:val="16"/>
                <w:szCs w:val="16"/>
                <w:color w:val="auto"/>
              </w:rPr>
              <w:t>Stock-based compensation expense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13,070</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2980" w:type="dxa"/>
            <w:vAlign w:val="bottom"/>
            <w:gridSpan w:val="4"/>
            <w:shd w:val="clear" w:color="auto" w:fill="CFF0FC"/>
          </w:tcPr>
          <w:p>
            <w:pPr>
              <w:spacing w:after="0"/>
              <w:rPr>
                <w:sz w:val="20"/>
                <w:szCs w:val="20"/>
                <w:color w:val="auto"/>
              </w:rPr>
            </w:pPr>
            <w:r>
              <w:rPr>
                <w:rFonts w:ascii="Arial" w:cs="Arial" w:eastAsia="Arial" w:hAnsi="Arial"/>
                <w:sz w:val="16"/>
                <w:szCs w:val="16"/>
                <w:b w:val="1"/>
                <w:bCs w:val="1"/>
                <w:color w:val="auto"/>
              </w:rPr>
              <w:t>Balance at September 30, 2023</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107,096</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5"/>
              </w:rPr>
              <w:t>$ 634,526</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13,263</w:t>
            </w: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w w:val="90"/>
              </w:rPr>
              <w:t>$ (221,727 )</w:t>
            </w:r>
          </w:p>
        </w:tc>
        <w:tc>
          <w:tcPr>
            <w:tcW w:w="100" w:type="dxa"/>
            <w:vAlign w:val="bottom"/>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(69 )</w:t>
            </w: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(69,025 )</w:t>
            </w: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343,825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-3119755</wp:posOffset>
            </wp:positionV>
            <wp:extent cx="76835" cy="291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29146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-3119755</wp:posOffset>
            </wp:positionV>
            <wp:extent cx="68580" cy="291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-3119755</wp:posOffset>
            </wp:positionV>
            <wp:extent cx="77470" cy="11315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113157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-3119755</wp:posOffset>
            </wp:positionV>
            <wp:extent cx="68580" cy="11315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13157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-3119755</wp:posOffset>
            </wp:positionV>
            <wp:extent cx="68580" cy="11315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13157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-3119755</wp:posOffset>
            </wp:positionV>
            <wp:extent cx="68580" cy="11315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13157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-3119755</wp:posOffset>
            </wp:positionV>
            <wp:extent cx="68580" cy="11315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1315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11315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13157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-24765</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-7620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-24765</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-7620</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ADEIA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w w:val="93"/>
              </w:rPr>
              <w:t>Total Company Stockholders' Equity</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Accumulate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5"/>
              </w:rPr>
              <w:t>Addition</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 2022</w:t>
            </w:r>
          </w:p>
        </w:tc>
        <w:tc>
          <w:tcPr>
            <w:tcW w:w="1640" w:type="dxa"/>
            <w:vAlign w:val="bottom"/>
            <w:gridSpan w:val="4"/>
            <w:vMerge w:val="restart"/>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al</w:t>
            </w:r>
          </w:p>
        </w:tc>
        <w:tc>
          <w:tcPr>
            <w:tcW w:w="1780" w:type="dxa"/>
            <w:vAlign w:val="bottom"/>
            <w:gridSpan w:val="5"/>
            <w:vMerge w:val="restart"/>
          </w:tcPr>
          <w:p>
            <w:pPr>
              <w:jc w:val="right"/>
              <w:ind w:right="540"/>
              <w:spacing w:after="0"/>
              <w:rPr>
                <w:sz w:val="20"/>
                <w:szCs w:val="20"/>
                <w:color w:val="auto"/>
              </w:rPr>
            </w:pPr>
            <w:r>
              <w:rPr>
                <w:rFonts w:ascii="Arial" w:cs="Arial" w:eastAsia="Arial" w:hAnsi="Arial"/>
                <w:sz w:val="14"/>
                <w:szCs w:val="14"/>
                <w:b w:val="1"/>
                <w:bCs w:val="1"/>
                <w:color w:val="auto"/>
              </w:rPr>
              <w:t>Treasury Stock</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w:t>
            </w: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Stockholder</w:t>
            </w:r>
          </w:p>
        </w:tc>
        <w:tc>
          <w:tcPr>
            <w:tcW w:w="0" w:type="dxa"/>
            <w:vAlign w:val="bottom"/>
          </w:tcPr>
          <w:p>
            <w:pPr>
              <w:spacing w:after="0"/>
              <w:rPr>
                <w:sz w:val="1"/>
                <w:szCs w:val="1"/>
                <w:color w:val="auto"/>
              </w:rPr>
            </w:pPr>
          </w:p>
        </w:tc>
      </w:tr>
      <w:tr>
        <w:trPr>
          <w:trHeight w:val="165"/>
        </w:trPr>
        <w:tc>
          <w:tcPr>
            <w:tcW w:w="2860" w:type="dxa"/>
            <w:vAlign w:val="bottom"/>
            <w:gridSpan w:val="4"/>
            <w:vMerge w:val="continue"/>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8"/>
              </w:rPr>
              <w:t>Paid-In</w:t>
            </w:r>
          </w:p>
        </w:tc>
        <w:tc>
          <w:tcPr>
            <w:tcW w:w="178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7"/>
              </w:rPr>
              <w:t>sive Loss</w:t>
            </w:r>
          </w:p>
        </w:tc>
        <w:tc>
          <w:tcPr>
            <w:tcW w:w="80" w:type="dxa"/>
            <w:vAlign w:val="bottom"/>
          </w:tcPr>
          <w:p>
            <w:pPr>
              <w:spacing w:after="0"/>
              <w:rPr>
                <w:sz w:val="14"/>
                <w:szCs w:val="14"/>
                <w:color w:val="auto"/>
              </w:rPr>
            </w:pPr>
          </w:p>
        </w:tc>
        <w:tc>
          <w:tcPr>
            <w:tcW w:w="90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Earnings</w:t>
            </w:r>
          </w:p>
        </w:tc>
        <w:tc>
          <w:tcPr>
            <w:tcW w:w="98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ing Interest</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6"/>
              </w:rPr>
              <w:t>s' Equity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860" w:type="dxa"/>
            <w:vAlign w:val="bottom"/>
            <w:gridSpan w:val="4"/>
            <w:shd w:val="clear" w:color="auto" w:fill="CFF0FC"/>
          </w:tcPr>
          <w:p>
            <w:pPr>
              <w:ind w:left="20"/>
              <w:spacing w:after="0" w:line="137" w:lineRule="exact"/>
              <w:rPr>
                <w:sz w:val="20"/>
                <w:szCs w:val="20"/>
                <w:color w:val="auto"/>
              </w:rPr>
            </w:pPr>
            <w:r>
              <w:rPr>
                <w:rFonts w:ascii="Arial" w:cs="Arial" w:eastAsia="Arial" w:hAnsi="Arial"/>
                <w:sz w:val="14"/>
                <w:szCs w:val="14"/>
                <w:b w:val="1"/>
                <w:bCs w:val="1"/>
                <w:color w:val="auto"/>
              </w:rPr>
              <w:t>Balance at July 1, 2022</w:t>
            </w:r>
          </w:p>
        </w:tc>
        <w:tc>
          <w:tcPr>
            <w:tcW w:w="72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1,380,8</w:t>
            </w:r>
          </w:p>
        </w:tc>
        <w:tc>
          <w:tcPr>
            <w:tcW w:w="240" w:type="dxa"/>
            <w:vAlign w:val="bottom"/>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(206,75</w:t>
            </w: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FF0FC"/>
          </w:tcPr>
          <w:p>
            <w:pPr>
              <w:spacing w:after="0"/>
              <w:rPr>
                <w:sz w:val="15"/>
                <w:szCs w:val="15"/>
                <w:color w:val="auto"/>
              </w:rPr>
            </w:pPr>
          </w:p>
        </w:tc>
        <w:tc>
          <w:tcPr>
            <w:tcW w:w="24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104,030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2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11,734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(3,648 )</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196,715</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(11,015 )</w:t>
            </w:r>
          </w:p>
        </w:tc>
        <w:tc>
          <w:tcPr>
            <w:tcW w:w="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1,356,225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860" w:type="dxa"/>
            <w:vAlign w:val="bottom"/>
            <w:tcBorders>
              <w:top w:val="single" w:sz="8" w:color="CFF0FC"/>
            </w:tcBorders>
            <w:gridSpan w:val="4"/>
          </w:tcPr>
          <w:p>
            <w:pPr>
              <w:ind w:left="20"/>
              <w:spacing w:after="0" w:line="137" w:lineRule="exact"/>
              <w:rPr>
                <w:sz w:val="20"/>
                <w:szCs w:val="20"/>
                <w:color w:val="auto"/>
              </w:rPr>
            </w:pPr>
            <w:r>
              <w:rPr>
                <w:rFonts w:ascii="Arial" w:cs="Arial" w:eastAsia="Arial" w:hAnsi="Arial"/>
                <w:sz w:val="14"/>
                <w:szCs w:val="14"/>
                <w:color w:val="auto"/>
              </w:rPr>
              <w:t>Issuance of subsidiary shares to</w:t>
            </w:r>
          </w:p>
        </w:tc>
        <w:tc>
          <w:tcPr>
            <w:tcW w:w="72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860" w:type="dxa"/>
            <w:vAlign w:val="bottom"/>
            <w:gridSpan w:val="4"/>
          </w:tcPr>
          <w:p>
            <w:pPr>
              <w:ind w:left="20"/>
              <w:spacing w:after="0"/>
              <w:rPr>
                <w:sz w:val="20"/>
                <w:szCs w:val="20"/>
                <w:color w:val="auto"/>
              </w:rPr>
            </w:pPr>
            <w:r>
              <w:rPr>
                <w:rFonts w:ascii="Arial" w:cs="Arial" w:eastAsia="Arial" w:hAnsi="Arial"/>
                <w:sz w:val="14"/>
                <w:szCs w:val="14"/>
                <w:color w:val="auto"/>
              </w:rPr>
              <w:t>noncontrolling interest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1,427</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(1,427 )</w:t>
            </w:r>
          </w:p>
        </w:tc>
        <w:tc>
          <w:tcPr>
            <w:tcW w:w="12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860" w:type="dxa"/>
            <w:vAlign w:val="bottom"/>
            <w:gridSpan w:val="4"/>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(388,929 )</w:t>
            </w:r>
          </w:p>
        </w:tc>
        <w:tc>
          <w:tcPr>
            <w:tcW w:w="2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(890 )</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(389,819 )</w:t>
            </w:r>
          </w:p>
        </w:tc>
        <w:tc>
          <w:tcPr>
            <w:tcW w:w="0" w:type="dxa"/>
            <w:vAlign w:val="bottom"/>
          </w:tcPr>
          <w:p>
            <w:pPr>
              <w:spacing w:after="0"/>
              <w:rPr>
                <w:sz w:val="1"/>
                <w:szCs w:val="1"/>
                <w:color w:val="auto"/>
              </w:rPr>
            </w:pPr>
          </w:p>
        </w:tc>
      </w:tr>
      <w:tr>
        <w:trPr>
          <w:trHeight w:val="175"/>
        </w:trPr>
        <w:tc>
          <w:tcPr>
            <w:tcW w:w="2860" w:type="dxa"/>
            <w:vAlign w:val="bottom"/>
            <w:gridSpan w:val="4"/>
          </w:tcPr>
          <w:p>
            <w:pPr>
              <w:ind w:left="20"/>
              <w:spacing w:after="0"/>
              <w:rPr>
                <w:sz w:val="20"/>
                <w:szCs w:val="20"/>
                <w:color w:val="auto"/>
              </w:rPr>
            </w:pPr>
            <w:r>
              <w:rPr>
                <w:rFonts w:ascii="Arial" w:cs="Arial" w:eastAsia="Arial" w:hAnsi="Arial"/>
                <w:sz w:val="14"/>
                <w:szCs w:val="14"/>
                <w:color w:val="auto"/>
              </w:rPr>
              <w:t>Other comprehensive loss</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(1,481 )</w:t>
            </w:r>
          </w:p>
        </w:tc>
        <w:tc>
          <w:tcPr>
            <w:tcW w:w="8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(1,481 )</w:t>
            </w:r>
          </w:p>
        </w:tc>
        <w:tc>
          <w:tcPr>
            <w:tcW w:w="0" w:type="dxa"/>
            <w:vAlign w:val="bottom"/>
          </w:tcPr>
          <w:p>
            <w:pPr>
              <w:spacing w:after="0"/>
              <w:rPr>
                <w:sz w:val="1"/>
                <w:szCs w:val="1"/>
                <w:color w:val="auto"/>
              </w:rPr>
            </w:pPr>
          </w:p>
        </w:tc>
      </w:tr>
      <w:tr>
        <w:trPr>
          <w:trHeight w:val="143"/>
        </w:trPr>
        <w:tc>
          <w:tcPr>
            <w:tcW w:w="2860" w:type="dxa"/>
            <w:vAlign w:val="bottom"/>
            <w:gridSpan w:val="4"/>
            <w:shd w:val="clear" w:color="auto" w:fill="CFF0FC"/>
          </w:tcPr>
          <w:p>
            <w:pPr>
              <w:ind w:left="20"/>
              <w:spacing w:after="0" w:line="143" w:lineRule="exact"/>
              <w:rPr>
                <w:sz w:val="20"/>
                <w:szCs w:val="20"/>
                <w:color w:val="auto"/>
              </w:rPr>
            </w:pPr>
            <w:r>
              <w:rPr>
                <w:rFonts w:ascii="Arial" w:cs="Arial" w:eastAsia="Arial" w:hAnsi="Arial"/>
                <w:sz w:val="14"/>
                <w:szCs w:val="14"/>
                <w:color w:val="auto"/>
              </w:rPr>
              <w:t>Cash dividends paid on common stock</w:t>
            </w: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60" w:type="dxa"/>
            <w:vAlign w:val="bottom"/>
            <w:gridSpan w:val="4"/>
            <w:shd w:val="clear" w:color="auto" w:fill="CFF0FC"/>
          </w:tcPr>
          <w:p>
            <w:pPr>
              <w:ind w:left="20"/>
              <w:spacing w:after="0"/>
              <w:rPr>
                <w:sz w:val="20"/>
                <w:szCs w:val="20"/>
                <w:color w:val="auto"/>
              </w:rPr>
            </w:pPr>
            <w:r>
              <w:rPr>
                <w:rFonts w:ascii="Arial" w:cs="Arial" w:eastAsia="Arial" w:hAnsi="Arial"/>
                <w:sz w:val="14"/>
                <w:szCs w:val="14"/>
                <w:color w:val="auto"/>
              </w:rPr>
              <w:t>($0.05 per share)</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(5,213 )</w:t>
            </w:r>
          </w:p>
        </w:tc>
        <w:tc>
          <w:tcPr>
            <w:tcW w:w="2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(5,213 )</w:t>
            </w:r>
          </w:p>
        </w:tc>
        <w:tc>
          <w:tcPr>
            <w:tcW w:w="0" w:type="dxa"/>
            <w:vAlign w:val="bottom"/>
          </w:tcPr>
          <w:p>
            <w:pPr>
              <w:spacing w:after="0"/>
              <w:rPr>
                <w:sz w:val="1"/>
                <w:szCs w:val="1"/>
                <w:color w:val="auto"/>
              </w:rPr>
            </w:pPr>
          </w:p>
        </w:tc>
      </w:tr>
      <w:tr>
        <w:trPr>
          <w:trHeight w:val="143"/>
        </w:trPr>
        <w:tc>
          <w:tcPr>
            <w:tcW w:w="2860" w:type="dxa"/>
            <w:vAlign w:val="bottom"/>
            <w:gridSpan w:val="4"/>
          </w:tcPr>
          <w:p>
            <w:pPr>
              <w:ind w:left="20"/>
              <w:spacing w:after="0" w:line="143" w:lineRule="exact"/>
              <w:rPr>
                <w:sz w:val="20"/>
                <w:szCs w:val="20"/>
                <w:color w:val="auto"/>
              </w:rPr>
            </w:pPr>
            <w:r>
              <w:rPr>
                <w:rFonts w:ascii="Arial" w:cs="Arial" w:eastAsia="Arial" w:hAnsi="Arial"/>
                <w:sz w:val="14"/>
                <w:szCs w:val="14"/>
                <w:color w:val="auto"/>
              </w:rPr>
              <w:t>Issuance of common stock in connection with</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60" w:type="dxa"/>
            <w:vAlign w:val="bottom"/>
            <w:gridSpan w:val="4"/>
          </w:tcPr>
          <w:p>
            <w:pPr>
              <w:ind w:left="20"/>
              <w:spacing w:after="0"/>
              <w:rPr>
                <w:sz w:val="20"/>
                <w:szCs w:val="20"/>
                <w:color w:val="auto"/>
              </w:rPr>
            </w:pPr>
            <w:r>
              <w:rPr>
                <w:rFonts w:ascii="Arial" w:cs="Arial" w:eastAsia="Arial" w:hAnsi="Arial"/>
                <w:sz w:val="14"/>
                <w:szCs w:val="14"/>
                <w:color w:val="auto"/>
              </w:rPr>
              <w:t>exercise of stock options</w:t>
            </w:r>
          </w:p>
        </w:tc>
        <w:tc>
          <w:tcPr>
            <w:tcW w:w="720" w:type="dxa"/>
            <w:vAlign w:val="bottom"/>
          </w:tcPr>
          <w:p>
            <w:pPr>
              <w:jc w:val="right"/>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56</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60" w:type="dxa"/>
            <w:vAlign w:val="bottom"/>
            <w:gridSpan w:val="4"/>
            <w:shd w:val="clear" w:color="auto" w:fill="CFF0FC"/>
          </w:tcPr>
          <w:p>
            <w:pPr>
              <w:ind w:left="20"/>
              <w:spacing w:after="0" w:line="143" w:lineRule="exact"/>
              <w:rPr>
                <w:sz w:val="20"/>
                <w:szCs w:val="20"/>
                <w:color w:val="auto"/>
              </w:rPr>
            </w:pPr>
            <w:r>
              <w:rPr>
                <w:rFonts w:ascii="Arial" w:cs="Arial" w:eastAsia="Arial" w:hAnsi="Arial"/>
                <w:sz w:val="14"/>
                <w:szCs w:val="14"/>
                <w:color w:val="auto"/>
              </w:rPr>
              <w:t>Issuance of common stock in connection with</w:t>
            </w: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60" w:type="dxa"/>
            <w:vAlign w:val="bottom"/>
            <w:gridSpan w:val="4"/>
            <w:shd w:val="clear" w:color="auto" w:fill="CFF0FC"/>
          </w:tcPr>
          <w:p>
            <w:pPr>
              <w:ind w:left="20"/>
              <w:spacing w:after="0"/>
              <w:rPr>
                <w:sz w:val="20"/>
                <w:szCs w:val="20"/>
                <w:color w:val="auto"/>
              </w:rPr>
            </w:pPr>
            <w:r>
              <w:rPr>
                <w:rFonts w:ascii="Arial" w:cs="Arial" w:eastAsia="Arial" w:hAnsi="Arial"/>
                <w:sz w:val="14"/>
                <w:szCs w:val="14"/>
                <w:color w:val="auto"/>
              </w:rPr>
              <w:t>employee stock purchase plan</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6,138</w:t>
            </w:r>
          </w:p>
        </w:tc>
        <w:tc>
          <w:tcPr>
            <w:tcW w:w="2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6,138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60" w:type="dxa"/>
            <w:vAlign w:val="bottom"/>
            <w:gridSpan w:val="4"/>
          </w:tcPr>
          <w:p>
            <w:pPr>
              <w:ind w:left="20"/>
              <w:spacing w:after="0" w:line="143" w:lineRule="exact"/>
              <w:rPr>
                <w:sz w:val="20"/>
                <w:szCs w:val="20"/>
                <w:color w:val="auto"/>
              </w:rPr>
            </w:pPr>
            <w:r>
              <w:rPr>
                <w:rFonts w:ascii="Arial" w:cs="Arial" w:eastAsia="Arial" w:hAnsi="Arial"/>
                <w:sz w:val="14"/>
                <w:szCs w:val="14"/>
                <w:color w:val="auto"/>
              </w:rPr>
              <w:t>Issuance of restricted stock, net of shares</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60" w:type="dxa"/>
            <w:vAlign w:val="bottom"/>
            <w:gridSpan w:val="4"/>
          </w:tcPr>
          <w:p>
            <w:pPr>
              <w:ind w:left="20"/>
              <w:spacing w:after="0"/>
              <w:rPr>
                <w:sz w:val="20"/>
                <w:szCs w:val="20"/>
                <w:color w:val="auto"/>
              </w:rPr>
            </w:pPr>
            <w:r>
              <w:rPr>
                <w:rFonts w:ascii="Arial" w:cs="Arial" w:eastAsia="Arial" w:hAnsi="Arial"/>
                <w:sz w:val="14"/>
                <w:szCs w:val="14"/>
                <w:color w:val="auto"/>
              </w:rPr>
              <w:t>canceled</w:t>
            </w:r>
          </w:p>
        </w:tc>
        <w:tc>
          <w:tcPr>
            <w:tcW w:w="720" w:type="dxa"/>
            <w:vAlign w:val="bottom"/>
          </w:tcPr>
          <w:p>
            <w:pPr>
              <w:jc w:val="right"/>
              <w:spacing w:after="0"/>
              <w:rPr>
                <w:sz w:val="20"/>
                <w:szCs w:val="20"/>
                <w:color w:val="auto"/>
              </w:rPr>
            </w:pPr>
            <w:r>
              <w:rPr>
                <w:rFonts w:ascii="Arial" w:cs="Arial" w:eastAsia="Arial" w:hAnsi="Arial"/>
                <w:sz w:val="14"/>
                <w:szCs w:val="14"/>
                <w:color w:val="auto"/>
              </w:rPr>
              <w:t>714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60" w:type="dxa"/>
            <w:vAlign w:val="bottom"/>
            <w:gridSpan w:val="4"/>
            <w:shd w:val="clear" w:color="auto" w:fill="CFF0FC"/>
          </w:tcPr>
          <w:p>
            <w:pPr>
              <w:ind w:left="20"/>
              <w:spacing w:after="0" w:line="143" w:lineRule="exact"/>
              <w:rPr>
                <w:sz w:val="20"/>
                <w:szCs w:val="20"/>
                <w:color w:val="auto"/>
              </w:rPr>
            </w:pPr>
            <w:r>
              <w:rPr>
                <w:rFonts w:ascii="Arial" w:cs="Arial" w:eastAsia="Arial" w:hAnsi="Arial"/>
                <w:sz w:val="14"/>
                <w:szCs w:val="14"/>
                <w:color w:val="auto"/>
              </w:rPr>
              <w:t>Repurchases of common stock, shares</w:t>
            </w: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60" w:type="dxa"/>
            <w:vAlign w:val="bottom"/>
            <w:gridSpan w:val="4"/>
            <w:shd w:val="clear" w:color="auto" w:fill="CFF0FC"/>
          </w:tcPr>
          <w:p>
            <w:pPr>
              <w:ind w:left="20"/>
              <w:spacing w:after="0"/>
              <w:rPr>
                <w:sz w:val="20"/>
                <w:szCs w:val="20"/>
                <w:color w:val="auto"/>
              </w:rPr>
            </w:pPr>
            <w:r>
              <w:rPr>
                <w:rFonts w:ascii="Arial" w:cs="Arial" w:eastAsia="Arial" w:hAnsi="Arial"/>
                <w:sz w:val="14"/>
                <w:szCs w:val="14"/>
                <w:color w:val="auto"/>
              </w:rPr>
              <w:t>exchanged</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(251 )</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(3,850 )</w:t>
            </w: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(3,850 )</w:t>
            </w:r>
          </w:p>
        </w:tc>
        <w:tc>
          <w:tcPr>
            <w:tcW w:w="0" w:type="dxa"/>
            <w:vAlign w:val="bottom"/>
          </w:tcPr>
          <w:p>
            <w:pPr>
              <w:spacing w:after="0"/>
              <w:rPr>
                <w:sz w:val="1"/>
                <w:szCs w:val="1"/>
                <w:color w:val="auto"/>
              </w:rPr>
            </w:pPr>
          </w:p>
        </w:tc>
      </w:tr>
      <w:tr>
        <w:trPr>
          <w:trHeight w:val="176"/>
        </w:trPr>
        <w:tc>
          <w:tcPr>
            <w:tcW w:w="2860" w:type="dxa"/>
            <w:vAlign w:val="bottom"/>
            <w:gridSpan w:val="4"/>
          </w:tcPr>
          <w:p>
            <w:pPr>
              <w:ind w:left="20"/>
              <w:spacing w:after="0"/>
              <w:rPr>
                <w:sz w:val="20"/>
                <w:szCs w:val="20"/>
                <w:color w:val="auto"/>
              </w:rPr>
            </w:pPr>
            <w:r>
              <w:rPr>
                <w:rFonts w:ascii="Arial" w:cs="Arial" w:eastAsia="Arial" w:hAnsi="Arial"/>
                <w:sz w:val="14"/>
                <w:szCs w:val="14"/>
                <w:color w:val="auto"/>
              </w:rPr>
              <w:t>Stock-based compensation expense</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16,998</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16,998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860" w:type="dxa"/>
            <w:vAlign w:val="bottom"/>
            <w:gridSpan w:val="4"/>
            <w:shd w:val="clear" w:color="auto" w:fill="CFF0FC"/>
          </w:tcPr>
          <w:p>
            <w:pPr>
              <w:ind w:left="20"/>
              <w:spacing w:after="0" w:line="137" w:lineRule="exact"/>
              <w:rPr>
                <w:sz w:val="20"/>
                <w:szCs w:val="20"/>
                <w:color w:val="auto"/>
              </w:rPr>
            </w:pPr>
            <w:r>
              <w:rPr>
                <w:rFonts w:ascii="Arial" w:cs="Arial" w:eastAsia="Arial" w:hAnsi="Arial"/>
                <w:sz w:val="14"/>
                <w:szCs w:val="14"/>
                <w:b w:val="1"/>
                <w:bCs w:val="1"/>
                <w:color w:val="auto"/>
              </w:rPr>
              <w:t>Balance at September 30, 2022</w:t>
            </w:r>
          </w:p>
        </w:tc>
        <w:tc>
          <w:tcPr>
            <w:tcW w:w="72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1,405,4</w:t>
            </w:r>
          </w:p>
        </w:tc>
        <w:tc>
          <w:tcPr>
            <w:tcW w:w="240" w:type="dxa"/>
            <w:vAlign w:val="bottom"/>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(210,60</w:t>
            </w: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FF0FC"/>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105,059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11,880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(5,129 )</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(197,427 )</w:t>
            </w:r>
          </w:p>
        </w:tc>
        <w:tc>
          <w:tcPr>
            <w:tcW w:w="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(13,332 )</w:t>
            </w:r>
          </w:p>
        </w:tc>
        <w:tc>
          <w:tcPr>
            <w:tcW w:w="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979,055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Borders>
              <w:top w:val="single" w:sz="8" w:color="CFF0FC"/>
            </w:tcBorders>
          </w:tcPr>
          <w:p>
            <w:pPr>
              <w:spacing w:after="0"/>
              <w:rPr>
                <w:sz w:val="12"/>
                <w:szCs w:val="12"/>
                <w:color w:val="auto"/>
              </w:rPr>
            </w:pPr>
          </w:p>
        </w:tc>
        <w:tc>
          <w:tcPr>
            <w:tcW w:w="2480" w:type="dxa"/>
            <w:vAlign w:val="bottom"/>
            <w:tcBorders>
              <w:top w:val="single" w:sz="8" w:color="CFF0FC"/>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300" w:type="dxa"/>
            <w:vAlign w:val="bottom"/>
            <w:tcBorders>
              <w:top w:val="single" w:sz="8" w:color="CFF0FC"/>
            </w:tcBorders>
          </w:tcPr>
          <w:p>
            <w:pPr>
              <w:spacing w:after="0"/>
              <w:rPr>
                <w:sz w:val="12"/>
                <w:szCs w:val="12"/>
                <w:color w:val="auto"/>
              </w:rPr>
            </w:pPr>
          </w:p>
        </w:tc>
        <w:tc>
          <w:tcPr>
            <w:tcW w:w="72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0432FF"/>
              </w:rPr>
              <w:t>-</w:t>
            </w:r>
          </w:p>
        </w:tc>
        <w:tc>
          <w:tcPr>
            <w:tcW w:w="24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0432FF"/>
              </w:rPr>
              <w:t>-</w:t>
            </w:r>
          </w:p>
        </w:tc>
        <w:tc>
          <w:tcPr>
            <w:tcW w:w="24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0432FF"/>
              </w:rPr>
              <w:t>-</w:t>
            </w:r>
          </w:p>
        </w:tc>
        <w:tc>
          <w:tcPr>
            <w:tcW w:w="240" w:type="dxa"/>
            <w:vAlign w:val="bottom"/>
            <w:tcBorders>
              <w:top w:val="single" w:sz="8" w:color="CFF0FC"/>
            </w:tcBorders>
          </w:tcPr>
          <w:p>
            <w:pPr>
              <w:spacing w:after="0"/>
              <w:rPr>
                <w:sz w:val="12"/>
                <w:szCs w:val="12"/>
                <w:color w:val="auto"/>
              </w:rPr>
            </w:pPr>
          </w:p>
        </w:tc>
        <w:tc>
          <w:tcPr>
            <w:tcW w:w="70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0432FF"/>
              </w:rPr>
              <w:t>-</w:t>
            </w:r>
          </w:p>
        </w:tc>
        <w:tc>
          <w:tcPr>
            <w:tcW w:w="20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0432FF"/>
              </w:rPr>
              <w:t>-</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0432FF"/>
              </w:rPr>
              <w:t>-</w:t>
            </w: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0432FF"/>
              </w:rPr>
              <w:t>-</w:t>
            </w:r>
          </w:p>
        </w:tc>
        <w:tc>
          <w:tcPr>
            <w:tcW w:w="22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0432FF"/>
              </w:rPr>
              <w:t>-</w:t>
            </w:r>
          </w:p>
        </w:tc>
        <w:tc>
          <w:tcPr>
            <w:tcW w:w="2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0432FF"/>
              </w:rPr>
              <w:t>-</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w w:val="93"/>
              </w:rPr>
              <w:t>Total Company Stockholders' Equity</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Accumulate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5"/>
              </w:rPr>
              <w:t>Addition</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 2022</w:t>
            </w:r>
          </w:p>
        </w:tc>
        <w:tc>
          <w:tcPr>
            <w:tcW w:w="1640" w:type="dxa"/>
            <w:vAlign w:val="bottom"/>
            <w:gridSpan w:val="4"/>
            <w:vMerge w:val="restart"/>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al</w:t>
            </w:r>
          </w:p>
        </w:tc>
        <w:tc>
          <w:tcPr>
            <w:tcW w:w="1780" w:type="dxa"/>
            <w:vAlign w:val="bottom"/>
            <w:gridSpan w:val="5"/>
            <w:vMerge w:val="restart"/>
          </w:tcPr>
          <w:p>
            <w:pPr>
              <w:jc w:val="right"/>
              <w:ind w:right="540"/>
              <w:spacing w:after="0"/>
              <w:rPr>
                <w:sz w:val="20"/>
                <w:szCs w:val="20"/>
                <w:color w:val="auto"/>
              </w:rPr>
            </w:pPr>
            <w:r>
              <w:rPr>
                <w:rFonts w:ascii="Arial" w:cs="Arial" w:eastAsia="Arial" w:hAnsi="Arial"/>
                <w:sz w:val="14"/>
                <w:szCs w:val="14"/>
                <w:b w:val="1"/>
                <w:bCs w:val="1"/>
                <w:color w:val="auto"/>
              </w:rPr>
              <w:t>Treasury Stock</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w:t>
            </w: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Stockholder</w:t>
            </w:r>
          </w:p>
        </w:tc>
        <w:tc>
          <w:tcPr>
            <w:tcW w:w="0" w:type="dxa"/>
            <w:vAlign w:val="bottom"/>
          </w:tcPr>
          <w:p>
            <w:pPr>
              <w:spacing w:after="0"/>
              <w:rPr>
                <w:sz w:val="1"/>
                <w:szCs w:val="1"/>
                <w:color w:val="auto"/>
              </w:rPr>
            </w:pPr>
          </w:p>
        </w:tc>
      </w:tr>
      <w:tr>
        <w:trPr>
          <w:trHeight w:val="165"/>
        </w:trPr>
        <w:tc>
          <w:tcPr>
            <w:tcW w:w="2860" w:type="dxa"/>
            <w:vAlign w:val="bottom"/>
            <w:gridSpan w:val="4"/>
            <w:vMerge w:val="continue"/>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8"/>
              </w:rPr>
              <w:t>Paid-In</w:t>
            </w:r>
          </w:p>
        </w:tc>
        <w:tc>
          <w:tcPr>
            <w:tcW w:w="178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7"/>
              </w:rPr>
              <w:t>sive Loss</w:t>
            </w:r>
          </w:p>
        </w:tc>
        <w:tc>
          <w:tcPr>
            <w:tcW w:w="80" w:type="dxa"/>
            <w:vAlign w:val="bottom"/>
          </w:tcPr>
          <w:p>
            <w:pPr>
              <w:spacing w:after="0"/>
              <w:rPr>
                <w:sz w:val="14"/>
                <w:szCs w:val="14"/>
                <w:color w:val="auto"/>
              </w:rPr>
            </w:pPr>
          </w:p>
        </w:tc>
        <w:tc>
          <w:tcPr>
            <w:tcW w:w="90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Earnings</w:t>
            </w:r>
          </w:p>
        </w:tc>
        <w:tc>
          <w:tcPr>
            <w:tcW w:w="98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ing Interest</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6"/>
              </w:rPr>
              <w:t>s' Equity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860" w:type="dxa"/>
            <w:vAlign w:val="bottom"/>
            <w:gridSpan w:val="4"/>
          </w:tcPr>
          <w:p>
            <w:pPr>
              <w:ind w:left="20"/>
              <w:spacing w:after="0" w:line="137" w:lineRule="exact"/>
              <w:rPr>
                <w:sz w:val="20"/>
                <w:szCs w:val="20"/>
                <w:color w:val="auto"/>
              </w:rPr>
            </w:pPr>
            <w:r>
              <w:rPr>
                <w:rFonts w:ascii="Arial" w:cs="Arial" w:eastAsia="Arial" w:hAnsi="Arial"/>
                <w:sz w:val="14"/>
                <w:szCs w:val="14"/>
                <w:b w:val="1"/>
                <w:bCs w:val="1"/>
                <w:color w:val="auto"/>
              </w:rPr>
              <w:t>Balance at January 1, 2022</w:t>
            </w:r>
          </w:p>
        </w:tc>
        <w:tc>
          <w:tcPr>
            <w:tcW w:w="7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1,340,4</w:t>
            </w:r>
          </w:p>
        </w:tc>
        <w:tc>
          <w:tcPr>
            <w:tcW w:w="2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(178,02</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103,260</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113</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80</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10,200</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(752 )</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187,814</w:t>
            </w:r>
          </w:p>
        </w:tc>
        <w:tc>
          <w:tcPr>
            <w:tcW w:w="22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(9,205 )</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1,340,428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860" w:type="dxa"/>
            <w:vAlign w:val="bottom"/>
            <w:gridSpan w:val="4"/>
            <w:shd w:val="clear" w:color="auto" w:fill="CFF0FC"/>
          </w:tcPr>
          <w:p>
            <w:pPr>
              <w:ind w:left="20"/>
              <w:spacing w:after="0" w:line="137" w:lineRule="exact"/>
              <w:rPr>
                <w:sz w:val="20"/>
                <w:szCs w:val="20"/>
                <w:color w:val="auto"/>
              </w:rPr>
            </w:pPr>
            <w:r>
              <w:rPr>
                <w:rFonts w:ascii="Arial" w:cs="Arial" w:eastAsia="Arial" w:hAnsi="Arial"/>
                <w:sz w:val="14"/>
                <w:szCs w:val="14"/>
                <w:color w:val="auto"/>
              </w:rPr>
              <w:t>Issuance of subsidiary shares to</w:t>
            </w:r>
          </w:p>
        </w:tc>
        <w:tc>
          <w:tcPr>
            <w:tcW w:w="72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860" w:type="dxa"/>
            <w:vAlign w:val="bottom"/>
            <w:gridSpan w:val="4"/>
            <w:shd w:val="clear" w:color="auto" w:fill="CFF0FC"/>
          </w:tcPr>
          <w:p>
            <w:pPr>
              <w:ind w:left="20"/>
              <w:spacing w:after="0"/>
              <w:rPr>
                <w:sz w:val="20"/>
                <w:szCs w:val="20"/>
                <w:color w:val="auto"/>
              </w:rPr>
            </w:pPr>
            <w:r>
              <w:rPr>
                <w:rFonts w:ascii="Arial" w:cs="Arial" w:eastAsia="Arial" w:hAnsi="Arial"/>
                <w:sz w:val="14"/>
                <w:szCs w:val="14"/>
                <w:color w:val="auto"/>
              </w:rPr>
              <w:t>noncontrolling interest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1,421</w:t>
            </w:r>
          </w:p>
        </w:tc>
        <w:tc>
          <w:tcPr>
            <w:tcW w:w="2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(1,421 )</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860" w:type="dxa"/>
            <w:vAlign w:val="bottom"/>
            <w:gridSpan w:val="4"/>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(369,610 )</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(2,706 )</w:t>
            </w:r>
          </w:p>
        </w:tc>
        <w:tc>
          <w:tcPr>
            <w:tcW w:w="12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(372,316 )</w:t>
            </w:r>
          </w:p>
        </w:tc>
        <w:tc>
          <w:tcPr>
            <w:tcW w:w="0" w:type="dxa"/>
            <w:vAlign w:val="bottom"/>
          </w:tcPr>
          <w:p>
            <w:pPr>
              <w:spacing w:after="0"/>
              <w:rPr>
                <w:sz w:val="1"/>
                <w:szCs w:val="1"/>
                <w:color w:val="auto"/>
              </w:rPr>
            </w:pPr>
          </w:p>
        </w:tc>
      </w:tr>
      <w:tr>
        <w:trPr>
          <w:trHeight w:val="176"/>
        </w:trPr>
        <w:tc>
          <w:tcPr>
            <w:tcW w:w="2860" w:type="dxa"/>
            <w:vAlign w:val="bottom"/>
            <w:gridSpan w:val="4"/>
            <w:shd w:val="clear" w:color="auto" w:fill="CFF0FC"/>
          </w:tcPr>
          <w:p>
            <w:pPr>
              <w:ind w:left="20"/>
              <w:spacing w:after="0"/>
              <w:rPr>
                <w:sz w:val="20"/>
                <w:szCs w:val="20"/>
                <w:color w:val="auto"/>
              </w:rPr>
            </w:pPr>
            <w:r>
              <w:rPr>
                <w:rFonts w:ascii="Arial" w:cs="Arial" w:eastAsia="Arial" w:hAnsi="Arial"/>
                <w:sz w:val="14"/>
                <w:szCs w:val="14"/>
                <w:color w:val="auto"/>
              </w:rPr>
              <w:t>Other comprehensive loss</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(4,377 )</w:t>
            </w:r>
          </w:p>
        </w:tc>
        <w:tc>
          <w:tcPr>
            <w:tcW w:w="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(4,377 )</w:t>
            </w:r>
          </w:p>
        </w:tc>
        <w:tc>
          <w:tcPr>
            <w:tcW w:w="0" w:type="dxa"/>
            <w:vAlign w:val="bottom"/>
          </w:tcPr>
          <w:p>
            <w:pPr>
              <w:spacing w:after="0"/>
              <w:rPr>
                <w:sz w:val="1"/>
                <w:szCs w:val="1"/>
                <w:color w:val="auto"/>
              </w:rPr>
            </w:pPr>
          </w:p>
        </w:tc>
      </w:tr>
      <w:tr>
        <w:trPr>
          <w:trHeight w:val="143"/>
        </w:trPr>
        <w:tc>
          <w:tcPr>
            <w:tcW w:w="2860" w:type="dxa"/>
            <w:vAlign w:val="bottom"/>
            <w:gridSpan w:val="4"/>
          </w:tcPr>
          <w:p>
            <w:pPr>
              <w:ind w:left="20"/>
              <w:spacing w:after="0" w:line="143" w:lineRule="exact"/>
              <w:rPr>
                <w:sz w:val="20"/>
                <w:szCs w:val="20"/>
                <w:color w:val="auto"/>
              </w:rPr>
            </w:pPr>
            <w:r>
              <w:rPr>
                <w:rFonts w:ascii="Arial" w:cs="Arial" w:eastAsia="Arial" w:hAnsi="Arial"/>
                <w:sz w:val="14"/>
                <w:szCs w:val="14"/>
                <w:color w:val="auto"/>
              </w:rPr>
              <w:t>Cash dividends paid on common stock</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60" w:type="dxa"/>
            <w:vAlign w:val="bottom"/>
            <w:gridSpan w:val="4"/>
          </w:tcPr>
          <w:p>
            <w:pPr>
              <w:ind w:left="20"/>
              <w:spacing w:after="0"/>
              <w:rPr>
                <w:sz w:val="20"/>
                <w:szCs w:val="20"/>
                <w:color w:val="auto"/>
              </w:rPr>
            </w:pPr>
            <w:r>
              <w:rPr>
                <w:rFonts w:ascii="Arial" w:cs="Arial" w:eastAsia="Arial" w:hAnsi="Arial"/>
                <w:sz w:val="14"/>
                <w:szCs w:val="14"/>
                <w:color w:val="auto"/>
              </w:rPr>
              <w:t>($0.15 per share)</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(15,631 )</w:t>
            </w:r>
          </w:p>
        </w:tc>
        <w:tc>
          <w:tcPr>
            <w:tcW w:w="20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(15,631 )</w:t>
            </w:r>
          </w:p>
        </w:tc>
        <w:tc>
          <w:tcPr>
            <w:tcW w:w="0" w:type="dxa"/>
            <w:vAlign w:val="bottom"/>
          </w:tcPr>
          <w:p>
            <w:pPr>
              <w:spacing w:after="0"/>
              <w:rPr>
                <w:sz w:val="1"/>
                <w:szCs w:val="1"/>
                <w:color w:val="auto"/>
              </w:rPr>
            </w:pPr>
          </w:p>
        </w:tc>
      </w:tr>
      <w:tr>
        <w:trPr>
          <w:trHeight w:val="143"/>
        </w:trPr>
        <w:tc>
          <w:tcPr>
            <w:tcW w:w="2860" w:type="dxa"/>
            <w:vAlign w:val="bottom"/>
            <w:gridSpan w:val="4"/>
            <w:shd w:val="clear" w:color="auto" w:fill="CFF0FC"/>
          </w:tcPr>
          <w:p>
            <w:pPr>
              <w:ind w:left="20"/>
              <w:spacing w:after="0" w:line="143" w:lineRule="exact"/>
              <w:rPr>
                <w:sz w:val="20"/>
                <w:szCs w:val="20"/>
                <w:color w:val="auto"/>
              </w:rPr>
            </w:pPr>
            <w:r>
              <w:rPr>
                <w:rFonts w:ascii="Arial" w:cs="Arial" w:eastAsia="Arial" w:hAnsi="Arial"/>
                <w:sz w:val="14"/>
                <w:szCs w:val="14"/>
                <w:color w:val="auto"/>
              </w:rPr>
              <w:t>Issuance of common stock in connection with</w:t>
            </w: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60" w:type="dxa"/>
            <w:vAlign w:val="bottom"/>
            <w:gridSpan w:val="4"/>
            <w:shd w:val="clear" w:color="auto" w:fill="CFF0FC"/>
          </w:tcPr>
          <w:p>
            <w:pPr>
              <w:ind w:left="20"/>
              <w:spacing w:after="0"/>
              <w:rPr>
                <w:sz w:val="20"/>
                <w:szCs w:val="20"/>
                <w:color w:val="auto"/>
              </w:rPr>
            </w:pPr>
            <w:r>
              <w:rPr>
                <w:rFonts w:ascii="Arial" w:cs="Arial" w:eastAsia="Arial" w:hAnsi="Arial"/>
                <w:sz w:val="14"/>
                <w:szCs w:val="14"/>
                <w:color w:val="auto"/>
              </w:rPr>
              <w:t>exercise of stock options</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w:t>
            </w:r>
          </w:p>
        </w:tc>
        <w:tc>
          <w:tcPr>
            <w:tcW w:w="2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60" w:type="dxa"/>
            <w:vAlign w:val="bottom"/>
            <w:gridSpan w:val="4"/>
          </w:tcPr>
          <w:p>
            <w:pPr>
              <w:ind w:left="20"/>
              <w:spacing w:after="0" w:line="143" w:lineRule="exact"/>
              <w:rPr>
                <w:sz w:val="20"/>
                <w:szCs w:val="20"/>
                <w:color w:val="auto"/>
              </w:rPr>
            </w:pPr>
            <w:r>
              <w:rPr>
                <w:rFonts w:ascii="Arial" w:cs="Arial" w:eastAsia="Arial" w:hAnsi="Arial"/>
                <w:sz w:val="14"/>
                <w:szCs w:val="14"/>
                <w:color w:val="auto"/>
              </w:rPr>
              <w:t>Issuance of common stock in connection with</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60" w:type="dxa"/>
            <w:vAlign w:val="bottom"/>
            <w:gridSpan w:val="4"/>
          </w:tcPr>
          <w:p>
            <w:pPr>
              <w:ind w:left="20"/>
              <w:spacing w:after="0"/>
              <w:rPr>
                <w:sz w:val="20"/>
                <w:szCs w:val="20"/>
                <w:color w:val="auto"/>
              </w:rPr>
            </w:pPr>
            <w:r>
              <w:rPr>
                <w:rFonts w:ascii="Arial" w:cs="Arial" w:eastAsia="Arial" w:hAnsi="Arial"/>
                <w:sz w:val="14"/>
                <w:szCs w:val="14"/>
                <w:color w:val="auto"/>
              </w:rPr>
              <w:t>employee stock purchase plan</w:t>
            </w:r>
          </w:p>
        </w:tc>
        <w:tc>
          <w:tcPr>
            <w:tcW w:w="720" w:type="dxa"/>
            <w:vAlign w:val="bottom"/>
          </w:tcPr>
          <w:p>
            <w:pPr>
              <w:jc w:val="right"/>
              <w:spacing w:after="0"/>
              <w:rPr>
                <w:sz w:val="20"/>
                <w:szCs w:val="20"/>
                <w:color w:val="auto"/>
              </w:rPr>
            </w:pPr>
            <w:r>
              <w:rPr>
                <w:rFonts w:ascii="Arial" w:cs="Arial" w:eastAsia="Arial" w:hAnsi="Arial"/>
                <w:sz w:val="14"/>
                <w:szCs w:val="14"/>
                <w:color w:val="auto"/>
              </w:rPr>
              <w:t>1,301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14,131</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14,132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60" w:type="dxa"/>
            <w:vAlign w:val="bottom"/>
            <w:gridSpan w:val="4"/>
            <w:shd w:val="clear" w:color="auto" w:fill="CFF0FC"/>
          </w:tcPr>
          <w:p>
            <w:pPr>
              <w:ind w:left="20"/>
              <w:spacing w:after="0" w:line="143" w:lineRule="exact"/>
              <w:rPr>
                <w:sz w:val="20"/>
                <w:szCs w:val="20"/>
                <w:color w:val="auto"/>
              </w:rPr>
            </w:pPr>
            <w:r>
              <w:rPr>
                <w:rFonts w:ascii="Arial" w:cs="Arial" w:eastAsia="Arial" w:hAnsi="Arial"/>
                <w:sz w:val="14"/>
                <w:szCs w:val="14"/>
                <w:color w:val="auto"/>
              </w:rPr>
              <w:t>Issuance of restricted stock, net of shares</w:t>
            </w: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60" w:type="dxa"/>
            <w:vAlign w:val="bottom"/>
            <w:gridSpan w:val="4"/>
            <w:shd w:val="clear" w:color="auto" w:fill="CFF0FC"/>
          </w:tcPr>
          <w:p>
            <w:pPr>
              <w:ind w:left="20"/>
              <w:spacing w:after="0"/>
              <w:rPr>
                <w:sz w:val="20"/>
                <w:szCs w:val="20"/>
                <w:color w:val="auto"/>
              </w:rPr>
            </w:pPr>
            <w:r>
              <w:rPr>
                <w:rFonts w:ascii="Arial" w:cs="Arial" w:eastAsia="Arial" w:hAnsi="Arial"/>
                <w:sz w:val="14"/>
                <w:szCs w:val="14"/>
                <w:color w:val="auto"/>
              </w:rPr>
              <w:t>canceled</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60" w:type="dxa"/>
            <w:vAlign w:val="bottom"/>
            <w:gridSpan w:val="4"/>
          </w:tcPr>
          <w:p>
            <w:pPr>
              <w:ind w:left="20"/>
              <w:spacing w:after="0" w:line="143" w:lineRule="exact"/>
              <w:rPr>
                <w:sz w:val="20"/>
                <w:szCs w:val="20"/>
                <w:color w:val="auto"/>
              </w:rPr>
            </w:pPr>
            <w:r>
              <w:rPr>
                <w:rFonts w:ascii="Arial" w:cs="Arial" w:eastAsia="Arial" w:hAnsi="Arial"/>
                <w:sz w:val="14"/>
                <w:szCs w:val="14"/>
                <w:color w:val="auto"/>
              </w:rPr>
              <w:t>Repurchases of common stock, shares</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860" w:type="dxa"/>
            <w:vAlign w:val="bottom"/>
            <w:gridSpan w:val="4"/>
          </w:tcPr>
          <w:p>
            <w:pPr>
              <w:ind w:left="20"/>
              <w:spacing w:after="0"/>
              <w:rPr>
                <w:sz w:val="20"/>
                <w:szCs w:val="20"/>
                <w:color w:val="auto"/>
              </w:rPr>
            </w:pPr>
            <w:r>
              <w:rPr>
                <w:rFonts w:ascii="Arial" w:cs="Arial" w:eastAsia="Arial" w:hAnsi="Arial"/>
                <w:sz w:val="14"/>
                <w:szCs w:val="14"/>
                <w:color w:val="auto"/>
              </w:rPr>
              <w:t>exchanged</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(934 )</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651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(15,325 )</w:t>
            </w:r>
          </w:p>
        </w:tc>
        <w:tc>
          <w:tcPr>
            <w:tcW w:w="10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(15,325 )</w:t>
            </w:r>
          </w:p>
        </w:tc>
        <w:tc>
          <w:tcPr>
            <w:tcW w:w="0" w:type="dxa"/>
            <w:vAlign w:val="bottom"/>
          </w:tcPr>
          <w:p>
            <w:pPr>
              <w:spacing w:after="0"/>
              <w:rPr>
                <w:sz w:val="1"/>
                <w:szCs w:val="1"/>
                <w:color w:val="auto"/>
              </w:rPr>
            </w:pPr>
          </w:p>
        </w:tc>
      </w:tr>
      <w:tr>
        <w:trPr>
          <w:trHeight w:val="175"/>
        </w:trPr>
        <w:tc>
          <w:tcPr>
            <w:tcW w:w="2860" w:type="dxa"/>
            <w:vAlign w:val="bottom"/>
            <w:gridSpan w:val="4"/>
            <w:shd w:val="clear" w:color="auto" w:fill="CFF0FC"/>
          </w:tcPr>
          <w:p>
            <w:pPr>
              <w:ind w:left="20"/>
              <w:spacing w:after="0"/>
              <w:rPr>
                <w:sz w:val="20"/>
                <w:szCs w:val="20"/>
                <w:color w:val="auto"/>
              </w:rPr>
            </w:pPr>
            <w:r>
              <w:rPr>
                <w:rFonts w:ascii="Arial" w:cs="Arial" w:eastAsia="Arial" w:hAnsi="Arial"/>
                <w:sz w:val="14"/>
                <w:szCs w:val="14"/>
                <w:color w:val="auto"/>
              </w:rPr>
              <w:t>Repurchases of common stock</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(1,029 )</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1,029</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(17,260 )</w:t>
            </w: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(17,260 )</w:t>
            </w:r>
          </w:p>
        </w:tc>
        <w:tc>
          <w:tcPr>
            <w:tcW w:w="0" w:type="dxa"/>
            <w:vAlign w:val="bottom"/>
          </w:tcPr>
          <w:p>
            <w:pPr>
              <w:spacing w:after="0"/>
              <w:rPr>
                <w:sz w:val="1"/>
                <w:szCs w:val="1"/>
                <w:color w:val="auto"/>
              </w:rPr>
            </w:pPr>
          </w:p>
        </w:tc>
      </w:tr>
      <w:tr>
        <w:trPr>
          <w:trHeight w:val="176"/>
        </w:trPr>
        <w:tc>
          <w:tcPr>
            <w:tcW w:w="2860" w:type="dxa"/>
            <w:vAlign w:val="bottom"/>
            <w:gridSpan w:val="4"/>
          </w:tcPr>
          <w:p>
            <w:pPr>
              <w:ind w:left="20"/>
              <w:spacing w:after="0"/>
              <w:rPr>
                <w:sz w:val="20"/>
                <w:szCs w:val="20"/>
                <w:color w:val="auto"/>
              </w:rPr>
            </w:pPr>
            <w:r>
              <w:rPr>
                <w:rFonts w:ascii="Arial" w:cs="Arial" w:eastAsia="Arial" w:hAnsi="Arial"/>
                <w:sz w:val="14"/>
                <w:szCs w:val="14"/>
                <w:color w:val="auto"/>
              </w:rPr>
              <w:t>Stock-based compensation expense</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49,283</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49,283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860" w:type="dxa"/>
            <w:vAlign w:val="bottom"/>
            <w:gridSpan w:val="4"/>
            <w:shd w:val="clear" w:color="auto" w:fill="CFF0FC"/>
          </w:tcPr>
          <w:p>
            <w:pPr>
              <w:ind w:left="20"/>
              <w:spacing w:after="0" w:line="137" w:lineRule="exact"/>
              <w:rPr>
                <w:sz w:val="20"/>
                <w:szCs w:val="20"/>
                <w:color w:val="auto"/>
              </w:rPr>
            </w:pPr>
            <w:r>
              <w:rPr>
                <w:rFonts w:ascii="Arial" w:cs="Arial" w:eastAsia="Arial" w:hAnsi="Arial"/>
                <w:sz w:val="14"/>
                <w:szCs w:val="14"/>
                <w:b w:val="1"/>
                <w:bCs w:val="1"/>
                <w:color w:val="auto"/>
              </w:rPr>
              <w:t>Balance at September 30, 2022</w:t>
            </w:r>
          </w:p>
        </w:tc>
        <w:tc>
          <w:tcPr>
            <w:tcW w:w="72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1,405,4</w:t>
            </w:r>
          </w:p>
        </w:tc>
        <w:tc>
          <w:tcPr>
            <w:tcW w:w="240" w:type="dxa"/>
            <w:vAlign w:val="bottom"/>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(210,60</w:t>
            </w: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FF0FC"/>
          </w:tcPr>
          <w:p>
            <w:pPr>
              <w:spacing w:after="0"/>
              <w:rPr>
                <w:sz w:val="17"/>
                <w:szCs w:val="17"/>
                <w:color w:val="auto"/>
              </w:rPr>
            </w:pPr>
          </w:p>
        </w:tc>
        <w:tc>
          <w:tcPr>
            <w:tcW w:w="24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105,059</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11,880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(5,129 )</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(197,427 )</w:t>
            </w:r>
          </w:p>
        </w:tc>
        <w:tc>
          <w:tcPr>
            <w:tcW w:w="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(13,332 )</w:t>
            </w:r>
          </w:p>
        </w:tc>
        <w:tc>
          <w:tcPr>
            <w:tcW w:w="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979,055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4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-4791075</wp:posOffset>
            </wp:positionV>
            <wp:extent cx="76835" cy="2146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21463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-4791075</wp:posOffset>
            </wp:positionV>
            <wp:extent cx="76835" cy="2146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21463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-4791075</wp:posOffset>
            </wp:positionV>
            <wp:extent cx="77470" cy="2146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21463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-4791075</wp:posOffset>
            </wp:positionV>
            <wp:extent cx="68580" cy="2146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-4791075</wp:posOffset>
            </wp:positionV>
            <wp:extent cx="68580" cy="2146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-4791075</wp:posOffset>
            </wp:positionV>
            <wp:extent cx="68580" cy="2146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-4791075</wp:posOffset>
            </wp:positionV>
            <wp:extent cx="68580" cy="2146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-4791075</wp:posOffset>
            </wp:positionV>
            <wp:extent cx="68580" cy="2146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-4791075</wp:posOffset>
            </wp:positionV>
            <wp:extent cx="68580" cy="2146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-2999740</wp:posOffset>
            </wp:positionV>
            <wp:extent cx="4860290" cy="10801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860290" cy="108013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-24765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-8255</wp:posOffset>
            </wp:positionV>
            <wp:extent cx="768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-24765</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-8255</wp:posOffset>
            </wp:positionV>
            <wp:extent cx="768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-24765</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-8255</wp:posOffset>
            </wp:positionV>
            <wp:extent cx="77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-8255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-8255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-8255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ADEIA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BASIS OF PRESENTATION</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Adeia Inc. (the “Company”), a Delaware corporation, is one of the industry’s largest intellectual property (“IP”) licensing platforms, with a diverse portfolio of media and semiconductor IP possessing more than 10,500 patents and patent applications worldwide.</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October 1, 2022, the Company completed the previously announced separation (“the Separation”) of its product business into a separate, independent, publicly-traded company, Xperi Inc. (“Xperi Inc.”). The Separation was structured as a spin-off, which was achieved through the Company’s distribution of 100 percent of the outstanding shares of Xperi Inc.’s common stock to holders of the Company’s common stock as of the close of business on the record date of September 21, 2022 (the “Record Date”). Each Company stockholder of record received four shares of Xperi Inc. common stock for every ten shares of Company common stock that it held on the Record Date. Following the Separation, the Company retains no ownership in Xperi Inc., which is now listed under the ticker symbol “XPER” on the New York Stock Exchange. Effective at the open of business on October 3, 2022, the Company’s shares of common stock, par value $0.001 per share, began trading on the Nasdaq Global Select Market under the new ticker symbol “ADEA”.</w:t>
      </w:r>
    </w:p>
    <w:p>
      <w:pPr>
        <w:spacing w:after="0" w:line="166"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 xml:space="preserve">The accounting requirements for reporting the separation of Xperi Inc. as a discontinued operation were met when the Separation was completed. Accordingly, the historical financial results of Xperi Inc. for periods prior to the Separation are presented as net loss from discontinued operations, net of tax on the Condensed Consolidated Statements of Operations. For further information on discontinued operations, see “Note 7 – </w:t>
      </w:r>
      <w:r>
        <w:rPr>
          <w:rFonts w:ascii="Arial" w:cs="Arial" w:eastAsia="Arial" w:hAnsi="Arial"/>
          <w:sz w:val="16"/>
          <w:szCs w:val="16"/>
          <w:i w:val="1"/>
          <w:iCs w:val="1"/>
          <w:color w:val="auto"/>
        </w:rPr>
        <w:t>Discontinued</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w:t>
      </w:r>
      <w:r>
        <w:rPr>
          <w:rFonts w:ascii="Arial" w:cs="Arial" w:eastAsia="Arial" w:hAnsi="Arial"/>
          <w:sz w:val="16"/>
          <w:szCs w:val="16"/>
          <w:color w:val="auto"/>
        </w:rPr>
        <w:t>. Unless noted otherwise, discussion in the Notes to the Condensed Consolidated Financial Statements pertains to continuing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Additionally, as a result of the Separation, the Company changed its operational structure in the fourth quarter of 2022, resulting in one reportable segment: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IP Licensing.</w:t>
      </w:r>
    </w:p>
    <w:p>
      <w:pPr>
        <w:spacing w:after="0" w:line="21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accompanying interim unaudited Condensed Consolidated Financial Statements have been prepared by the Company in accordance with generally accepted accounting principles (“GAAP”) in the United States (“U.S.”) and the applicable rules and regulations of the Securities and Exchange Commission (“SEC”) for interim financial information. The amounts as of December 31, 2022 have been derived from the Company’s annual audited Consolidated Financial Statements included in its Annual Report on Form 10-K for the year ended December 31, 2022, filed on March 1, 2023 (the “Form 10-K”). These Condensed Consolidated Financial Statements should be read in conjunction with the annual audited Consolidated Financial Statements and notes thereto included in the Form 10-K as of and for the year ended December 31, 2022.</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U.S. GAAP have been condensed or omitted in accordance with such rules and regulations. In the opinion of management, the accompanying unaudited Condensed Consolidated Financial Statements reflect all adjustments necessary (consisting of normal recurring adjustments) to state fairly the financial position of the Company and its results of operations and cash flows as of and for the periods presented. The results of operations for the three months and nine months ended September 30, 2023 are not necessarily indicative of the results that may be expected for the full year ending December 31, 2023 or any future period and the Company makes no representations related thereto.</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prior period balances in order to conform to the current period’s presentation.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have been no significant changes in the Company’s significant accounting policies during the three and nine months ended September 30, 2023, as compared to the significant accounting policies described in the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financial statements and accompanying notes. The accounting estimates and assumptions that require management’s most significant, challenging and subjective judgment include identifying the performance obligations in the contract, estimating variable consideration, estimating quarterly royalties prior to receiving the royalty reports from the licensees, determining standalone selling prices, allocating consideration in a contract with multiple performance obligations, the assessment of the recoverability of goodwill, the assessment of useful lives and recoverability of other intangible assets and long-lived assets, recognition and measurement of current and deferred income tax assets and liabilities, the assessment of unrecognized tax benefits and purchase accounting resulting from business combinations, among others. Actual results experienced by the Company may differ from management’s estimates. These estimates may change, as new events occur and additional information is obtained, and are recognized in the consolidated financial statements as soon as they become known.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(“ASU 2020-04”). ASU 2020-04 provides optional expedients and exceptions for applying U.S. GAAP to contracts, hedging relationships, and other transactions affected by reference rate reform if certain criteria are met. The amendments in ASU 2020-04 apply only to contracts, hedging relationships, and other transactions that reference the London Interbank Offered Rate (“LIBOR”) or another reference rate expected to be discontinued because of reference rate reform. In December 2022, the FASB issued ASU 2022-06, Reference Rate Reform (Topic 848): Deferral of the Sunset Date of Topic 848 (“ASU 2022-06”), which deferred the application dates of Topic 848 to December 31, 2024.</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the second quarter of 2023, the Company adopted Topic 848 and modified its debt agreement to reference to other rates. The adoption did not have a material impact to the Company’s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Revenue is recognized when control of the intellectual property (“IP”) rights is transferred to a customer in an amount that reflects the consideration the Company expects to be entitled to in exchange for the licensing of the Company’s IP, which may include various combinations of IP rights and services which are generally capable of being distinct and accounted for as separate performance obligations. In situations where foreign withholding taxes are withheld by the Company’s licensee, revenue is recognized gross of withholding taxes that are remitted directly by the licensee to a local tax authority.</w:t>
      </w:r>
    </w:p>
    <w:p>
      <w:pPr>
        <w:spacing w:after="0" w:line="1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Some of the Company’s contracts with customers contain multiple performance obligations. For these contracts, the individual performance obligations are separately accounted for if they are distinct. In a contract with multiple performance obligations, the transaction price is allocated among the separate performance obligations on a relative standalone selling price basis.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0" w:name="page11"/>
    <w:bookmarkEnd w:id="10"/>
    <w:p>
      <w:pPr>
        <w:ind w:right="260"/>
        <w:spacing w:after="0" w:line="257" w:lineRule="auto"/>
        <w:rPr>
          <w:sz w:val="20"/>
          <w:szCs w:val="20"/>
          <w:color w:val="auto"/>
        </w:rPr>
      </w:pPr>
      <w:r>
        <w:rPr>
          <w:rFonts w:ascii="Arial" w:cs="Arial" w:eastAsia="Arial" w:hAnsi="Arial"/>
          <w:sz w:val="18"/>
          <w:szCs w:val="18"/>
          <w:color w:val="auto"/>
        </w:rPr>
        <w:t>The determination of standalone selling price considers market conditions, the size and scope of the contract, customer and geographic information, and other factors. When observable prices are not available, standalone selling price for separate performance obligations is based on the adjusted market assessment approach to estimate the price that a customer in the relevant market would be willing to pay for licensing the Company’s IP rights. The allocation of transaction price among performance obligations in a contract may impact the amount and timing of revenue recognized in the Condensed Consolidated Statements of Operations during a given period.</w:t>
      </w:r>
    </w:p>
    <w:p>
      <w:pPr>
        <w:spacing w:after="0" w:line="80"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When a contract with a customer includes variable consideration, an estimate of the consideration which the Company expects to be entitled to for transferring the promised IP rights or services is made at contract inception and in each subsequent reporting period until the uncertainty associated with the variable consideration is resolved. The amount of variable consideration is estimated by considering all available information (historical, current, and forecast) and is updated as additional information becomes available. The estimate of variable consideration is included in the transaction price to the extent it is probable that a significant reversal of cumulative revenue recognized will not occur when the uncertainty associated with the variable consideration is resolved. Subsequent changes in the transaction price resulting from changes in the estimate of variable consideration are allocated to the performance obligations in the contract on the same basis as at contract inception. When variable consideration is in the form of a sales-based or usage-based royalty in exchange for a license of IP, revenue is recognized at the later of when the subsequent sale or usage occurs or the performance obligation to which some or all of the sales-based or usage-based royalty has been allocated has been satisfied or partially satisfied.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Revenue-Generating Activities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 License Arrangements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licenses (i) its media patent portfolios (“Media IP licensing”) to multichannel video programming distributors, over-the-top video service providers, consumer electronics manufacturers, social media and other new media companies and (ii) its semiconductor technologies and associated patent portfolios (“Semiconductor IP licensing”) to memory, logic, sensors, radio frequency component and foundry companies. The Company generally licenses its IP portfolios under three models: (i) fixed-fee Media IP licensing, (ii) fixed-fee or minimum guarantee Semiconductor IP licensing, and (iii) per-unit or per-subscriber Media IP or Semiconductor IP royalty licensing.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Fixed-fee Media IP Licensing</w:t>
      </w:r>
    </w:p>
    <w:p>
      <w:pPr>
        <w:spacing w:after="0" w:line="117"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The Company’s long-term, fixed-fee Media IP licensing contracts provide its customers with rights to future patented technologies over the term of the contract that are highly interdependent or highly interrelated to the patented technologies provided at the inception of the contract. The Company treats these rights as a single performance obligation with revenue recognized on a straight-line basis over the term of the fixed-fee license contract.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Fixed-fee or Minimum Guarantee Semiconductor IP Licensing</w:t>
      </w:r>
    </w:p>
    <w:p>
      <w:pPr>
        <w:spacing w:after="0" w:line="11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Company has entered into Semiconductor IP licenses that have a fixed fee or a minimum guarantee, whereby licensees pay a fixed fee for the right to incorporate the Company’s IP technologies in the licensee’s products over the license term. In contracts with a minimum guarantee, the fixed fee component corresponds to a minimum number of units or dollars that the customer must produce or pay, with additional per-unit fees for any units or dollars exceeding the minimum. The Company generally recognizes the full fixed fee as revenue at the beginning of the license term when the customer has the right to use the IP and begins to benefit from the license, net of the effect of any significant financing component calculated using customer-specific, risk-adjusted lending rates, with the related interest income being recognized over time on an effective rate basis. For minimum guarantee contracts where the customer exceeds the minimum, the Company recognizes revenue relating to any additional per-unit fees in the periods it believes the customer has exceeded the minimum and adjusts the revenue based on actual usage once that is reported by the customer.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Per-unit or Per-subscriber Media IP or Semiconductor IP Royalty Licensing</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recognizes revenue from per-unit or per-subscriber IP royalty licenses in the period in which the licensee’s sales or production are estimated to have occurred, which results in an adjustment to revenue when actual sales or production are subsequently reported by the licensee, which is generally in the month or quarter following usage or shipment. Estimating customers’ monthly or quarterly royalties prior to receiving the royalty reports requires the Company to make significant assumptions and judgments related to forecasted trends and growth rates used to estimate quantities shipped or manufactured by customers, which could have a material impact on the amount of revenue it reports on a quarterly basis.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IP License Contracts with Multiple Performance Obligations</w:t>
      </w:r>
    </w:p>
    <w:p>
      <w:pPr>
        <w:spacing w:after="0" w:line="117"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At times, the Company enters into long-term license contracts with more than one performance obligation, which may include releases from past patent infringement claims or one or more prospective licenses. In these arrangements, the Company allocates the transaction price between releases for past patent infringement claims and prospective licenses based on their relative standalone selling prices, which requires significant management judgment.</w:t>
      </w:r>
    </w:p>
    <w:p>
      <w:pPr>
        <w:spacing w:after="0" w:line="10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determining the standalone selling price of each performance obligation, the Company considers such factors as the number of past and projected future subscribers, units shipped and units manufactured, as well as the per-subscriber or per-unit licensing rates the Company generally receives from licensees of comparable sizes in comparable markets and geographies.</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a release from past patent infringement claims is generally satisfied at execution of the contract, the transaction price allocated to the release from past patent infringement claims is generally recognized in the period the contract is executed. Transaction price allocated to prospective Media IP licenses is recognized ratably over the license term, and transaction price allocated to prospective Semiconductor IP licenses is recognized upon execution of the contract.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18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applies a practical expedient to not perform an evaluation of whether a contract includes a significant financing component when the timing of revenue recognition differs from the timing of cash collection by one year or less.</w:t>
      </w:r>
    </w:p>
    <w:p>
      <w:pPr>
        <w:spacing w:after="0" w:line="13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 applies a practical expedient to expense costs to obtain a contract with a customer as incurred as a component of selling, general and administrative expenses when the amortization period would have been one year or less.</w:t>
      </w:r>
    </w:p>
    <w:p>
      <w:pPr>
        <w:spacing w:after="0" w:line="14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applies a practical expedient when disclosing revenue expected to be recognized from unsatisfied performance obligations to exclude contracts with customers with an original duration of less than one year; amounts attributable to variable consideration arising from (i) a sales-based or usage-based royalty of an IP license or (ii) when variable consideration is allocated entirely to a wholly unsatisfied performance obligation; or to a wholly unsatisfied promise to transfer a distinct good or service that forms part of a single performance obligation.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Details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disaggregation</w:t>
      </w:r>
    </w:p>
    <w:p>
      <w:pPr>
        <w:spacing w:after="0" w:line="202"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 xml:space="preserve">The following information depicts how the nature, amount, timing and uncertainty of revenue and cash flows are affected by economic factors by disaggregating revenue by category, market vertical and geographic location (presented in “Note 16 – </w:t>
      </w:r>
      <w:r>
        <w:rPr>
          <w:rFonts w:ascii="Arial" w:cs="Arial" w:eastAsia="Arial" w:hAnsi="Arial"/>
          <w:sz w:val="18"/>
          <w:szCs w:val="18"/>
          <w:i w:val="1"/>
          <w:iCs w:val="1"/>
          <w:color w:val="auto"/>
        </w:rPr>
        <w:t>Segment and Geographic Information</w:t>
      </w:r>
      <w:r>
        <w:rPr>
          <w:rFonts w:ascii="Arial" w:cs="Arial" w:eastAsia="Arial" w:hAnsi="Arial"/>
          <w:sz w:val="18"/>
          <w:szCs w:val="18"/>
          <w:color w:val="auto"/>
        </w:rPr>
        <w:t>”). This information includes revenue recognized from contracts with customers and revenue from other sources, including sales-based or usage-based royalty revenues and fees associated with releases for past infringement.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and non-recurring revenue</w:t>
      </w:r>
    </w:p>
    <w:p>
      <w:pPr>
        <w:spacing w:after="0" w:line="1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Recurring revenue includes the following: (i) for fixed-fee Media IP license agreements, revenue associated with rights to existing and future patented technologies during reporting periods beginning with the reporting period in which the agreement is executed through the end of the term of the agreement, which are recognized on a straight-line basis; and (ii) for per-unit or per-subscriber Media IP or Semiconductor IP royalty license agreements, revenue associated with sales-based or usage-based royalties in exchange for a license of IP, which are recognized in the period such subsequent sales or usage occurs.</w:t>
      </w:r>
    </w:p>
    <w:p>
      <w:pPr>
        <w:spacing w:after="0" w:line="16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Non-recurring revenue includes the following: (i) for fixed-fee or minimum guarantee Semiconductor IP license agreements, revenue in the amount of such fixed fee or minimum guarantee associated with the right to use the IP, which is recognized upon execution of the agreement; and (ii) for all license agreements, revenue in the amount of the fees associated with releases for past patent infringement or licenses, in each case with respect to reporting periods prior to the execution of the agreement, which is recognized upon execution of the agreement.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Revenue disaggregated by recurring and non-recurring nature was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6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r>
      <w:tr>
        <w:trPr>
          <w:trHeight w:val="241"/>
        </w:trPr>
        <w:tc>
          <w:tcPr>
            <w:tcW w:w="44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September 30,</w:t>
            </w:r>
          </w:p>
        </w:tc>
        <w:tc>
          <w:tcPr>
            <w:tcW w:w="5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4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20"/>
                <w:szCs w:val="20"/>
                <w:color w:val="auto"/>
              </w:rPr>
            </w:pPr>
          </w:p>
        </w:tc>
      </w:tr>
      <w:tr>
        <w:trPr>
          <w:trHeight w:val="241"/>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Recurring revenue</w:t>
            </w: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83,595</w:t>
            </w:r>
          </w:p>
        </w:tc>
        <w:tc>
          <w:tcPr>
            <w:tcW w:w="300" w:type="dxa"/>
            <w:vAlign w:val="bottom"/>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86,469</w:t>
            </w:r>
          </w:p>
        </w:tc>
        <w:tc>
          <w:tcPr>
            <w:tcW w:w="2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255,078</w:t>
            </w:r>
          </w:p>
        </w:tc>
        <w:tc>
          <w:tcPr>
            <w:tcW w:w="260" w:type="dxa"/>
            <w:vAlign w:val="bottom"/>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267,428</w:t>
            </w:r>
          </w:p>
        </w:tc>
        <w:tc>
          <w:tcPr>
            <w:tcW w:w="100" w:type="dxa"/>
            <w:vAlign w:val="bottom"/>
            <w:shd w:val="clear" w:color="auto" w:fill="CFF0FC"/>
          </w:tcPr>
          <w:p>
            <w:pPr>
              <w:spacing w:after="0"/>
              <w:rPr>
                <w:sz w:val="20"/>
                <w:szCs w:val="20"/>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color w:val="auto"/>
              </w:rPr>
              <w:t>Non-recurring revenue</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17,802</w:t>
            </w:r>
          </w:p>
        </w:tc>
        <w:tc>
          <w:tcPr>
            <w:tcW w:w="3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2,828</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46,843</w:t>
            </w: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68,216</w:t>
            </w:r>
          </w:p>
        </w:tc>
        <w:tc>
          <w:tcPr>
            <w:tcW w:w="100" w:type="dxa"/>
            <w:vAlign w:val="bottom"/>
          </w:tcPr>
          <w:p>
            <w:pPr>
              <w:spacing w:after="0"/>
              <w:rPr>
                <w:sz w:val="20"/>
                <w:szCs w:val="20"/>
                <w:color w:val="auto"/>
              </w:rPr>
            </w:pPr>
          </w:p>
        </w:tc>
      </w:tr>
      <w:tr>
        <w:trPr>
          <w:trHeight w:val="277"/>
        </w:trPr>
        <w:tc>
          <w:tcPr>
            <w:tcW w:w="4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101,397</w:t>
            </w:r>
          </w:p>
        </w:tc>
        <w:tc>
          <w:tcPr>
            <w:tcW w:w="3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89,297</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301,921</w:t>
            </w:r>
          </w:p>
        </w:tc>
        <w:tc>
          <w:tcPr>
            <w:tcW w:w="2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335,644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-24765</wp:posOffset>
            </wp:positionV>
            <wp:extent cx="3360420" cy="1797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0420" cy="17970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market vertical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disaggregated by market vertical was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286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r>
      <w:tr>
        <w:trPr>
          <w:trHeight w:val="241"/>
        </w:trPr>
        <w:tc>
          <w:tcPr>
            <w:tcW w:w="44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September 30,</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4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6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41"/>
        </w:trPr>
        <w:tc>
          <w:tcPr>
            <w:tcW w:w="4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Media</w:t>
            </w: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95,748</w:t>
            </w:r>
          </w:p>
        </w:tc>
        <w:tc>
          <w:tcPr>
            <w:tcW w:w="24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84,652</w:t>
            </w:r>
          </w:p>
        </w:tc>
        <w:tc>
          <w:tcPr>
            <w:tcW w:w="22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259,027</w:t>
            </w:r>
          </w:p>
        </w:tc>
        <w:tc>
          <w:tcPr>
            <w:tcW w:w="20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266,518</w:t>
            </w:r>
          </w:p>
        </w:tc>
        <w:tc>
          <w:tcPr>
            <w:tcW w:w="100" w:type="dxa"/>
            <w:vAlign w:val="bottom"/>
            <w:shd w:val="clear" w:color="auto" w:fill="CFF0FC"/>
          </w:tcPr>
          <w:p>
            <w:pPr>
              <w:spacing w:after="0"/>
              <w:rPr>
                <w:sz w:val="20"/>
                <w:szCs w:val="20"/>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Semiconductor</w:t>
            </w:r>
          </w:p>
        </w:tc>
        <w:tc>
          <w:tcPr>
            <w:tcW w:w="9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5,649</w:t>
            </w:r>
          </w:p>
        </w:tc>
        <w:tc>
          <w:tcPr>
            <w:tcW w:w="2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4,645</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42,894</w:t>
            </w:r>
          </w:p>
        </w:tc>
        <w:tc>
          <w:tcPr>
            <w:tcW w:w="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69,126</w:t>
            </w:r>
          </w:p>
        </w:tc>
        <w:tc>
          <w:tcPr>
            <w:tcW w:w="100" w:type="dxa"/>
            <w:vAlign w:val="bottom"/>
          </w:tcPr>
          <w:p>
            <w:pPr>
              <w:spacing w:after="0"/>
              <w:rPr>
                <w:sz w:val="20"/>
                <w:szCs w:val="20"/>
                <w:color w:val="auto"/>
              </w:rPr>
            </w:pPr>
          </w:p>
        </w:tc>
      </w:tr>
      <w:tr>
        <w:trPr>
          <w:trHeight w:val="276"/>
        </w:trPr>
        <w:tc>
          <w:tcPr>
            <w:tcW w:w="44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revenue</w:t>
            </w: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101,397</w:t>
            </w:r>
          </w:p>
        </w:tc>
        <w:tc>
          <w:tcPr>
            <w:tcW w:w="2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89,297</w:t>
            </w:r>
          </w:p>
        </w:tc>
        <w:tc>
          <w:tcPr>
            <w:tcW w:w="2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301,921</w:t>
            </w:r>
          </w:p>
        </w:tc>
        <w:tc>
          <w:tcPr>
            <w:tcW w:w="2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335,644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-24765</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Assets</w:t>
      </w:r>
    </w:p>
    <w:p>
      <w:pPr>
        <w:spacing w:after="0" w:line="11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Contract assets primarily consist of unbilled contracts receivable that are expected to be received from customers in future periods, where the revenue recognized to date exceeds the amount billed. The amount of unbilled contracts receivable may not exceed their net realizable value and are classified as long-term assets if the payments are expected to be received more than one year from the reporting date. Contract assets also include the incremental costs of obtaining a contract with a customer, principally sales commissions when the renewal commission is not commensurate with the initial commission.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were recorded in the Condensed Consolidated Balance Sheets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September 30,</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December 31, 2022</w:t>
            </w:r>
          </w:p>
        </w:tc>
        <w:tc>
          <w:tcPr>
            <w:tcW w:w="100" w:type="dxa"/>
            <w:vAlign w:val="bottom"/>
          </w:tcPr>
          <w:p>
            <w:pPr>
              <w:spacing w:after="0"/>
              <w:rPr>
                <w:sz w:val="20"/>
                <w:szCs w:val="20"/>
                <w:color w:val="auto"/>
              </w:rPr>
            </w:pPr>
          </w:p>
        </w:tc>
      </w:tr>
      <w:tr>
        <w:trPr>
          <w:trHeight w:val="243"/>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Unbilled contracts receivable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83,343</w:t>
            </w:r>
          </w:p>
        </w:tc>
        <w:tc>
          <w:tcPr>
            <w:tcW w:w="2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73,754</w:t>
            </w:r>
          </w:p>
        </w:tc>
        <w:tc>
          <w:tcPr>
            <w:tcW w:w="100" w:type="dxa"/>
            <w:vAlign w:val="bottom"/>
            <w:shd w:val="clear" w:color="auto" w:fill="CFF0FC"/>
          </w:tcPr>
          <w:p>
            <w:pPr>
              <w:spacing w:after="0"/>
              <w:rPr>
                <w:sz w:val="21"/>
                <w:szCs w:val="21"/>
                <w:color w:val="auto"/>
              </w:rPr>
            </w:pP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Sales commissions recorded in other current assets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594</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0"/>
                <w:szCs w:val="20"/>
                <w:color w:val="auto"/>
              </w:rPr>
            </w:pPr>
          </w:p>
        </w:tc>
      </w:tr>
      <w:tr>
        <w:trPr>
          <w:trHeight w:val="249"/>
        </w:trPr>
        <w:tc>
          <w:tcPr>
            <w:tcW w:w="7900" w:type="dxa"/>
            <w:vAlign w:val="bottom"/>
            <w:shd w:val="clear" w:color="auto" w:fill="CFF0FC"/>
          </w:tcPr>
          <w:p>
            <w:pPr>
              <w:ind w:left="20"/>
              <w:spacing w:after="0" w:line="249" w:lineRule="exact"/>
              <w:rPr>
                <w:sz w:val="20"/>
                <w:szCs w:val="20"/>
                <w:color w:val="auto"/>
              </w:rPr>
            </w:pPr>
            <w:r>
              <w:rPr>
                <w:rFonts w:ascii="Arial" w:cs="Arial" w:eastAsia="Arial" w:hAnsi="Arial"/>
                <w:sz w:val="18"/>
                <w:szCs w:val="18"/>
                <w:color w:val="auto"/>
              </w:rPr>
              <w:t xml:space="preserve">Long-term unbilled contracts receivable </w:t>
            </w:r>
            <w:r>
              <w:rPr>
                <w:rFonts w:ascii="Arial" w:cs="Arial" w:eastAsia="Arial" w:hAnsi="Arial"/>
                <w:sz w:val="24"/>
                <w:szCs w:val="24"/>
                <w:color w:val="auto"/>
                <w:vertAlign w:val="superscript"/>
              </w:rPr>
              <w:t>(1)</w:t>
            </w: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65,531</w:t>
            </w:r>
          </w:p>
        </w:tc>
        <w:tc>
          <w:tcPr>
            <w:tcW w:w="2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40,705</w:t>
            </w:r>
          </w:p>
        </w:tc>
        <w:tc>
          <w:tcPr>
            <w:tcW w:w="100" w:type="dxa"/>
            <w:vAlign w:val="bottom"/>
            <w:shd w:val="clear" w:color="auto" w:fill="CFF0FC"/>
          </w:tcPr>
          <w:p>
            <w:pPr>
              <w:spacing w:after="0"/>
              <w:rPr>
                <w:sz w:val="21"/>
                <w:szCs w:val="21"/>
                <w:color w:val="auto"/>
              </w:rPr>
            </w:pP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Sales commissions recorded in other long-term assets</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2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0"/>
                <w:szCs w:val="20"/>
                <w:color w:val="auto"/>
              </w:rPr>
            </w:pPr>
          </w:p>
        </w:tc>
      </w:tr>
      <w:tr>
        <w:trPr>
          <w:trHeight w:val="276"/>
        </w:trPr>
        <w:tc>
          <w:tcPr>
            <w:tcW w:w="790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contract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150,523</w:t>
            </w:r>
          </w:p>
        </w:tc>
        <w:tc>
          <w:tcPr>
            <w:tcW w:w="24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116,115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768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768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7" w:lineRule="exact"/>
        <w:rPr>
          <w:sz w:val="20"/>
          <w:szCs w:val="20"/>
          <w:color w:val="auto"/>
        </w:rPr>
      </w:pPr>
    </w:p>
    <w:p>
      <w:pPr>
        <w:ind w:right="180" w:firstLine="8"/>
        <w:spacing w:after="0" w:line="267" w:lineRule="auto"/>
        <w:tabs>
          <w:tab w:leader="none" w:pos="185"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The long-term unbilled contracts receivable increase relates primarily to the recognition of revenue from two long-term semiconductor patent portfolio license agreements executed in the first quarter of 2023.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Contract Liabilities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Contract liabilities are comprised of deferred revenue related to multi-period licensing arrangements for which the Company is paid in advance, while the underlying performance obligation is satisfied at a future date or over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allowance for credit losses represents the Company’s best estimate of lifetime expected credit losses inherent in accounts receivable and unbilled contracts receivable. The Company’s long-term unbilled contracts receivable is derived from fixed-fee or minimum-guarantee Semiconductor IP licensing and is primarily comprised of contracts with large, well-capitalized companies. It is generally considered to be of high credit quality due to past collection history and the nature of the customers.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allowance for credit losses at September 30, 2023 and December 31, 2022 was $1.5 million and $0.7 million, respectively and it is presented as part of accounts receivable, net in the Condensed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additional revenue and contract disclosures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r>
      <w:tr>
        <w:trPr>
          <w:trHeight w:val="241"/>
        </w:trPr>
        <w:tc>
          <w:tcPr>
            <w:tcW w:w="5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5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2022</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241"/>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recognized in the period from:</w:t>
            </w: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5"/>
        </w:trPr>
        <w:tc>
          <w:tcPr>
            <w:tcW w:w="5200" w:type="dxa"/>
            <w:vAlign w:val="bottom"/>
          </w:tcPr>
          <w:p>
            <w:pPr>
              <w:ind w:left="200"/>
              <w:spacing w:after="0"/>
              <w:rPr>
                <w:sz w:val="20"/>
                <w:szCs w:val="20"/>
                <w:color w:val="auto"/>
              </w:rPr>
            </w:pPr>
            <w:r>
              <w:rPr>
                <w:rFonts w:ascii="Arial" w:cs="Arial" w:eastAsia="Arial" w:hAnsi="Arial"/>
                <w:sz w:val="18"/>
                <w:szCs w:val="18"/>
                <w:color w:val="auto"/>
              </w:rPr>
              <w:t>Amounts included in deferred revenue at the beginning of the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200" w:type="dxa"/>
            <w:vAlign w:val="bottom"/>
          </w:tcPr>
          <w:p>
            <w:pPr>
              <w:ind w:left="200"/>
              <w:spacing w:after="0"/>
              <w:rPr>
                <w:sz w:val="20"/>
                <w:szCs w:val="20"/>
                <w:color w:val="auto"/>
              </w:rPr>
            </w:pPr>
            <w:r>
              <w:rPr>
                <w:rFonts w:ascii="Arial" w:cs="Arial" w:eastAsia="Arial" w:hAnsi="Arial"/>
                <w:sz w:val="18"/>
                <w:szCs w:val="18"/>
                <w:color w:val="auto"/>
              </w:rPr>
              <w:t>period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3,943</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1,149</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12,832</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3,858</w:t>
            </w:r>
          </w:p>
        </w:tc>
        <w:tc>
          <w:tcPr>
            <w:tcW w:w="100" w:type="dxa"/>
            <w:vAlign w:val="bottom"/>
          </w:tcPr>
          <w:p>
            <w:pPr>
              <w:spacing w:after="0"/>
              <w:rPr>
                <w:sz w:val="20"/>
                <w:szCs w:val="20"/>
                <w:color w:val="auto"/>
              </w:rPr>
            </w:pPr>
          </w:p>
        </w:tc>
      </w:tr>
      <w:tr>
        <w:trPr>
          <w:trHeight w:val="250"/>
        </w:trPr>
        <w:tc>
          <w:tcPr>
            <w:tcW w:w="5200" w:type="dxa"/>
            <w:vAlign w:val="bottom"/>
            <w:shd w:val="clear" w:color="auto" w:fill="CFF0FC"/>
          </w:tcPr>
          <w:p>
            <w:pPr>
              <w:ind w:left="200"/>
              <w:spacing w:after="0" w:line="250" w:lineRule="exact"/>
              <w:rPr>
                <w:sz w:val="20"/>
                <w:szCs w:val="20"/>
                <w:color w:val="auto"/>
              </w:rPr>
            </w:pPr>
            <w:r>
              <w:rPr>
                <w:rFonts w:ascii="Arial" w:cs="Arial" w:eastAsia="Arial" w:hAnsi="Arial"/>
                <w:sz w:val="18"/>
                <w:szCs w:val="18"/>
                <w:color w:val="auto"/>
              </w:rPr>
              <w:t xml:space="preserve">Performance obligations satisfied in previous periods </w:t>
            </w:r>
            <w:r>
              <w:rPr>
                <w:rFonts w:ascii="Arial" w:cs="Arial" w:eastAsia="Arial" w:hAnsi="Arial"/>
                <w:sz w:val="24"/>
                <w:szCs w:val="24"/>
                <w:color w:val="auto"/>
                <w:vertAlign w:val="superscript"/>
              </w:rPr>
              <w:t>(1)</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16,896</w:t>
            </w:r>
          </w:p>
        </w:tc>
        <w:tc>
          <w:tcPr>
            <w:tcW w:w="760" w:type="dxa"/>
            <w:vAlign w:val="bottom"/>
            <w:gridSpan w:val="2"/>
            <w:shd w:val="clear" w:color="auto" w:fill="CFF0FC"/>
          </w:tcPr>
          <w:p>
            <w:pPr>
              <w:jc w:val="right"/>
              <w:ind w:right="300"/>
              <w:spacing w:after="0" w:line="250" w:lineRule="exact"/>
              <w:rPr>
                <w:sz w:val="20"/>
                <w:szCs w:val="20"/>
                <w:color w:val="auto"/>
              </w:rPr>
            </w:pPr>
            <w:r>
              <w:rPr>
                <w:rFonts w:ascii="Arial" w:cs="Arial" w:eastAsia="Arial" w:hAnsi="Arial"/>
                <w:sz w:val="11"/>
                <w:szCs w:val="11"/>
                <w:color w:val="auto"/>
              </w:rPr>
              <w:t xml:space="preserve">(2)  </w:t>
            </w:r>
            <w:r>
              <w:rPr>
                <w:rFonts w:ascii="Arial" w:cs="Arial" w:eastAsia="Arial" w:hAnsi="Arial"/>
                <w:sz w:val="28"/>
                <w:szCs w:val="28"/>
                <w:color w:val="auto"/>
                <w:vertAlign w:val="subscript"/>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13,143</w:t>
            </w:r>
          </w:p>
        </w:tc>
        <w:tc>
          <w:tcPr>
            <w:tcW w:w="7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5,862</w:t>
            </w:r>
          </w:p>
        </w:tc>
        <w:tc>
          <w:tcPr>
            <w:tcW w:w="100" w:type="dxa"/>
            <w:vAlign w:val="bottom"/>
            <w:shd w:val="clear" w:color="auto" w:fill="CFF0FC"/>
          </w:tcPr>
          <w:p>
            <w:pPr>
              <w:spacing w:after="0"/>
              <w:rPr>
                <w:sz w:val="21"/>
                <w:szCs w:val="21"/>
                <w:color w:val="auto"/>
              </w:rPr>
            </w:pPr>
          </w:p>
        </w:tc>
      </w:tr>
    </w:tbl>
    <w:p>
      <w:pPr>
        <w:spacing w:after="0" w:line="215" w:lineRule="exact"/>
        <w:rPr>
          <w:sz w:val="20"/>
          <w:szCs w:val="20"/>
          <w:color w:val="auto"/>
        </w:rPr>
      </w:pPr>
    </w:p>
    <w:p>
      <w:pPr>
        <w:ind w:right="400" w:firstLine="8"/>
        <w:spacing w:after="0" w:line="267" w:lineRule="auto"/>
        <w:tabs>
          <w:tab w:leader="none" w:pos="185"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Performance obligations satisfied in previous periods consist of settlements of litigation for past royalties owed pursuant to expired or terminated IP license agreements and revenue from releases for past patent infringement claims.</w:t>
      </w:r>
    </w:p>
    <w:p>
      <w:pPr>
        <w:spacing w:after="0" w:line="188" w:lineRule="exact"/>
        <w:rPr>
          <w:rFonts w:ascii="Arial" w:cs="Arial" w:eastAsia="Arial" w:hAnsi="Arial"/>
          <w:sz w:val="21"/>
          <w:szCs w:val="21"/>
          <w:color w:val="auto"/>
          <w:vertAlign w:val="superscript"/>
        </w:rPr>
      </w:pPr>
    </w:p>
    <w:p>
      <w:pPr>
        <w:ind w:right="80" w:firstLine="8"/>
        <w:spacing w:after="0" w:line="274" w:lineRule="auto"/>
        <w:tabs>
          <w:tab w:leader="none" w:pos="185"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Includes fees associated with a release for past patent infringement and revenue from periods prior to the execution of a long-term renewal contract with a global leader in the electronics industry, covering our media portfolio as it pertains to its mobile devices; the settlement of existing litigation with a leading semiconductor company for which revenue was recognized during the three months ended September 2023; and revenue from updated royalty reporting received from an existing customer relating to prior periods. The long-term renewal contract was effective as of the expiration of the prior agreement and the Company recorded revenue from this agreement in the third quarter of 2023 and expects to record revenue from the prospective license in future periods.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ind w:right="360"/>
        <w:spacing w:after="0" w:line="308" w:lineRule="auto"/>
        <w:rPr>
          <w:sz w:val="20"/>
          <w:szCs w:val="20"/>
          <w:color w:val="auto"/>
        </w:rPr>
      </w:pPr>
      <w:r>
        <w:rPr>
          <w:rFonts w:ascii="Arial" w:cs="Arial" w:eastAsia="Arial" w:hAnsi="Arial"/>
          <w:sz w:val="17"/>
          <w:szCs w:val="17"/>
          <w:color w:val="auto"/>
        </w:rPr>
        <w:t>Remaining revenue under contracts with performance obligations represents the aggregate amount of the transaction price allocated to the performance obligations that are unsatisfied (or partially unsatisfied) under certain of the Company’s fixed fee arrangements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41"/>
        </w:trPr>
        <w:tc>
          <w:tcPr>
            <w:tcW w:w="7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September 30, 2023</w:t>
            </w:r>
          </w:p>
        </w:tc>
        <w:tc>
          <w:tcPr>
            <w:tcW w:w="0" w:type="dxa"/>
            <w:vAlign w:val="bottom"/>
          </w:tcPr>
          <w:p>
            <w:pPr>
              <w:spacing w:after="0"/>
              <w:rPr>
                <w:sz w:val="1"/>
                <w:szCs w:val="1"/>
                <w:color w:val="auto"/>
              </w:rPr>
            </w:pPr>
          </w:p>
        </w:tc>
      </w:tr>
      <w:tr>
        <w:trPr>
          <w:trHeight w:val="243"/>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from contracts with performance obligations expected to be satisfied in:</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7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60" w:type="dxa"/>
            <w:vAlign w:val="bottom"/>
          </w:tcPr>
          <w:p>
            <w:pPr>
              <w:ind w:left="200"/>
              <w:spacing w:after="0"/>
              <w:rPr>
                <w:sz w:val="20"/>
                <w:szCs w:val="20"/>
                <w:color w:val="auto"/>
              </w:rPr>
            </w:pPr>
            <w:r>
              <w:rPr>
                <w:rFonts w:ascii="Arial" w:cs="Arial" w:eastAsia="Arial" w:hAnsi="Arial"/>
                <w:sz w:val="18"/>
                <w:szCs w:val="18"/>
                <w:color w:val="auto"/>
              </w:rPr>
              <w:t>2023 (remaining 3 months)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41,641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60" w:type="dxa"/>
            <w:vAlign w:val="bottom"/>
          </w:tcPr>
          <w:p>
            <w:pPr>
              <w:ind w:left="200"/>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153,652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2026</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60" w:type="dxa"/>
            <w:vAlign w:val="bottom"/>
          </w:tcPr>
          <w:p>
            <w:pPr>
              <w:ind w:left="200"/>
              <w:spacing w:after="0"/>
              <w:rPr>
                <w:sz w:val="20"/>
                <w:szCs w:val="20"/>
                <w:color w:val="auto"/>
              </w:rPr>
            </w:pPr>
            <w:r>
              <w:rPr>
                <w:rFonts w:ascii="Arial" w:cs="Arial" w:eastAsia="Arial" w:hAnsi="Arial"/>
                <w:sz w:val="18"/>
                <w:szCs w:val="18"/>
                <w:color w:val="auto"/>
              </w:rPr>
              <w:t>2027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46,385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96,184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060" w:type="dxa"/>
            <w:vAlign w:val="bottom"/>
          </w:tcPr>
          <w:p>
            <w:pPr>
              <w:ind w:left="3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553,028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b w:val="1"/>
                <w:bCs w:val="1"/>
                <w:color w:val="auto"/>
              </w:rPr>
              <w:t>NOTE 4 – COMPOSITION OF CERTAIN FINANCIAL STATEMENT CAPTIONS</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70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060" w:type="dxa"/>
            <w:vAlign w:val="bottom"/>
          </w:tcPr>
          <w:p>
            <w:pPr>
              <w:spacing w:after="0"/>
              <w:rPr>
                <w:sz w:val="20"/>
                <w:szCs w:val="20"/>
                <w:color w:val="auto"/>
              </w:rPr>
            </w:pPr>
            <w:r>
              <w:rPr>
                <w:rFonts w:ascii="Arial" w:cs="Arial" w:eastAsia="Arial" w:hAnsi="Arial"/>
                <w:sz w:val="18"/>
                <w:szCs w:val="18"/>
                <w:b w:val="1"/>
                <w:bCs w:val="1"/>
                <w:color w:val="auto"/>
              </w:rPr>
              <w:t>Other current assets consisted of the following (in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7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0"/>
              </w:rPr>
              <w:t>September 30, 2023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 2022</w:t>
            </w:r>
          </w:p>
        </w:tc>
        <w:tc>
          <w:tcPr>
            <w:tcW w:w="0" w:type="dxa"/>
            <w:vAlign w:val="bottom"/>
          </w:tcPr>
          <w:p>
            <w:pPr>
              <w:spacing w:after="0"/>
              <w:rPr>
                <w:sz w:val="1"/>
                <w:szCs w:val="1"/>
                <w:color w:val="auto"/>
              </w:rPr>
            </w:pPr>
          </w:p>
        </w:tc>
      </w:tr>
      <w:tr>
        <w:trPr>
          <w:trHeight w:val="243"/>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income taxes</w:t>
            </w: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7,372</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1,353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0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10,150</w:t>
            </w:r>
          </w:p>
        </w:tc>
        <w:tc>
          <w:tcPr>
            <w:tcW w:w="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060" w:type="dxa"/>
            <w:vAlign w:val="bottom"/>
          </w:tcPr>
          <w:p>
            <w:pPr>
              <w:spacing w:after="0"/>
              <w:rPr>
                <w:sz w:val="20"/>
                <w:szCs w:val="20"/>
                <w:color w:val="auto"/>
              </w:rPr>
            </w:pPr>
            <w:r>
              <w:rPr>
                <w:rFonts w:ascii="Arial" w:cs="Arial" w:eastAsia="Arial" w:hAnsi="Arial"/>
                <w:sz w:val="18"/>
                <w:szCs w:val="18"/>
                <w:b w:val="1"/>
                <w:bCs w:val="1"/>
                <w:color w:val="auto"/>
              </w:rPr>
              <w:t>Property and equipment, net, consisted of the following (in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7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1"/>
              </w:rPr>
              <w:t>September 30, 2023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 2022</w:t>
            </w:r>
          </w:p>
        </w:tc>
        <w:tc>
          <w:tcPr>
            <w:tcW w:w="0" w:type="dxa"/>
            <w:vAlign w:val="bottom"/>
          </w:tcPr>
          <w:p>
            <w:pPr>
              <w:spacing w:after="0"/>
              <w:rPr>
                <w:sz w:val="1"/>
                <w:szCs w:val="1"/>
                <w:color w:val="auto"/>
              </w:rPr>
            </w:pPr>
          </w:p>
        </w:tc>
      </w:tr>
      <w:tr>
        <w:trPr>
          <w:trHeight w:val="243"/>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Equipment, furniture and other</w:t>
            </w:r>
          </w:p>
        </w:tc>
        <w:tc>
          <w:tcPr>
            <w:tcW w:w="2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15,553</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4,829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20,382</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3"/>
          </w:tcPr>
          <w:p>
            <w:pPr>
              <w:jc w:val="right"/>
              <w:ind w:right="40"/>
              <w:spacing w:after="0"/>
              <w:rPr>
                <w:sz w:val="20"/>
                <w:szCs w:val="20"/>
                <w:color w:val="auto"/>
              </w:rPr>
            </w:pPr>
            <w:r>
              <w:rPr>
                <w:rFonts w:ascii="Arial" w:cs="Arial" w:eastAsia="Arial" w:hAnsi="Arial"/>
                <w:sz w:val="18"/>
                <w:szCs w:val="18"/>
                <w:color w:val="auto"/>
              </w:rPr>
              <w:t>(14,945 )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(14,655 )</w:t>
            </w:r>
          </w:p>
        </w:tc>
        <w:tc>
          <w:tcPr>
            <w:tcW w:w="0" w:type="dxa"/>
            <w:vAlign w:val="bottom"/>
          </w:tcPr>
          <w:p>
            <w:pPr>
              <w:spacing w:after="0"/>
              <w:rPr>
                <w:sz w:val="1"/>
                <w:szCs w:val="1"/>
                <w:color w:val="auto"/>
              </w:rPr>
            </w:pPr>
          </w:p>
        </w:tc>
      </w:tr>
      <w:tr>
        <w:trPr>
          <w:trHeight w:val="277"/>
        </w:trPr>
        <w:tc>
          <w:tcPr>
            <w:tcW w:w="706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5,437</w:t>
            </w: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060" w:type="dxa"/>
            <w:vAlign w:val="bottom"/>
          </w:tcPr>
          <w:p>
            <w:pPr>
              <w:spacing w:after="0"/>
              <w:rPr>
                <w:sz w:val="20"/>
                <w:szCs w:val="20"/>
                <w:color w:val="auto"/>
              </w:rPr>
            </w:pPr>
            <w:r>
              <w:rPr>
                <w:rFonts w:ascii="Arial" w:cs="Arial" w:eastAsia="Arial" w:hAnsi="Arial"/>
                <w:sz w:val="18"/>
                <w:szCs w:val="18"/>
                <w:b w:val="1"/>
                <w:bCs w:val="1"/>
                <w:color w:val="auto"/>
              </w:rPr>
              <w:t>Other long-term assets consisted of the following (in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7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1"/>
              </w:rPr>
              <w:t>September 30, 2023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 2022</w:t>
            </w:r>
          </w:p>
        </w:tc>
        <w:tc>
          <w:tcPr>
            <w:tcW w:w="0" w:type="dxa"/>
            <w:vAlign w:val="bottom"/>
          </w:tcPr>
          <w:p>
            <w:pPr>
              <w:spacing w:after="0"/>
              <w:rPr>
                <w:sz w:val="1"/>
                <w:szCs w:val="1"/>
                <w:color w:val="auto"/>
              </w:rPr>
            </w:pPr>
          </w:p>
        </w:tc>
      </w:tr>
      <w:tr>
        <w:trPr>
          <w:trHeight w:val="243"/>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deferred tax assets</w:t>
            </w:r>
          </w:p>
        </w:tc>
        <w:tc>
          <w:tcPr>
            <w:tcW w:w="2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35,276</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4,750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06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40,026</w:t>
            </w: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40,750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7060" w:type="dxa"/>
            <w:vAlign w:val="bottom"/>
          </w:tcPr>
          <w:p>
            <w:pPr>
              <w:ind w:left="554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70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-4911090</wp:posOffset>
            </wp:positionV>
            <wp:extent cx="68580"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-3059430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-3042285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-3059430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-3042285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-1628140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-1610995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-513715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-496570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r>
              <w:rPr>
                <w:rFonts w:ascii="Arial" w:cs="Arial" w:eastAsia="Arial" w:hAnsi="Arial"/>
                <w:sz w:val="18"/>
                <w:szCs w:val="18"/>
                <w:b w:val="1"/>
                <w:bCs w:val="1"/>
                <w:color w:val="auto"/>
              </w:rPr>
              <w:t>Accrued liabilities consisted of the following (in thousands):</w:t>
            </w: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9"/>
        </w:trPr>
        <w:tc>
          <w:tcPr>
            <w:tcW w:w="7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1"/>
              </w:rPr>
              <w:t>September 30, 2023</w:t>
            </w: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December 31, 2022</w:t>
            </w:r>
          </w:p>
        </w:tc>
        <w:tc>
          <w:tcPr>
            <w:tcW w:w="100" w:type="dxa"/>
            <w:vAlign w:val="bottom"/>
          </w:tcPr>
          <w:p>
            <w:pPr>
              <w:spacing w:after="0"/>
              <w:rPr>
                <w:sz w:val="24"/>
                <w:szCs w:val="24"/>
                <w:color w:val="auto"/>
              </w:rPr>
            </w:pPr>
          </w:p>
        </w:tc>
      </w:tr>
      <w:tr>
        <w:trPr>
          <w:trHeight w:val="243"/>
        </w:trPr>
        <w:tc>
          <w:tcPr>
            <w:tcW w:w="7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compensation and benefits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7,005</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6,978</w:t>
            </w:r>
          </w:p>
        </w:tc>
        <w:tc>
          <w:tcPr>
            <w:tcW w:w="100" w:type="dxa"/>
            <w:vAlign w:val="bottom"/>
            <w:shd w:val="clear" w:color="auto" w:fill="CFF0FC"/>
          </w:tcPr>
          <w:p>
            <w:pPr>
              <w:spacing w:after="0"/>
              <w:rPr>
                <w:sz w:val="21"/>
                <w:szCs w:val="21"/>
                <w:color w:val="auto"/>
              </w:rPr>
            </w:pPr>
          </w:p>
        </w:tc>
      </w:tr>
      <w:tr>
        <w:trPr>
          <w:trHeight w:val="243"/>
        </w:trPr>
        <w:tc>
          <w:tcPr>
            <w:tcW w:w="704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Current portion of guarantee </w:t>
            </w:r>
            <w:r>
              <w:rPr>
                <w:rFonts w:ascii="Arial" w:cs="Arial" w:eastAsia="Arial" w:hAnsi="Arial"/>
                <w:sz w:val="24"/>
                <w:szCs w:val="24"/>
                <w:color w:val="auto"/>
                <w:vertAlign w:val="superscript"/>
              </w:rPr>
              <w:t>(1)</w:t>
            </w: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2,400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2,431</w:t>
            </w:r>
          </w:p>
        </w:tc>
        <w:tc>
          <w:tcPr>
            <w:tcW w:w="100" w:type="dxa"/>
            <w:vAlign w:val="bottom"/>
          </w:tcPr>
          <w:p>
            <w:pPr>
              <w:spacing w:after="0"/>
              <w:rPr>
                <w:sz w:val="21"/>
                <w:szCs w:val="21"/>
                <w:color w:val="auto"/>
              </w:rPr>
            </w:pPr>
          </w:p>
        </w:tc>
      </w:tr>
      <w:tr>
        <w:trPr>
          <w:trHeight w:val="243"/>
        </w:trPr>
        <w:tc>
          <w:tcPr>
            <w:tcW w:w="7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2,279</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w:t>
            </w:r>
          </w:p>
        </w:tc>
        <w:tc>
          <w:tcPr>
            <w:tcW w:w="100" w:type="dxa"/>
            <w:vAlign w:val="bottom"/>
            <w:shd w:val="clear" w:color="auto" w:fill="CFF0FC"/>
          </w:tcPr>
          <w:p>
            <w:pPr>
              <w:spacing w:after="0"/>
              <w:rPr>
                <w:sz w:val="21"/>
                <w:szCs w:val="21"/>
                <w:color w:val="auto"/>
              </w:rPr>
            </w:pPr>
          </w:p>
        </w:tc>
      </w:tr>
      <w:tr>
        <w:trPr>
          <w:trHeight w:val="237"/>
        </w:trPr>
        <w:tc>
          <w:tcPr>
            <w:tcW w:w="7040" w:type="dxa"/>
            <w:vAlign w:val="bottom"/>
          </w:tcPr>
          <w:p>
            <w:pPr>
              <w:ind w:left="20"/>
              <w:spacing w:after="0"/>
              <w:rPr>
                <w:sz w:val="20"/>
                <w:szCs w:val="20"/>
                <w:color w:val="auto"/>
              </w:rPr>
            </w:pPr>
            <w:r>
              <w:rPr>
                <w:rFonts w:ascii="Arial" w:cs="Arial" w:eastAsia="Arial" w:hAnsi="Arial"/>
                <w:sz w:val="18"/>
                <w:szCs w:val="18"/>
                <w:color w:val="auto"/>
              </w:rPr>
              <w:t>Accrued legal fees</w:t>
            </w: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2,152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4,942</w:t>
            </w:r>
          </w:p>
        </w:tc>
        <w:tc>
          <w:tcPr>
            <w:tcW w:w="100" w:type="dxa"/>
            <w:vAlign w:val="bottom"/>
          </w:tcPr>
          <w:p>
            <w:pPr>
              <w:spacing w:after="0"/>
              <w:rPr>
                <w:sz w:val="20"/>
                <w:szCs w:val="20"/>
                <w:color w:val="auto"/>
              </w:rPr>
            </w:pPr>
          </w:p>
        </w:tc>
      </w:tr>
      <w:tr>
        <w:trPr>
          <w:trHeight w:val="249"/>
        </w:trPr>
        <w:tc>
          <w:tcPr>
            <w:tcW w:w="7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12,745</w:t>
            </w:r>
          </w:p>
        </w:tc>
        <w:tc>
          <w:tcPr>
            <w:tcW w:w="100" w:type="dxa"/>
            <w:vAlign w:val="bottom"/>
            <w:shd w:val="clear" w:color="auto" w:fill="CFF0FC"/>
          </w:tcPr>
          <w:p>
            <w:pPr>
              <w:spacing w:after="0"/>
              <w:rPr>
                <w:sz w:val="21"/>
                <w:szCs w:val="21"/>
                <w:color w:val="auto"/>
              </w:rPr>
            </w:pPr>
          </w:p>
        </w:tc>
      </w:tr>
      <w:tr>
        <w:trPr>
          <w:trHeight w:val="237"/>
        </w:trPr>
        <w:tc>
          <w:tcPr>
            <w:tcW w:w="7040" w:type="dxa"/>
            <w:vAlign w:val="bottom"/>
          </w:tcPr>
          <w:p>
            <w:pPr>
              <w:ind w:left="20"/>
              <w:spacing w:after="0"/>
              <w:rPr>
                <w:sz w:val="20"/>
                <w:szCs w:val="20"/>
                <w:color w:val="auto"/>
              </w:rPr>
            </w:pPr>
            <w:r>
              <w:rPr>
                <w:rFonts w:ascii="Arial" w:cs="Arial" w:eastAsia="Arial" w:hAnsi="Arial"/>
                <w:sz w:val="18"/>
                <w:szCs w:val="18"/>
                <w:color w:val="auto"/>
              </w:rPr>
              <w:t>Accrued income taxes</w:t>
            </w: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0"/>
                <w:szCs w:val="20"/>
                <w:color w:val="auto"/>
              </w:rPr>
            </w:pPr>
          </w:p>
        </w:tc>
      </w:tr>
      <w:tr>
        <w:trPr>
          <w:trHeight w:val="243"/>
        </w:trPr>
        <w:tc>
          <w:tcPr>
            <w:tcW w:w="7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3,042</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0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18,509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31,277</w:t>
            </w:r>
          </w:p>
        </w:tc>
        <w:tc>
          <w:tcPr>
            <w:tcW w:w="100" w:type="dxa"/>
            <w:vAlign w:val="bottom"/>
          </w:tcPr>
          <w:p>
            <w:pPr>
              <w:spacing w:after="0"/>
              <w:rPr>
                <w:sz w:val="20"/>
                <w:szCs w:val="20"/>
                <w:color w:val="auto"/>
              </w:rPr>
            </w:pPr>
          </w:p>
        </w:tc>
      </w:tr>
      <w:tr>
        <w:trPr>
          <w:trHeight w:val="20"/>
        </w:trPr>
        <w:tc>
          <w:tcPr>
            <w:tcW w:w="7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-187960</wp:posOffset>
            </wp:positionV>
            <wp:extent cx="68580" cy="1885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61" w:lineRule="exact"/>
        <w:rPr>
          <w:sz w:val="20"/>
          <w:szCs w:val="20"/>
          <w:color w:val="auto"/>
        </w:rPr>
      </w:pPr>
    </w:p>
    <w:p>
      <w:pPr>
        <w:ind w:left="200" w:hanging="192"/>
        <w:spacing w:after="0"/>
        <w:tabs>
          <w:tab w:leader="none" w:pos="200" w:val="left"/>
        </w:tabs>
        <w:numPr>
          <w:ilvl w:val="0"/>
          <w:numId w:val="5"/>
        </w:numPr>
        <w:rPr>
          <w:rFonts w:ascii="Arial" w:cs="Arial" w:eastAsia="Arial" w:hAnsi="Arial"/>
          <w:sz w:val="23"/>
          <w:szCs w:val="23"/>
          <w:color w:val="auto"/>
          <w:vertAlign w:val="superscript"/>
        </w:rPr>
      </w:pPr>
      <w:r>
        <w:rPr>
          <w:rFonts w:ascii="Arial" w:cs="Arial" w:eastAsia="Arial" w:hAnsi="Arial"/>
          <w:sz w:val="17"/>
          <w:szCs w:val="17"/>
          <w:color w:val="auto"/>
        </w:rPr>
        <w:t xml:space="preserve">Refer to “Note 15 </w:t>
      </w:r>
      <w:r>
        <w:rPr>
          <w:rFonts w:ascii="Arial" w:cs="Arial" w:eastAsia="Arial" w:hAnsi="Arial"/>
          <w:sz w:val="15"/>
          <w:szCs w:val="15"/>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for further detail on the nature of the guarantee.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Arial" w:cs="Arial" w:eastAsia="Arial" w:hAnsi="Arial"/>
                <w:sz w:val="18"/>
                <w:szCs w:val="18"/>
                <w:b w:val="1"/>
                <w:bCs w:val="1"/>
                <w:color w:val="auto"/>
              </w:rPr>
              <w:t>Other long-term liabilities consisted of the following (in thousands):</w:t>
            </w: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0"/>
        </w:trPr>
        <w:tc>
          <w:tcPr>
            <w:tcW w:w="7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1"/>
              </w:rPr>
              <w:t>September 30, 2023</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December 31, 2022</w:t>
            </w:r>
          </w:p>
        </w:tc>
        <w:tc>
          <w:tcPr>
            <w:tcW w:w="100" w:type="dxa"/>
            <w:vAlign w:val="bottom"/>
          </w:tcPr>
          <w:p>
            <w:pPr>
              <w:spacing w:after="0"/>
              <w:rPr>
                <w:sz w:val="24"/>
                <w:szCs w:val="24"/>
                <w:color w:val="auto"/>
              </w:rPr>
            </w:pPr>
          </w:p>
        </w:tc>
      </w:tr>
      <w:tr>
        <w:trPr>
          <w:trHeight w:val="243"/>
        </w:trPr>
        <w:tc>
          <w:tcPr>
            <w:tcW w:w="706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Long-term portion of guarantee </w:t>
            </w:r>
            <w:r>
              <w:rPr>
                <w:rFonts w:ascii="Arial" w:cs="Arial" w:eastAsia="Arial" w:hAnsi="Arial"/>
                <w:sz w:val="24"/>
                <w:szCs w:val="24"/>
                <w:color w:val="auto"/>
                <w:vertAlign w:val="superscript"/>
              </w:rPr>
              <w:t>(1)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16,135</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18,064</w:t>
            </w:r>
          </w:p>
        </w:tc>
        <w:tc>
          <w:tcPr>
            <w:tcW w:w="100" w:type="dxa"/>
            <w:vAlign w:val="bottom"/>
            <w:shd w:val="clear" w:color="auto" w:fill="CFF0FC"/>
          </w:tcPr>
          <w:p>
            <w:pPr>
              <w:spacing w:after="0"/>
              <w:rPr>
                <w:sz w:val="21"/>
                <w:szCs w:val="21"/>
                <w:color w:val="auto"/>
              </w:rPr>
            </w:pP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20"/>
                <w:szCs w:val="20"/>
                <w:color w:val="auto"/>
              </w:rPr>
            </w:pPr>
          </w:p>
        </w:tc>
      </w:tr>
      <w:tr>
        <w:trPr>
          <w:trHeight w:val="276"/>
        </w:trPr>
        <w:tc>
          <w:tcPr>
            <w:tcW w:w="70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18,072</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20,043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-25400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1" w:lineRule="exact"/>
        <w:rPr>
          <w:sz w:val="20"/>
          <w:szCs w:val="20"/>
          <w:color w:val="auto"/>
        </w:rPr>
      </w:pPr>
    </w:p>
    <w:p>
      <w:pPr>
        <w:ind w:left="200" w:hanging="192"/>
        <w:spacing w:after="0"/>
        <w:tabs>
          <w:tab w:leader="none" w:pos="200" w:val="left"/>
        </w:tabs>
        <w:numPr>
          <w:ilvl w:val="0"/>
          <w:numId w:val="6"/>
        </w:numPr>
        <w:rPr>
          <w:rFonts w:ascii="Arial" w:cs="Arial" w:eastAsia="Arial" w:hAnsi="Arial"/>
          <w:sz w:val="23"/>
          <w:szCs w:val="23"/>
          <w:color w:val="auto"/>
          <w:vertAlign w:val="superscript"/>
        </w:rPr>
      </w:pPr>
      <w:r>
        <w:rPr>
          <w:rFonts w:ascii="Arial" w:cs="Arial" w:eastAsia="Arial" w:hAnsi="Arial"/>
          <w:sz w:val="17"/>
          <w:szCs w:val="17"/>
          <w:color w:val="auto"/>
        </w:rPr>
        <w:t xml:space="preserve">Refer to “Note 15 </w:t>
      </w:r>
      <w:r>
        <w:rPr>
          <w:rFonts w:ascii="Arial" w:cs="Arial" w:eastAsia="Arial" w:hAnsi="Arial"/>
          <w:sz w:val="15"/>
          <w:szCs w:val="15"/>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for further detail on the nature of the guarantee.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FINANCIAL INSTRUMENTS</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Company has investments in debt securities which include corporate bonds and notes, treasury and agency notes and bills, commercial paper, certificates of deposit, and in equity securities consisting of money market funds. The Company classifies its debt securities as available-for-sale (“AFS”), which are accounted for at fair value with credit related losses recognized as a provision for credit losses in its Condensed Consolidated Statements of Operations and all non-credit related unrealized gains and losses recognized in accumulated other comprehensive income or loss in its Condensed Consolidated Balance Sheets. Under ASU 2016-01 (Topic 321), equity securities are measured at fair value with unrealized gains and losses recognized in other income and expense, net,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following is a summary of marketable securities at September 30, 2023 and December 31, 2022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8"/>
          </w:tcPr>
          <w:p>
            <w:pPr>
              <w:jc w:val="center"/>
              <w:ind w:left="790"/>
              <w:spacing w:after="0"/>
              <w:rPr>
                <w:sz w:val="20"/>
                <w:szCs w:val="20"/>
                <w:color w:val="auto"/>
              </w:rPr>
            </w:pPr>
            <w:r>
              <w:rPr>
                <w:rFonts w:ascii="Arial" w:cs="Arial" w:eastAsia="Arial" w:hAnsi="Arial"/>
                <w:sz w:val="18"/>
                <w:szCs w:val="18"/>
                <w:b w:val="1"/>
                <w:bCs w:val="1"/>
                <w:color w:val="auto"/>
                <w:w w:val="90"/>
              </w:rPr>
              <w:t>September 30, 2023</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Gross</w:t>
            </w:r>
          </w:p>
        </w:tc>
        <w:tc>
          <w:tcPr>
            <w:tcW w:w="1000" w:type="dxa"/>
            <w:vAlign w:val="bottom"/>
            <w:gridSpan w:val="2"/>
          </w:tcPr>
          <w:p>
            <w:pPr>
              <w:ind w:left="80"/>
              <w:spacing w:after="0"/>
              <w:rPr>
                <w:sz w:val="20"/>
                <w:szCs w:val="20"/>
                <w:color w:val="auto"/>
              </w:rPr>
            </w:pPr>
            <w:r>
              <w:rPr>
                <w:rFonts w:ascii="Arial" w:cs="Arial" w:eastAsia="Arial" w:hAnsi="Arial"/>
                <w:sz w:val="18"/>
                <w:szCs w:val="18"/>
                <w:b w:val="1"/>
                <w:bCs w:val="1"/>
                <w:color w:val="auto"/>
              </w:rPr>
              <w:t>Allowance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Unrealized</w:t>
            </w: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for Credit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3"/>
          </w:tcPr>
          <w:p>
            <w:pPr>
              <w:ind w:left="100"/>
              <w:spacing w:after="0"/>
              <w:rPr>
                <w:sz w:val="20"/>
                <w:szCs w:val="20"/>
                <w:color w:val="auto"/>
              </w:rPr>
            </w:pPr>
            <w:r>
              <w:rPr>
                <w:rFonts w:ascii="Arial" w:cs="Arial" w:eastAsia="Arial" w:hAnsi="Arial"/>
                <w:sz w:val="18"/>
                <w:szCs w:val="18"/>
                <w:b w:val="1"/>
                <w:bCs w:val="1"/>
                <w:color w:val="auto"/>
              </w:rPr>
              <w:t>Cost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Gains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Pr>
          <w:p>
            <w:pPr>
              <w:spacing w:after="0"/>
              <w:rPr>
                <w:sz w:val="20"/>
                <w:szCs w:val="20"/>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Values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Marketable securities</w:t>
            </w:r>
          </w:p>
        </w:tc>
        <w:tc>
          <w:tcPr>
            <w:tcW w:w="18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1"/>
                <w:szCs w:val="21"/>
                <w:color w:val="auto"/>
              </w:rPr>
            </w:pPr>
          </w:p>
        </w:tc>
        <w:tc>
          <w:tcPr>
            <w:tcW w:w="4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Corporate bonds and notes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1,854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Treasury and agency notes and bills</w:t>
            </w: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14,017</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14,404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debt securities</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30,275</w:t>
            </w:r>
          </w:p>
        </w:tc>
        <w:tc>
          <w:tcPr>
            <w:tcW w:w="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30,245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4,058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equity securities</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4,058</w:t>
            </w:r>
          </w:p>
        </w:tc>
        <w:tc>
          <w:tcPr>
            <w:tcW w:w="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80"/>
              <w:spacing w:after="0"/>
              <w:rPr>
                <w:sz w:val="20"/>
                <w:szCs w:val="20"/>
                <w:color w:val="auto"/>
              </w:rPr>
            </w:pPr>
            <w:r>
              <w:rPr>
                <w:rFonts w:ascii="Arial" w:cs="Arial" w:eastAsia="Arial" w:hAnsi="Arial"/>
                <w:sz w:val="18"/>
                <w:szCs w:val="18"/>
                <w:b w:val="1"/>
                <w:bCs w:val="1"/>
                <w:color w:val="auto"/>
              </w:rPr>
              <w:t>Total marketable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34,333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34,303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Reported in:</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Available-for-sale debt securities</w:t>
            </w:r>
          </w:p>
        </w:tc>
        <w:tc>
          <w:tcPr>
            <w:tcW w:w="18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gridSpan w:val="2"/>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30,245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60" w:type="dxa"/>
            <w:vAlign w:val="bottom"/>
          </w:tcPr>
          <w:p>
            <w:pPr>
              <w:ind w:left="480"/>
              <w:spacing w:after="0"/>
              <w:rPr>
                <w:sz w:val="20"/>
                <w:szCs w:val="20"/>
                <w:color w:val="auto"/>
              </w:rPr>
            </w:pPr>
            <w:r>
              <w:rPr>
                <w:rFonts w:ascii="Arial" w:cs="Arial" w:eastAsia="Arial" w:hAnsi="Arial"/>
                <w:sz w:val="18"/>
                <w:szCs w:val="18"/>
                <w:b w:val="1"/>
                <w:bCs w:val="1"/>
                <w:color w:val="auto"/>
              </w:rPr>
              <w:t>Total marketable securities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34,303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8"/>
            <w:vMerge w:val="restart"/>
          </w:tcPr>
          <w:p>
            <w:pPr>
              <w:jc w:val="center"/>
              <w:ind w:left="790"/>
              <w:spacing w:after="0"/>
              <w:rPr>
                <w:sz w:val="20"/>
                <w:szCs w:val="20"/>
                <w:color w:val="auto"/>
              </w:rPr>
            </w:pPr>
            <w:r>
              <w:rPr>
                <w:rFonts w:ascii="Arial" w:cs="Arial" w:eastAsia="Arial" w:hAnsi="Arial"/>
                <w:sz w:val="18"/>
                <w:szCs w:val="18"/>
                <w:b w:val="1"/>
                <w:bCs w:val="1"/>
                <w:color w:val="auto"/>
                <w:w w:val="88"/>
              </w:rPr>
              <w:t>December 31, 2022</w:t>
            </w: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8"/>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Allowance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Unrealized</w:t>
            </w: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for Credit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3"/>
          </w:tcPr>
          <w:p>
            <w:pPr>
              <w:ind w:left="100"/>
              <w:spacing w:after="0"/>
              <w:rPr>
                <w:sz w:val="20"/>
                <w:szCs w:val="20"/>
                <w:color w:val="auto"/>
              </w:rPr>
            </w:pPr>
            <w:r>
              <w:rPr>
                <w:rFonts w:ascii="Arial" w:cs="Arial" w:eastAsia="Arial" w:hAnsi="Arial"/>
                <w:sz w:val="18"/>
                <w:szCs w:val="18"/>
                <w:b w:val="1"/>
                <w:bCs w:val="1"/>
                <w:color w:val="auto"/>
              </w:rPr>
              <w:t>Cost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Gains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Pr>
          <w:p>
            <w:pPr>
              <w:spacing w:after="0"/>
              <w:rPr>
                <w:sz w:val="20"/>
                <w:szCs w:val="20"/>
                <w:color w:val="auto"/>
              </w:rPr>
            </w:pPr>
          </w:p>
        </w:tc>
        <w:tc>
          <w:tcPr>
            <w:tcW w:w="820" w:type="dxa"/>
            <w:vAlign w:val="bottom"/>
          </w:tcPr>
          <w:p>
            <w:pPr>
              <w:jc w:val="center"/>
              <w:ind w:right="90"/>
              <w:spacing w:after="0"/>
              <w:rPr>
                <w:sz w:val="20"/>
                <w:szCs w:val="20"/>
                <w:color w:val="auto"/>
              </w:rPr>
            </w:pPr>
            <w:r>
              <w:rPr>
                <w:rFonts w:ascii="Arial" w:cs="Arial" w:eastAsia="Arial" w:hAnsi="Arial"/>
                <w:sz w:val="18"/>
                <w:szCs w:val="18"/>
                <w:b w:val="1"/>
                <w:bCs w:val="1"/>
                <w:color w:val="auto"/>
                <w:w w:val="78"/>
              </w:rPr>
              <w:t>losses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Values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Marketable securities</w:t>
            </w:r>
          </w:p>
        </w:tc>
        <w:tc>
          <w:tcPr>
            <w:tcW w:w="18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spacing w:after="0"/>
              <w:rPr>
                <w:sz w:val="21"/>
                <w:szCs w:val="21"/>
                <w:color w:val="auto"/>
              </w:rPr>
            </w:pPr>
          </w:p>
        </w:tc>
        <w:tc>
          <w:tcPr>
            <w:tcW w:w="2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29,018</w:t>
            </w:r>
          </w:p>
        </w:tc>
        <w:tc>
          <w:tcPr>
            <w:tcW w:w="22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0"/>
                <w:szCs w:val="20"/>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debt securities</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29,018</w:t>
            </w:r>
          </w:p>
        </w:tc>
        <w:tc>
          <w:tcPr>
            <w:tcW w:w="2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29,015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4,107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equity securities</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4,107</w:t>
            </w:r>
          </w:p>
        </w:tc>
        <w:tc>
          <w:tcPr>
            <w:tcW w:w="2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60" w:type="dxa"/>
            <w:vAlign w:val="bottom"/>
          </w:tcPr>
          <w:p>
            <w:pPr>
              <w:ind w:left="480"/>
              <w:spacing w:after="0"/>
              <w:rPr>
                <w:sz w:val="20"/>
                <w:szCs w:val="20"/>
                <w:color w:val="auto"/>
              </w:rPr>
            </w:pPr>
            <w:r>
              <w:rPr>
                <w:rFonts w:ascii="Arial" w:cs="Arial" w:eastAsia="Arial" w:hAnsi="Arial"/>
                <w:sz w:val="18"/>
                <w:szCs w:val="18"/>
                <w:b w:val="1"/>
                <w:bCs w:val="1"/>
                <w:color w:val="auto"/>
              </w:rPr>
              <w:t>Total marketable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33,125</w:t>
            </w:r>
          </w:p>
        </w:tc>
        <w:tc>
          <w:tcPr>
            <w:tcW w:w="22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0"/>
                <w:szCs w:val="20"/>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33,122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Reported in:</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33,122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-3222625</wp:posOffset>
            </wp:positionV>
            <wp:extent cx="7747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-3222625</wp:posOffset>
            </wp:positionV>
            <wp:extent cx="6858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-3222625</wp:posOffset>
            </wp:positionV>
            <wp:extent cx="6858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-3222625</wp:posOffset>
            </wp:positionV>
            <wp:extent cx="6858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-2896870</wp:posOffset>
            </wp:positionV>
            <wp:extent cx="77470" cy="188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-2896870</wp:posOffset>
            </wp:positionV>
            <wp:extent cx="68580"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-2896870</wp:posOffset>
            </wp:positionV>
            <wp:extent cx="68580"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-2896870</wp:posOffset>
            </wp:positionV>
            <wp:extent cx="68580"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-847725</wp:posOffset>
            </wp:positionV>
            <wp:extent cx="77470"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-847725</wp:posOffset>
            </wp:positionV>
            <wp:extent cx="68580"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-847725</wp:posOffset>
            </wp:positionV>
            <wp:extent cx="68580"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-847725</wp:posOffset>
            </wp:positionV>
            <wp:extent cx="6858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-521970</wp:posOffset>
            </wp:positionV>
            <wp:extent cx="77470"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-521970</wp:posOffset>
            </wp:positionV>
            <wp:extent cx="68580" cy="1885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-521970</wp:posOffset>
            </wp:positionV>
            <wp:extent cx="68580"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-521970</wp:posOffset>
            </wp:positionV>
            <wp:extent cx="68580" cy="1885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1885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At September 30, 2023 and December 31, 2022, the Company had $82.1 million and $114.6 million, respectively, in cash and cash equivalents and short-term investments. A portion of these amounts was held in marketable securities, as shown above. The remaining balances of $47.8 million and $81.5 million at September 30, 2023 and December 31, 2022, respectively, consisted of cash held in operating accounts not included in the tables above.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gross realized gains and losses on sales of marketable debt securities were immaterial during the three and nine months ended September 30, 2023 and 2022, respectively. Unrealized losses on AFS debt securities were immaterial as of September 30, 2023 and December 31, 2022. The Company evaluated whether the decline in fair value has resulted from credit losses or other factors and concluded these amounts were related to temporary fluctuations in value of AFS securities and were due primarily to changes in interest rates and market conditions of the underlying securities. The Company does not intend to sell the debt securities and it is more-likely-than-not that it will not be required to sell the investments before recovery of their amortized cost basis.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ind w:right="60"/>
        <w:spacing w:after="0" w:line="342" w:lineRule="auto"/>
        <w:rPr>
          <w:sz w:val="20"/>
          <w:szCs w:val="20"/>
          <w:color w:val="auto"/>
        </w:rPr>
      </w:pPr>
      <w:r>
        <w:rPr>
          <w:rFonts w:ascii="Arial" w:cs="Arial" w:eastAsia="Arial" w:hAnsi="Arial"/>
          <w:sz w:val="16"/>
          <w:szCs w:val="16"/>
          <w:color w:val="auto"/>
        </w:rPr>
        <w:t>The Company did not recognize a provision for credit losses related to its AFS debt securities for the three and nine months ended September 30, 2023 and 2022, respectively. No impairment charges were recorded on the AFS debt securities for the three and nine months ended September 30, 2023 and 2022.</w:t>
      </w:r>
    </w:p>
    <w:p>
      <w:pPr>
        <w:spacing w:after="0" w:line="12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following table summarizes the fair value and gross unrealized losses related to individual AFS debt securities at September 30, 2023 and December 31, 2022, which have been in a continuous unrealized loss position, aggregated by investment category and length of time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40" w:type="dxa"/>
            <w:vAlign w:val="bottom"/>
            <w:gridSpan w:val="5"/>
          </w:tcPr>
          <w:p>
            <w:pPr>
              <w:jc w:val="right"/>
              <w:ind w:right="540"/>
              <w:spacing w:after="0"/>
              <w:rPr>
                <w:sz w:val="20"/>
                <w:szCs w:val="20"/>
                <w:color w:val="auto"/>
              </w:rPr>
            </w:pPr>
            <w:r>
              <w:rPr>
                <w:rFonts w:ascii="Arial" w:cs="Arial" w:eastAsia="Arial" w:hAnsi="Arial"/>
                <w:sz w:val="16"/>
                <w:szCs w:val="16"/>
                <w:b w:val="1"/>
                <w:bCs w:val="1"/>
                <w:color w:val="auto"/>
                <w:w w:val="97"/>
              </w:rPr>
              <w:t>Less Than 12 Months</w:t>
            </w:r>
          </w:p>
        </w:tc>
        <w:tc>
          <w:tcPr>
            <w:tcW w:w="240" w:type="dxa"/>
            <w:vAlign w:val="bottom"/>
          </w:tcPr>
          <w:p>
            <w:pPr>
              <w:spacing w:after="0"/>
              <w:rPr>
                <w:sz w:val="19"/>
                <w:szCs w:val="19"/>
                <w:color w:val="auto"/>
              </w:rPr>
            </w:pPr>
          </w:p>
        </w:tc>
        <w:tc>
          <w:tcPr>
            <w:tcW w:w="1840" w:type="dxa"/>
            <w:vAlign w:val="bottom"/>
            <w:gridSpan w:val="4"/>
          </w:tcPr>
          <w:p>
            <w:pPr>
              <w:ind w:left="120"/>
              <w:spacing w:after="0"/>
              <w:rPr>
                <w:sz w:val="20"/>
                <w:szCs w:val="20"/>
                <w:color w:val="auto"/>
              </w:rPr>
            </w:pPr>
            <w:r>
              <w:rPr>
                <w:rFonts w:ascii="Arial" w:cs="Arial" w:eastAsia="Arial" w:hAnsi="Arial"/>
                <w:sz w:val="16"/>
                <w:szCs w:val="16"/>
                <w:b w:val="1"/>
                <w:bCs w:val="1"/>
                <w:color w:val="auto"/>
              </w:rPr>
              <w:t>12 Months or More</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Total</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ind w:left="660"/>
              <w:spacing w:after="0"/>
              <w:rPr>
                <w:sz w:val="20"/>
                <w:szCs w:val="20"/>
                <w:color w:val="auto"/>
              </w:rPr>
            </w:pPr>
            <w:r>
              <w:rPr>
                <w:rFonts w:ascii="Arial" w:cs="Arial" w:eastAsia="Arial" w:hAnsi="Arial"/>
                <w:sz w:val="16"/>
                <w:szCs w:val="16"/>
                <w:b w:val="1"/>
                <w:bCs w:val="1"/>
                <w:color w:val="auto"/>
                <w:w w:val="94"/>
              </w:rPr>
              <w:t>Fair Value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19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Gross</w:t>
            </w: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Gross</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86"/>
              </w:rPr>
              <w:t>Gross</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Unrealized</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Cash and Cash</w:t>
            </w:r>
          </w:p>
        </w:tc>
        <w:tc>
          <w:tcPr>
            <w:tcW w:w="22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AFS Debt</w:t>
            </w:r>
          </w:p>
        </w:tc>
        <w:tc>
          <w:tcPr>
            <w:tcW w:w="100" w:type="dxa"/>
            <w:vAlign w:val="bottom"/>
          </w:tcPr>
          <w:p>
            <w:pPr>
              <w:spacing w:after="0"/>
              <w:rPr>
                <w:sz w:val="17"/>
                <w:szCs w:val="17"/>
                <w:color w:val="auto"/>
              </w:rPr>
            </w:pPr>
          </w:p>
        </w:tc>
      </w:tr>
      <w:tr>
        <w:trPr>
          <w:trHeight w:val="227"/>
        </w:trPr>
        <w:tc>
          <w:tcPr>
            <w:tcW w:w="1960" w:type="dxa"/>
            <w:vAlign w:val="bottom"/>
          </w:tcPr>
          <w:p>
            <w:pPr>
              <w:ind w:left="20"/>
              <w:spacing w:after="0"/>
              <w:rPr>
                <w:sz w:val="20"/>
                <w:szCs w:val="20"/>
                <w:color w:val="auto"/>
              </w:rPr>
            </w:pPr>
            <w:r>
              <w:rPr>
                <w:rFonts w:ascii="Arial" w:cs="Arial" w:eastAsia="Arial" w:hAnsi="Arial"/>
                <w:sz w:val="16"/>
                <w:szCs w:val="16"/>
                <w:b w:val="1"/>
                <w:bCs w:val="1"/>
                <w:color w:val="auto"/>
              </w:rPr>
              <w:t>September 30, 2023</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6"/>
              </w:rPr>
              <w:t>Fair Value</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9"/>
                <w:szCs w:val="19"/>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9"/>
              </w:rPr>
              <w:t>Fair Value</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3"/>
              </w:rPr>
              <w:t>Losses</w:t>
            </w:r>
          </w:p>
        </w:tc>
        <w:tc>
          <w:tcPr>
            <w:tcW w:w="220" w:type="dxa"/>
            <w:vAlign w:val="bottom"/>
          </w:tcPr>
          <w:p>
            <w:pPr>
              <w:spacing w:after="0"/>
              <w:rPr>
                <w:sz w:val="19"/>
                <w:szCs w:val="19"/>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6"/>
              </w:rPr>
              <w:t>Fair Value</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79"/>
              </w:rPr>
              <w:t>Losses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1"/>
              </w:rPr>
              <w:t>Equivalents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8"/>
              </w:rPr>
              <w:t>Securities</w:t>
            </w:r>
          </w:p>
        </w:tc>
        <w:tc>
          <w:tcPr>
            <w:tcW w:w="100" w:type="dxa"/>
            <w:vAlign w:val="bottom"/>
          </w:tcPr>
          <w:p>
            <w:pPr>
              <w:spacing w:after="0"/>
              <w:rPr>
                <w:sz w:val="19"/>
                <w:szCs w:val="19"/>
                <w:color w:val="auto"/>
              </w:rPr>
            </w:pPr>
          </w:p>
        </w:tc>
      </w:tr>
      <w:tr>
        <w:trPr>
          <w:trHeight w:val="226"/>
        </w:trPr>
        <w:tc>
          <w:tcPr>
            <w:tcW w:w="196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Corporate bonds and notes</w:t>
            </w:r>
          </w:p>
        </w:tc>
        <w:tc>
          <w:tcPr>
            <w:tcW w:w="180" w:type="dxa"/>
            <w:vAlign w:val="bottom"/>
            <w:shd w:val="clear" w:color="auto" w:fill="CFF0FC"/>
          </w:tcPr>
          <w:p>
            <w:pPr>
              <w:jc w:val="right"/>
              <w:ind w:right="22"/>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(6 )</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ind w:left="400"/>
              <w:spacing w:after="0"/>
              <w:rPr>
                <w:sz w:val="20"/>
                <w:szCs w:val="20"/>
                <w:color w:val="auto"/>
              </w:rPr>
            </w:pPr>
            <w:r>
              <w:rPr>
                <w:rFonts w:ascii="Arial" w:cs="Arial" w:eastAsia="Arial" w:hAnsi="Arial"/>
                <w:sz w:val="16"/>
                <w:szCs w:val="16"/>
                <w:color w:val="auto"/>
                <w:w w:val="99"/>
              </w:rPr>
              <w:t>—</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CFF0FC"/>
            </w:tcBorders>
            <w:shd w:val="clear" w:color="auto" w:fill="CFF0FC"/>
          </w:tcPr>
          <w:p>
            <w:pPr>
              <w:ind w:left="720"/>
              <w:spacing w:after="0"/>
              <w:rPr>
                <w:sz w:val="20"/>
                <w:szCs w:val="20"/>
                <w:color w:val="auto"/>
              </w:rPr>
            </w:pPr>
            <w:r>
              <w:rPr>
                <w:rFonts w:ascii="Arial" w:cs="Arial" w:eastAsia="Arial" w:hAnsi="Arial"/>
                <w:sz w:val="16"/>
                <w:szCs w:val="16"/>
                <w:color w:val="auto"/>
                <w:w w:val="99"/>
              </w:rPr>
              <w:t>—</w:t>
            </w:r>
          </w:p>
        </w:tc>
        <w:tc>
          <w:tcPr>
            <w:tcW w:w="42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5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1,848</w:t>
            </w:r>
          </w:p>
        </w:tc>
        <w:tc>
          <w:tcPr>
            <w:tcW w:w="4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(6 )</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FF0FC"/>
            </w:tcBorders>
            <w:shd w:val="clear" w:color="auto" w:fill="CFF0FC"/>
          </w:tcPr>
          <w:p>
            <w:pPr>
              <w:ind w:left="900"/>
              <w:spacing w:after="0"/>
              <w:rPr>
                <w:sz w:val="20"/>
                <w:szCs w:val="20"/>
                <w:color w:val="auto"/>
              </w:rPr>
            </w:pPr>
            <w:r>
              <w:rPr>
                <w:rFonts w:ascii="Arial" w:cs="Arial" w:eastAsia="Arial" w:hAnsi="Arial"/>
                <w:sz w:val="16"/>
                <w:szCs w:val="16"/>
                <w:color w:val="auto"/>
                <w:w w:val="87"/>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1,848</w:t>
            </w:r>
          </w:p>
        </w:tc>
        <w:tc>
          <w:tcPr>
            <w:tcW w:w="100" w:type="dxa"/>
            <w:vAlign w:val="bottom"/>
            <w:shd w:val="clear" w:color="auto" w:fill="CFF0FC"/>
          </w:tcPr>
          <w:p>
            <w:pPr>
              <w:spacing w:after="0"/>
              <w:rPr>
                <w:sz w:val="19"/>
                <w:szCs w:val="19"/>
                <w:color w:val="auto"/>
              </w:rPr>
            </w:pPr>
          </w:p>
        </w:tc>
      </w:tr>
      <w:tr>
        <w:trPr>
          <w:trHeight w:val="206"/>
        </w:trPr>
        <w:tc>
          <w:tcPr>
            <w:tcW w:w="1960" w:type="dxa"/>
            <w:vAlign w:val="bottom"/>
          </w:tcPr>
          <w:p>
            <w:pPr>
              <w:ind w:left="20"/>
              <w:spacing w:after="0"/>
              <w:rPr>
                <w:sz w:val="20"/>
                <w:szCs w:val="20"/>
                <w:color w:val="auto"/>
              </w:rPr>
            </w:pPr>
            <w:r>
              <w:rPr>
                <w:rFonts w:ascii="Arial" w:cs="Arial" w:eastAsia="Arial" w:hAnsi="Arial"/>
                <w:sz w:val="16"/>
                <w:szCs w:val="16"/>
                <w:color w:val="auto"/>
                <w:w w:val="99"/>
              </w:rPr>
              <w:t>Treasury and agency notes</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60" w:type="dxa"/>
            <w:vAlign w:val="bottom"/>
          </w:tcPr>
          <w:p>
            <w:pPr>
              <w:ind w:left="20"/>
              <w:spacing w:after="0"/>
              <w:rPr>
                <w:sz w:val="20"/>
                <w:szCs w:val="20"/>
                <w:color w:val="auto"/>
              </w:rPr>
            </w:pPr>
            <w:r>
              <w:rPr>
                <w:rFonts w:ascii="Arial" w:cs="Arial" w:eastAsia="Arial" w:hAnsi="Arial"/>
                <w:sz w:val="16"/>
                <w:szCs w:val="16"/>
                <w:color w:val="auto"/>
              </w:rPr>
              <w:t>and bills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14,012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(5 )</w:t>
            </w:r>
          </w:p>
        </w:tc>
        <w:tc>
          <w:tcPr>
            <w:tcW w:w="24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14,012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(5 )</w:t>
            </w:r>
          </w:p>
        </w:tc>
        <w:tc>
          <w:tcPr>
            <w:tcW w:w="140" w:type="dxa"/>
            <w:vAlign w:val="bottom"/>
          </w:tcPr>
          <w:p>
            <w:pPr>
              <w:spacing w:after="0"/>
              <w:rPr>
                <w:sz w:val="18"/>
                <w:szCs w:val="18"/>
                <w:color w:val="auto"/>
              </w:rPr>
            </w:pPr>
          </w:p>
        </w:tc>
        <w:tc>
          <w:tcPr>
            <w:tcW w:w="1080" w:type="dxa"/>
            <w:vAlign w:val="bottom"/>
          </w:tcPr>
          <w:p>
            <w:pPr>
              <w:ind w:left="900"/>
              <w:spacing w:after="0"/>
              <w:rPr>
                <w:sz w:val="20"/>
                <w:szCs w:val="20"/>
                <w:color w:val="auto"/>
              </w:rPr>
            </w:pPr>
            <w:r>
              <w:rPr>
                <w:rFonts w:ascii="Arial" w:cs="Arial" w:eastAsia="Arial" w:hAnsi="Arial"/>
                <w:sz w:val="16"/>
                <w:szCs w:val="16"/>
                <w:color w:val="auto"/>
                <w:w w:val="87"/>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14,012</w:t>
            </w:r>
          </w:p>
        </w:tc>
        <w:tc>
          <w:tcPr>
            <w:tcW w:w="100" w:type="dxa"/>
            <w:vAlign w:val="bottom"/>
          </w:tcPr>
          <w:p>
            <w:pPr>
              <w:spacing w:after="0"/>
              <w:rPr>
                <w:sz w:val="18"/>
                <w:szCs w:val="18"/>
                <w:color w:val="auto"/>
              </w:rPr>
            </w:pPr>
          </w:p>
        </w:tc>
      </w:tr>
      <w:tr>
        <w:trPr>
          <w:trHeight w:val="230"/>
        </w:trPr>
        <w:tc>
          <w:tcPr>
            <w:tcW w:w="1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paper</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14,385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(19 )</w:t>
            </w: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ind w:left="400"/>
              <w:spacing w:after="0"/>
              <w:rPr>
                <w:sz w:val="20"/>
                <w:szCs w:val="20"/>
                <w:color w:val="auto"/>
              </w:rPr>
            </w:pPr>
            <w:r>
              <w:rPr>
                <w:rFonts w:ascii="Arial" w:cs="Arial" w:eastAsia="Arial" w:hAnsi="Arial"/>
                <w:sz w:val="16"/>
                <w:szCs w:val="16"/>
                <w:color w:val="auto"/>
                <w:w w:val="99"/>
              </w:rPr>
              <w:t>—</w:t>
            </w:r>
          </w:p>
        </w:tc>
        <w:tc>
          <w:tcPr>
            <w:tcW w:w="24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tcBorders>
              <w:right w:val="single" w:sz="8" w:color="CFF0FC"/>
            </w:tcBorders>
            <w:shd w:val="clear" w:color="auto" w:fill="CFF0FC"/>
          </w:tcPr>
          <w:p>
            <w:pPr>
              <w:ind w:left="720"/>
              <w:spacing w:after="0"/>
              <w:rPr>
                <w:sz w:val="20"/>
                <w:szCs w:val="20"/>
                <w:color w:val="auto"/>
              </w:rPr>
            </w:pPr>
            <w:r>
              <w:rPr>
                <w:rFonts w:ascii="Arial" w:cs="Arial" w:eastAsia="Arial" w:hAnsi="Arial"/>
                <w:sz w:val="16"/>
                <w:szCs w:val="16"/>
                <w:color w:val="auto"/>
                <w:w w:val="99"/>
              </w:rPr>
              <w:t>—</w:t>
            </w: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14,385</w:t>
            </w:r>
          </w:p>
        </w:tc>
        <w:tc>
          <w:tcPr>
            <w:tcW w:w="2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(19 )</w:t>
            </w:r>
          </w:p>
        </w:tc>
        <w:tc>
          <w:tcPr>
            <w:tcW w:w="140" w:type="dxa"/>
            <w:vAlign w:val="bottom"/>
            <w:shd w:val="clear" w:color="auto" w:fill="CFF0FC"/>
          </w:tcPr>
          <w:p>
            <w:pPr>
              <w:spacing w:after="0"/>
              <w:rPr>
                <w:sz w:val="19"/>
                <w:szCs w:val="19"/>
                <w:color w:val="auto"/>
              </w:rPr>
            </w:pPr>
          </w:p>
        </w:tc>
        <w:tc>
          <w:tcPr>
            <w:tcW w:w="1080" w:type="dxa"/>
            <w:vAlign w:val="bottom"/>
            <w:tcBorders>
              <w:right w:val="single" w:sz="8" w:color="CFF0FC"/>
            </w:tcBorders>
            <w:shd w:val="clear" w:color="auto" w:fill="CFF0FC"/>
          </w:tcPr>
          <w:p>
            <w:pPr>
              <w:ind w:left="900"/>
              <w:spacing w:after="0"/>
              <w:rPr>
                <w:sz w:val="20"/>
                <w:szCs w:val="20"/>
                <w:color w:val="auto"/>
              </w:rPr>
            </w:pPr>
            <w:r>
              <w:rPr>
                <w:rFonts w:ascii="Arial" w:cs="Arial" w:eastAsia="Arial" w:hAnsi="Arial"/>
                <w:sz w:val="16"/>
                <w:szCs w:val="16"/>
                <w:color w:val="auto"/>
                <w:w w:val="87"/>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14,385</w:t>
            </w:r>
          </w:p>
        </w:tc>
        <w:tc>
          <w:tcPr>
            <w:tcW w:w="100" w:type="dxa"/>
            <w:vAlign w:val="bottom"/>
            <w:shd w:val="clear" w:color="auto" w:fill="CFF0FC"/>
          </w:tcPr>
          <w:p>
            <w:pPr>
              <w:spacing w:after="0"/>
              <w:rPr>
                <w:sz w:val="19"/>
                <w:szCs w:val="19"/>
                <w:color w:val="auto"/>
              </w:rPr>
            </w:pPr>
          </w:p>
        </w:tc>
      </w:tr>
      <w:tr>
        <w:trPr>
          <w:trHeight w:val="23"/>
        </w:trPr>
        <w:tc>
          <w:tcPr>
            <w:tcW w:w="196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tcBorders>
              <w:right w:val="single" w:sz="8" w:color="CFF0FC"/>
            </w:tcBorders>
            <w:shd w:val="clear" w:color="auto" w:fill="000000"/>
          </w:tcPr>
          <w:p>
            <w:pPr>
              <w:spacing w:after="0"/>
              <w:rPr>
                <w:sz w:val="2"/>
                <w:szCs w:val="2"/>
                <w:color w:val="auto"/>
              </w:rPr>
            </w:pPr>
          </w:p>
        </w:tc>
        <w:tc>
          <w:tcPr>
            <w:tcW w:w="220" w:type="dxa"/>
            <w:vAlign w:val="bottom"/>
            <w:tcBorders>
              <w:right w:val="single" w:sz="8" w:color="auto"/>
            </w:tcBorders>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tcBorders>
              <w:right w:val="single" w:sz="8" w:color="CFF0FC"/>
            </w:tcBorders>
            <w:shd w:val="clear" w:color="auto" w:fill="000000"/>
          </w:tcPr>
          <w:p>
            <w:pPr>
              <w:spacing w:after="0"/>
              <w:rPr>
                <w:sz w:val="2"/>
                <w:szCs w:val="2"/>
                <w:color w:val="auto"/>
              </w:rPr>
            </w:pPr>
          </w:p>
        </w:tc>
        <w:tc>
          <w:tcPr>
            <w:tcW w:w="220" w:type="dxa"/>
            <w:vAlign w:val="bottom"/>
            <w:tcBorders>
              <w:right w:val="single" w:sz="8" w:color="auto"/>
            </w:tcBorders>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tcBorders>
              <w:right w:val="single" w:sz="8" w:color="CFF0FC"/>
            </w:tcBorders>
            <w:shd w:val="clear" w:color="auto" w:fill="000000"/>
          </w:tcPr>
          <w:p>
            <w:pPr>
              <w:spacing w:after="0"/>
              <w:rPr>
                <w:sz w:val="2"/>
                <w:szCs w:val="2"/>
                <w:color w:val="auto"/>
              </w:rPr>
            </w:pPr>
          </w:p>
        </w:tc>
        <w:tc>
          <w:tcPr>
            <w:tcW w:w="220" w:type="dxa"/>
            <w:vAlign w:val="bottom"/>
            <w:tcBorders>
              <w:right w:val="single" w:sz="8" w:color="auto"/>
            </w:tcBorders>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tcBorders>
              <w:right w:val="single" w:sz="8" w:color="auto"/>
            </w:tcBorders>
            <w:shd w:val="clear" w:color="auto" w:fill="000000"/>
          </w:tcPr>
          <w:p>
            <w:pPr>
              <w:spacing w:after="0"/>
              <w:rPr>
                <w:sz w:val="2"/>
                <w:szCs w:val="2"/>
                <w:color w:val="auto"/>
              </w:rPr>
            </w:pPr>
          </w:p>
        </w:tc>
        <w:tc>
          <w:tcPr>
            <w:tcW w:w="220" w:type="dxa"/>
            <w:vAlign w:val="bottom"/>
            <w:tcBorders>
              <w:right w:val="single" w:sz="8" w:color="CFF0FC"/>
            </w:tcBorders>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1960" w:type="dxa"/>
            <w:vAlign w:val="bottom"/>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30,245</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(30 )</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580" w:type="dxa"/>
            <w:vAlign w:val="bottom"/>
          </w:tcPr>
          <w:p>
            <w:pPr>
              <w:ind w:left="400"/>
              <w:spacing w:after="0"/>
              <w:rPr>
                <w:sz w:val="20"/>
                <w:szCs w:val="20"/>
                <w:color w:val="auto"/>
              </w:rPr>
            </w:pPr>
            <w:r>
              <w:rPr>
                <w:rFonts w:ascii="Arial" w:cs="Arial" w:eastAsia="Arial" w:hAnsi="Arial"/>
                <w:sz w:val="16"/>
                <w:szCs w:val="16"/>
                <w:color w:val="auto"/>
                <w:w w:val="99"/>
              </w:rPr>
              <w:t>—</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ind w:left="720"/>
              <w:spacing w:after="0"/>
              <w:rPr>
                <w:sz w:val="20"/>
                <w:szCs w:val="20"/>
                <w:color w:val="auto"/>
              </w:rPr>
            </w:pPr>
            <w:r>
              <w:rPr>
                <w:rFonts w:ascii="Arial" w:cs="Arial" w:eastAsia="Arial" w:hAnsi="Arial"/>
                <w:sz w:val="16"/>
                <w:szCs w:val="16"/>
                <w:color w:val="auto"/>
                <w:w w:val="99"/>
              </w:rPr>
              <w:t>—</w:t>
            </w:r>
          </w:p>
        </w:tc>
        <w:tc>
          <w:tcPr>
            <w:tcW w:w="4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30,245</w:t>
            </w:r>
          </w:p>
        </w:tc>
        <w:tc>
          <w:tcPr>
            <w:tcW w:w="4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(30 )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ind w:left="900"/>
              <w:spacing w:after="0"/>
              <w:rPr>
                <w:sz w:val="20"/>
                <w:szCs w:val="20"/>
                <w:color w:val="auto"/>
              </w:rPr>
            </w:pPr>
            <w:r>
              <w:rPr>
                <w:rFonts w:ascii="Arial" w:cs="Arial" w:eastAsia="Arial" w:hAnsi="Arial"/>
                <w:sz w:val="16"/>
                <w:szCs w:val="16"/>
                <w:color w:val="auto"/>
                <w:w w:val="87"/>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30,245</w:t>
            </w:r>
          </w:p>
        </w:tc>
        <w:tc>
          <w:tcPr>
            <w:tcW w:w="100" w:type="dxa"/>
            <w:vAlign w:val="bottom"/>
          </w:tcPr>
          <w:p>
            <w:pPr>
              <w:spacing w:after="0"/>
              <w:rPr>
                <w:sz w:val="19"/>
                <w:szCs w:val="19"/>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02"/>
        </w:trPr>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5"/>
          </w:tcPr>
          <w:p>
            <w:pPr>
              <w:jc w:val="right"/>
              <w:ind w:right="540"/>
              <w:spacing w:after="0"/>
              <w:rPr>
                <w:sz w:val="20"/>
                <w:szCs w:val="20"/>
                <w:color w:val="auto"/>
              </w:rPr>
            </w:pPr>
            <w:r>
              <w:rPr>
                <w:rFonts w:ascii="Arial" w:cs="Arial" w:eastAsia="Arial" w:hAnsi="Arial"/>
                <w:sz w:val="16"/>
                <w:szCs w:val="16"/>
                <w:b w:val="1"/>
                <w:bCs w:val="1"/>
                <w:color w:val="auto"/>
                <w:w w:val="97"/>
              </w:rPr>
              <w:t>Less Than 12 Months</w:t>
            </w:r>
          </w:p>
        </w:tc>
        <w:tc>
          <w:tcPr>
            <w:tcW w:w="240" w:type="dxa"/>
            <w:vAlign w:val="bottom"/>
          </w:tcPr>
          <w:p>
            <w:pPr>
              <w:spacing w:after="0"/>
              <w:rPr>
                <w:sz w:val="24"/>
                <w:szCs w:val="24"/>
                <w:color w:val="auto"/>
              </w:rPr>
            </w:pPr>
          </w:p>
        </w:tc>
        <w:tc>
          <w:tcPr>
            <w:tcW w:w="1840" w:type="dxa"/>
            <w:vAlign w:val="bottom"/>
            <w:gridSpan w:val="4"/>
          </w:tcPr>
          <w:p>
            <w:pPr>
              <w:ind w:left="120"/>
              <w:spacing w:after="0"/>
              <w:rPr>
                <w:sz w:val="20"/>
                <w:szCs w:val="20"/>
                <w:color w:val="auto"/>
              </w:rPr>
            </w:pPr>
            <w:r>
              <w:rPr>
                <w:rFonts w:ascii="Arial" w:cs="Arial" w:eastAsia="Arial" w:hAnsi="Arial"/>
                <w:sz w:val="16"/>
                <w:szCs w:val="16"/>
                <w:b w:val="1"/>
                <w:bCs w:val="1"/>
                <w:color w:val="auto"/>
              </w:rPr>
              <w:t>12 Months or More</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Total</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ind w:left="660"/>
              <w:spacing w:after="0"/>
              <w:rPr>
                <w:sz w:val="20"/>
                <w:szCs w:val="20"/>
                <w:color w:val="auto"/>
              </w:rPr>
            </w:pPr>
            <w:r>
              <w:rPr>
                <w:rFonts w:ascii="Arial" w:cs="Arial" w:eastAsia="Arial" w:hAnsi="Arial"/>
                <w:sz w:val="16"/>
                <w:szCs w:val="16"/>
                <w:b w:val="1"/>
                <w:bCs w:val="1"/>
                <w:color w:val="auto"/>
                <w:w w:val="94"/>
              </w:rPr>
              <w:t>Fair Value</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19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Gross</w:t>
            </w: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Gross</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6"/>
              </w:rPr>
              <w:t>Gross</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Unrealized</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3"/>
              </w:rPr>
              <w:t>Unrealized</w:t>
            </w: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Cash and Cash</w:t>
            </w:r>
          </w:p>
        </w:tc>
        <w:tc>
          <w:tcPr>
            <w:tcW w:w="220" w:type="dxa"/>
            <w:vAlign w:val="bottom"/>
          </w:tcPr>
          <w:p>
            <w:pPr>
              <w:spacing w:after="0"/>
              <w:rPr>
                <w:sz w:val="17"/>
                <w:szCs w:val="17"/>
                <w:color w:val="auto"/>
              </w:rPr>
            </w:pPr>
          </w:p>
        </w:tc>
        <w:tc>
          <w:tcPr>
            <w:tcW w:w="90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94"/>
              </w:rPr>
              <w:t>AFS Debt</w:t>
            </w:r>
          </w:p>
        </w:tc>
        <w:tc>
          <w:tcPr>
            <w:tcW w:w="100" w:type="dxa"/>
            <w:vAlign w:val="bottom"/>
          </w:tcPr>
          <w:p>
            <w:pPr>
              <w:spacing w:after="0"/>
              <w:rPr>
                <w:sz w:val="17"/>
                <w:szCs w:val="17"/>
                <w:color w:val="auto"/>
              </w:rPr>
            </w:pPr>
          </w:p>
        </w:tc>
      </w:tr>
      <w:tr>
        <w:trPr>
          <w:trHeight w:val="227"/>
        </w:trPr>
        <w:tc>
          <w:tcPr>
            <w:tcW w:w="1960" w:type="dxa"/>
            <w:vAlign w:val="bottom"/>
          </w:tcPr>
          <w:p>
            <w:pPr>
              <w:ind w:left="20"/>
              <w:spacing w:after="0"/>
              <w:rPr>
                <w:sz w:val="20"/>
                <w:szCs w:val="20"/>
                <w:color w:val="auto"/>
              </w:rPr>
            </w:pPr>
            <w:r>
              <w:rPr>
                <w:rFonts w:ascii="Arial" w:cs="Arial" w:eastAsia="Arial" w:hAnsi="Arial"/>
                <w:sz w:val="16"/>
                <w:szCs w:val="16"/>
                <w:b w:val="1"/>
                <w:bCs w:val="1"/>
                <w:color w:val="auto"/>
              </w:rPr>
              <w:t>December 31, 2022</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6"/>
              </w:rPr>
              <w:t>Fair Value</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9"/>
                <w:szCs w:val="19"/>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9"/>
              </w:rPr>
              <w:t>Fair Value</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3"/>
              </w:rPr>
              <w:t>Losses</w:t>
            </w:r>
          </w:p>
        </w:tc>
        <w:tc>
          <w:tcPr>
            <w:tcW w:w="220" w:type="dxa"/>
            <w:vAlign w:val="bottom"/>
          </w:tcPr>
          <w:p>
            <w:pPr>
              <w:spacing w:after="0"/>
              <w:rPr>
                <w:sz w:val="19"/>
                <w:szCs w:val="19"/>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4"/>
              </w:rPr>
              <w:t>Fair Value</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3"/>
              </w:rPr>
              <w:t>Losses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1"/>
              </w:rPr>
              <w:t>Equivalents</w:t>
            </w:r>
          </w:p>
        </w:tc>
        <w:tc>
          <w:tcPr>
            <w:tcW w:w="220" w:type="dxa"/>
            <w:vAlign w:val="bottom"/>
          </w:tcPr>
          <w:p>
            <w:pPr>
              <w:spacing w:after="0"/>
              <w:rPr>
                <w:sz w:val="19"/>
                <w:szCs w:val="19"/>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100" w:type="dxa"/>
            <w:vAlign w:val="bottom"/>
          </w:tcPr>
          <w:p>
            <w:pPr>
              <w:spacing w:after="0"/>
              <w:rPr>
                <w:sz w:val="19"/>
                <w:szCs w:val="19"/>
                <w:color w:val="auto"/>
              </w:rPr>
            </w:pPr>
          </w:p>
        </w:tc>
      </w:tr>
      <w:tr>
        <w:trPr>
          <w:trHeight w:val="239"/>
        </w:trPr>
        <w:tc>
          <w:tcPr>
            <w:tcW w:w="1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paper</w:t>
            </w:r>
          </w:p>
        </w:tc>
        <w:tc>
          <w:tcPr>
            <w:tcW w:w="180" w:type="dxa"/>
            <w:vAlign w:val="bottom"/>
            <w:shd w:val="clear" w:color="auto" w:fill="CFF0FC"/>
          </w:tcPr>
          <w:p>
            <w:pPr>
              <w:jc w:val="right"/>
              <w:ind w:right="22"/>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29,015</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(6 )</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ind w:left="400"/>
              <w:spacing w:after="0"/>
              <w:rPr>
                <w:sz w:val="20"/>
                <w:szCs w:val="20"/>
                <w:color w:val="auto"/>
              </w:rPr>
            </w:pPr>
            <w:r>
              <w:rPr>
                <w:rFonts w:ascii="Arial" w:cs="Arial" w:eastAsia="Arial" w:hAnsi="Arial"/>
                <w:sz w:val="16"/>
                <w:szCs w:val="16"/>
                <w:color w:val="auto"/>
                <w:w w:val="99"/>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w w:val="87"/>
              </w:rPr>
              <w:t>—</w:t>
            </w:r>
          </w:p>
        </w:tc>
        <w:tc>
          <w:tcPr>
            <w:tcW w:w="42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5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29,015</w:t>
            </w:r>
          </w:p>
        </w:tc>
        <w:tc>
          <w:tcPr>
            <w:tcW w:w="44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(6 )</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CFF0FC"/>
            </w:tcBorders>
            <w:shd w:val="clear" w:color="auto" w:fill="CFF0FC"/>
          </w:tcPr>
          <w:p>
            <w:pPr>
              <w:ind w:left="580"/>
              <w:spacing w:after="0"/>
              <w:rPr>
                <w:sz w:val="20"/>
                <w:szCs w:val="20"/>
                <w:color w:val="auto"/>
              </w:rPr>
            </w:pPr>
            <w:r>
              <w:rPr>
                <w:rFonts w:ascii="Arial" w:cs="Arial" w:eastAsia="Arial" w:hAnsi="Arial"/>
                <w:sz w:val="16"/>
                <w:szCs w:val="16"/>
                <w:color w:val="auto"/>
                <w:w w:val="93"/>
              </w:rPr>
              <w:t>29,015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0"/>
        </w:trPr>
        <w:tc>
          <w:tcPr>
            <w:tcW w:w="19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-1165225</wp:posOffset>
            </wp:positionV>
            <wp:extent cx="77470" cy="1797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-1165225</wp:posOffset>
            </wp:positionV>
            <wp:extent cx="76835" cy="1797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-1165225</wp:posOffset>
            </wp:positionV>
            <wp:extent cx="77470" cy="1797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-1165225</wp:posOffset>
            </wp:positionV>
            <wp:extent cx="68580" cy="1797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-1165225</wp:posOffset>
            </wp:positionV>
            <wp:extent cx="68580" cy="1797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-1165225</wp:posOffset>
            </wp:positionV>
            <wp:extent cx="68580" cy="1797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-1165225</wp:posOffset>
            </wp:positionV>
            <wp:extent cx="68580" cy="1797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1797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-25400</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-7620</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-25400</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-7620</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-25400</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-7620</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-25400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-25400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-25400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-25400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estimated fair value of marketable debt securities by contractual maturity at September 30, 2023 is shown below (in thousands). Actual maturities may differ from contractual maturities because issuers may have the right to call or prepay obligations without penalties.</w:t>
      </w:r>
    </w:p>
    <w:p>
      <w:pPr>
        <w:spacing w:after="0" w:line="180" w:lineRule="exact"/>
        <w:rPr>
          <w:sz w:val="20"/>
          <w:szCs w:val="20"/>
          <w:color w:val="auto"/>
        </w:rPr>
      </w:pPr>
    </w:p>
    <w:p>
      <w:pPr>
        <w:ind w:left="9560"/>
        <w:spacing w:after="0"/>
        <w:rPr>
          <w:sz w:val="20"/>
          <w:szCs w:val="20"/>
          <w:color w:val="auto"/>
        </w:rPr>
      </w:pPr>
      <w:r>
        <w:rPr>
          <w:rFonts w:ascii="Arial" w:cs="Arial" w:eastAsia="Arial" w:hAnsi="Arial"/>
          <w:sz w:val="18"/>
          <w:szCs w:val="18"/>
          <w:b w:val="1"/>
          <w:bCs w:val="1"/>
          <w:color w:val="auto"/>
        </w:rPr>
        <w:t>Estimated</w:t>
      </w:r>
    </w:p>
    <w:p>
      <w:pPr>
        <w:spacing w:after="0" w:line="27" w:lineRule="exact"/>
        <w:rPr>
          <w:sz w:val="20"/>
          <w:szCs w:val="20"/>
          <w:color w:val="auto"/>
        </w:rPr>
      </w:pPr>
    </w:p>
    <w:p>
      <w:pPr>
        <w:ind w:left="9560"/>
        <w:spacing w:after="0"/>
        <w:rPr>
          <w:sz w:val="20"/>
          <w:szCs w:val="20"/>
          <w:color w:val="auto"/>
        </w:rPr>
      </w:pPr>
      <w:r>
        <w:rPr>
          <w:rFonts w:ascii="Arial" w:cs="Arial" w:eastAsia="Arial" w:hAnsi="Arial"/>
          <w:sz w:val="18"/>
          <w:szCs w:val="18"/>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14605</wp:posOffset>
            </wp:positionV>
            <wp:extent cx="14916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5" w:lineRule="exact"/>
        <w:rPr>
          <w:sz w:val="20"/>
          <w:szCs w:val="20"/>
          <w:color w:val="auto"/>
        </w:rPr>
      </w:pPr>
    </w:p>
    <w:p>
      <w:pPr>
        <w:ind w:left="20"/>
        <w:spacing w:after="0"/>
        <w:tabs>
          <w:tab w:leader="none" w:pos="8780" w:val="left"/>
          <w:tab w:leader="none" w:pos="10600" w:val="left"/>
        </w:tabs>
        <w:rPr>
          <w:sz w:val="20"/>
          <w:szCs w:val="20"/>
          <w:color w:val="auto"/>
        </w:rPr>
      </w:pPr>
      <w:r>
        <w:rPr>
          <w:rFonts w:ascii="Arial" w:cs="Arial" w:eastAsia="Arial" w:hAnsi="Arial"/>
          <w:sz w:val="18"/>
          <w:szCs w:val="18"/>
          <w:color w:val="auto"/>
        </w:rPr>
        <w:t>Due in one year or less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30,245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97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w:t>
      </w:r>
    </w:p>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Company follows the authoritative guidance for fair value measurement and the fair value option for financial assets and financial liabilities. The Company carries its financial instruments at fair value with the exception of its long-term debt. Fair value is defined as the exchange price that would be received for an asset or paid to transfer a liability, or an exit price, in the principal or most advantageous market for the asset or liability in an orderly transaction between market participants on the measurement date. The established fair value hierarchy requires an entity to maximize the use of observable inputs and minimize the use of unobservable inputs when measuring fair value. There are three levels of inputs that may be used to measure fair value:</w:t>
      </w:r>
    </w:p>
    <w:p>
      <w:pPr>
        <w:spacing w:after="0" w:line="175"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Quoted prices in active markets for identical assets.</w:t>
      </w:r>
    </w:p>
    <w:p>
      <w:pPr>
        <w:spacing w:after="0" w:line="185"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6"/>
          <w:szCs w:val="16"/>
          <w:color w:val="auto"/>
        </w:rPr>
        <w:t>Observable market-based inputs or unobservable inputs that are corroborated by market data.</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ind w:left="1020" w:right="60" w:hanging="998"/>
        <w:spacing w:after="0" w:line="311" w:lineRule="auto"/>
        <w:tabs>
          <w:tab w:leader="none" w:pos="10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Unobservable inputs that are supported by little or no market activity and that are significant to the fair value of the assets.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6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When applying fair value principles in the valuation of assets, the Company is required to maximize the use of quoted market prices and minimize the use of unobservable inputs. The Company calculates the fair value of its Level 1 and Level 2 instruments based on the exchange traded price of similar or identical instruments, where available, or based on other observable inputs. There were no significant transfers into or out of Level 1 or Level 2 that occurred between December 31, 2022 and September 30, 2023. The following sets forth the fair value, and classification within the hierarchy, of the Company’s assets required to be measured at fair value on a recurring basis as of September 30, 2023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95"/>
              <w:spacing w:after="0"/>
              <w:rPr>
                <w:sz w:val="20"/>
                <w:szCs w:val="20"/>
                <w:color w:val="auto"/>
              </w:rPr>
            </w:pPr>
            <w:r>
              <w:rPr>
                <w:rFonts w:ascii="Arial" w:cs="Arial" w:eastAsia="Arial" w:hAnsi="Arial"/>
                <w:sz w:val="16"/>
                <w:szCs w:val="16"/>
                <w:b w:val="1"/>
                <w:bCs w:val="1"/>
                <w:color w:val="auto"/>
                <w:w w:val="89"/>
              </w:rPr>
              <w:t>Quoted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115"/>
              <w:spacing w:after="0"/>
              <w:rPr>
                <w:sz w:val="20"/>
                <w:szCs w:val="20"/>
                <w:color w:val="auto"/>
              </w:rPr>
            </w:pPr>
            <w:r>
              <w:rPr>
                <w:rFonts w:ascii="Arial" w:cs="Arial" w:eastAsia="Arial" w:hAnsi="Arial"/>
                <w:sz w:val="16"/>
                <w:szCs w:val="16"/>
                <w:b w:val="1"/>
                <w:bCs w:val="1"/>
                <w:color w:val="auto"/>
                <w:w w:val="89"/>
              </w:rPr>
              <w:t>Prices in</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5"/>
              <w:spacing w:after="0"/>
              <w:rPr>
                <w:sz w:val="20"/>
                <w:szCs w:val="20"/>
                <w:color w:val="auto"/>
              </w:rPr>
            </w:pPr>
            <w:r>
              <w:rPr>
                <w:rFonts w:ascii="Arial" w:cs="Arial" w:eastAsia="Arial" w:hAnsi="Arial"/>
                <w:sz w:val="16"/>
                <w:szCs w:val="16"/>
                <w:b w:val="1"/>
                <w:bCs w:val="1"/>
                <w:color w:val="auto"/>
                <w:w w:val="90"/>
              </w:rPr>
              <w:t>Significant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95"/>
              <w:spacing w:after="0"/>
              <w:rPr>
                <w:sz w:val="20"/>
                <w:szCs w:val="20"/>
                <w:color w:val="auto"/>
              </w:rPr>
            </w:pPr>
            <w:r>
              <w:rPr>
                <w:rFonts w:ascii="Arial" w:cs="Arial" w:eastAsia="Arial" w:hAnsi="Arial"/>
                <w:sz w:val="16"/>
                <w:szCs w:val="16"/>
                <w:b w:val="1"/>
                <w:bCs w:val="1"/>
                <w:color w:val="auto"/>
                <w:w w:val="93"/>
              </w:rPr>
              <w:t>Active Markets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5"/>
              <w:spacing w:after="0"/>
              <w:rPr>
                <w:sz w:val="20"/>
                <w:szCs w:val="20"/>
                <w:color w:val="auto"/>
              </w:rPr>
            </w:pPr>
            <w:r>
              <w:rPr>
                <w:rFonts w:ascii="Arial" w:cs="Arial" w:eastAsia="Arial" w:hAnsi="Arial"/>
                <w:sz w:val="16"/>
                <w:szCs w:val="16"/>
                <w:b w:val="1"/>
                <w:bCs w:val="1"/>
                <w:color w:val="auto"/>
                <w:w w:val="98"/>
              </w:rPr>
              <w:t>Other</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3"/>
              <w:spacing w:after="0"/>
              <w:rPr>
                <w:sz w:val="20"/>
                <w:szCs w:val="20"/>
                <w:color w:val="auto"/>
              </w:rPr>
            </w:pPr>
            <w:r>
              <w:rPr>
                <w:rFonts w:ascii="Arial" w:cs="Arial" w:eastAsia="Arial" w:hAnsi="Arial"/>
                <w:sz w:val="16"/>
                <w:szCs w:val="16"/>
                <w:b w:val="1"/>
                <w:bCs w:val="1"/>
                <w:color w:val="auto"/>
                <w:w w:val="90"/>
              </w:rPr>
              <w:t>Significant</w:t>
            </w:r>
          </w:p>
        </w:tc>
        <w:tc>
          <w:tcPr>
            <w:tcW w:w="100" w:type="dxa"/>
            <w:vAlign w:val="bottom"/>
          </w:tcPr>
          <w:p>
            <w:pPr>
              <w:spacing w:after="0"/>
              <w:rPr>
                <w:sz w:val="17"/>
                <w:szCs w:val="17"/>
                <w:color w:val="auto"/>
              </w:rPr>
            </w:pPr>
          </w:p>
        </w:tc>
      </w:tr>
      <w:tr>
        <w:trPr>
          <w:trHeight w:val="203"/>
        </w:trPr>
        <w:tc>
          <w:tcPr>
            <w:tcW w:w="5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95"/>
              <w:spacing w:after="0"/>
              <w:rPr>
                <w:sz w:val="20"/>
                <w:szCs w:val="20"/>
                <w:color w:val="auto"/>
              </w:rPr>
            </w:pPr>
            <w:r>
              <w:rPr>
                <w:rFonts w:ascii="Arial" w:cs="Arial" w:eastAsia="Arial" w:hAnsi="Arial"/>
                <w:sz w:val="16"/>
                <w:szCs w:val="16"/>
                <w:b w:val="1"/>
                <w:bCs w:val="1"/>
                <w:color w:val="auto"/>
                <w:w w:val="94"/>
              </w:rPr>
              <w:t>for Identical</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35"/>
              <w:spacing w:after="0"/>
              <w:rPr>
                <w:sz w:val="20"/>
                <w:szCs w:val="20"/>
                <w:color w:val="auto"/>
              </w:rPr>
            </w:pPr>
            <w:r>
              <w:rPr>
                <w:rFonts w:ascii="Arial" w:cs="Arial" w:eastAsia="Arial" w:hAnsi="Arial"/>
                <w:sz w:val="16"/>
                <w:szCs w:val="16"/>
                <w:b w:val="1"/>
                <w:bCs w:val="1"/>
                <w:color w:val="auto"/>
                <w:w w:val="91"/>
              </w:rPr>
              <w:t>Observable</w:t>
            </w:r>
          </w:p>
        </w:tc>
        <w:tc>
          <w:tcPr>
            <w:tcW w:w="22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Unobservable</w:t>
            </w:r>
          </w:p>
        </w:tc>
        <w:tc>
          <w:tcPr>
            <w:tcW w:w="100" w:type="dxa"/>
            <w:vAlign w:val="bottom"/>
          </w:tcPr>
          <w:p>
            <w:pPr>
              <w:spacing w:after="0"/>
              <w:rPr>
                <w:sz w:val="17"/>
                <w:szCs w:val="17"/>
                <w:color w:val="auto"/>
              </w:rPr>
            </w:pPr>
          </w:p>
        </w:tc>
      </w:tr>
      <w:tr>
        <w:trPr>
          <w:trHeight w:val="203"/>
        </w:trPr>
        <w:tc>
          <w:tcPr>
            <w:tcW w:w="5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95"/>
              <w:spacing w:after="0"/>
              <w:rPr>
                <w:sz w:val="20"/>
                <w:szCs w:val="20"/>
                <w:color w:val="auto"/>
              </w:rPr>
            </w:pPr>
            <w:r>
              <w:rPr>
                <w:rFonts w:ascii="Arial" w:cs="Arial" w:eastAsia="Arial" w:hAnsi="Arial"/>
                <w:sz w:val="16"/>
                <w:szCs w:val="16"/>
                <w:b w:val="1"/>
                <w:bCs w:val="1"/>
                <w:color w:val="auto"/>
                <w:w w:val="79"/>
              </w:rPr>
              <w:t>Assets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35"/>
              <w:spacing w:after="0"/>
              <w:rPr>
                <w:sz w:val="20"/>
                <w:szCs w:val="20"/>
                <w:color w:val="auto"/>
              </w:rPr>
            </w:pPr>
            <w:r>
              <w:rPr>
                <w:rFonts w:ascii="Arial" w:cs="Arial" w:eastAsia="Arial" w:hAnsi="Arial"/>
                <w:sz w:val="16"/>
                <w:szCs w:val="16"/>
                <w:b w:val="1"/>
                <w:bCs w:val="1"/>
                <w:color w:val="auto"/>
                <w:w w:val="91"/>
              </w:rPr>
              <w:t>Inputs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3"/>
              <w:spacing w:after="0"/>
              <w:rPr>
                <w:sz w:val="20"/>
                <w:szCs w:val="20"/>
                <w:color w:val="auto"/>
              </w:rPr>
            </w:pPr>
            <w:r>
              <w:rPr>
                <w:rFonts w:ascii="Arial" w:cs="Arial" w:eastAsia="Arial" w:hAnsi="Arial"/>
                <w:sz w:val="16"/>
                <w:szCs w:val="16"/>
                <w:b w:val="1"/>
                <w:bCs w:val="1"/>
                <w:color w:val="auto"/>
                <w:w w:val="95"/>
              </w:rPr>
              <w:t>Inputs</w:t>
            </w:r>
          </w:p>
        </w:tc>
        <w:tc>
          <w:tcPr>
            <w:tcW w:w="100" w:type="dxa"/>
            <w:vAlign w:val="bottom"/>
          </w:tcPr>
          <w:p>
            <w:pPr>
              <w:spacing w:after="0"/>
              <w:rPr>
                <w:sz w:val="17"/>
                <w:szCs w:val="17"/>
                <w:color w:val="auto"/>
              </w:rPr>
            </w:pPr>
          </w:p>
        </w:tc>
      </w:tr>
      <w:tr>
        <w:trPr>
          <w:trHeight w:val="223"/>
        </w:trPr>
        <w:tc>
          <w:tcPr>
            <w:tcW w:w="5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w w:val="94"/>
              </w:rPr>
              <w:t>Fair Value</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95"/>
              </w:rPr>
              <w:t>(Level 1)</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6"/>
                <w:szCs w:val="16"/>
                <w:b w:val="1"/>
                <w:bCs w:val="1"/>
                <w:color w:val="auto"/>
                <w:w w:val="92"/>
              </w:rPr>
              <w:t>(Level 2)</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92"/>
              </w:rPr>
              <w:t>(Level 3)</w:t>
            </w:r>
          </w:p>
        </w:tc>
        <w:tc>
          <w:tcPr>
            <w:tcW w:w="100" w:type="dxa"/>
            <w:vAlign w:val="bottom"/>
          </w:tcPr>
          <w:p>
            <w:pPr>
              <w:spacing w:after="0"/>
              <w:rPr>
                <w:sz w:val="19"/>
                <w:szCs w:val="19"/>
                <w:color w:val="auto"/>
              </w:rPr>
            </w:pPr>
          </w:p>
        </w:tc>
      </w:tr>
      <w:tr>
        <w:trPr>
          <w:trHeight w:val="243"/>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58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580" w:type="dxa"/>
            <w:vAlign w:val="bottom"/>
            <w:shd w:val="clear" w:color="auto" w:fill="CFF0FC"/>
          </w:tcPr>
          <w:p>
            <w:pPr>
              <w:ind w:left="380"/>
              <w:spacing w:after="0" w:line="249" w:lineRule="exact"/>
              <w:rPr>
                <w:sz w:val="20"/>
                <w:szCs w:val="20"/>
                <w:color w:val="auto"/>
              </w:rPr>
            </w:pPr>
            <w:r>
              <w:rPr>
                <w:rFonts w:ascii="Arial" w:cs="Arial" w:eastAsia="Arial" w:hAnsi="Arial"/>
                <w:sz w:val="18"/>
                <w:szCs w:val="18"/>
                <w:color w:val="auto"/>
              </w:rPr>
              <w:t xml:space="preserve">Money market funds - equity securities </w:t>
            </w:r>
            <w:r>
              <w:rPr>
                <w:rFonts w:ascii="Arial" w:cs="Arial" w:eastAsia="Arial" w:hAnsi="Arial"/>
                <w:sz w:val="24"/>
                <w:szCs w:val="24"/>
                <w:color w:val="auto"/>
                <w:vertAlign w:val="superscript"/>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4,058</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ind w:left="8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43"/>
        </w:trPr>
        <w:tc>
          <w:tcPr>
            <w:tcW w:w="5580" w:type="dxa"/>
            <w:vAlign w:val="bottom"/>
          </w:tcPr>
          <w:p>
            <w:pPr>
              <w:ind w:left="380"/>
              <w:spacing w:after="0" w:line="243" w:lineRule="exact"/>
              <w:rPr>
                <w:sz w:val="20"/>
                <w:szCs w:val="20"/>
                <w:color w:val="auto"/>
              </w:rPr>
            </w:pPr>
            <w:r>
              <w:rPr>
                <w:rFonts w:ascii="Arial" w:cs="Arial" w:eastAsia="Arial" w:hAnsi="Arial"/>
                <w:sz w:val="18"/>
                <w:szCs w:val="18"/>
                <w:color w:val="auto"/>
              </w:rPr>
              <w:t xml:space="preserve">Corporate bonds and notes - debt securities </w:t>
            </w:r>
            <w:r>
              <w:rPr>
                <w:rFonts w:ascii="Arial" w:cs="Arial" w:eastAsia="Arial" w:hAnsi="Arial"/>
                <w:sz w:val="24"/>
                <w:szCs w:val="24"/>
                <w:color w:val="auto"/>
                <w:vertAlign w:val="superscript"/>
              </w:rPr>
              <w:t>(2)</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ind w:left="8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r>
        <w:trPr>
          <w:trHeight w:val="243"/>
        </w:trPr>
        <w:tc>
          <w:tcPr>
            <w:tcW w:w="5580" w:type="dxa"/>
            <w:vAlign w:val="bottom"/>
            <w:shd w:val="clear" w:color="auto" w:fill="CFF0FC"/>
          </w:tcPr>
          <w:p>
            <w:pPr>
              <w:ind w:left="380"/>
              <w:spacing w:after="0" w:line="243" w:lineRule="exact"/>
              <w:rPr>
                <w:sz w:val="20"/>
                <w:szCs w:val="20"/>
                <w:color w:val="auto"/>
              </w:rPr>
            </w:pPr>
            <w:r>
              <w:rPr>
                <w:rFonts w:ascii="Arial" w:cs="Arial" w:eastAsia="Arial" w:hAnsi="Arial"/>
                <w:sz w:val="18"/>
                <w:szCs w:val="18"/>
                <w:color w:val="auto"/>
              </w:rPr>
              <w:t xml:space="preserve">Treasury and agency notes and bills - debt securities </w:t>
            </w:r>
            <w:r>
              <w:rPr>
                <w:rFonts w:ascii="Arial" w:cs="Arial" w:eastAsia="Arial" w:hAnsi="Arial"/>
                <w:sz w:val="24"/>
                <w:szCs w:val="24"/>
                <w:color w:val="auto"/>
                <w:vertAlign w:val="superscript"/>
              </w:rPr>
              <w:t>(3)</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14,012</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ind w:left="8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43"/>
        </w:trPr>
        <w:tc>
          <w:tcPr>
            <w:tcW w:w="5580" w:type="dxa"/>
            <w:vAlign w:val="bottom"/>
          </w:tcPr>
          <w:p>
            <w:pPr>
              <w:ind w:left="380"/>
              <w:spacing w:after="0" w:line="243" w:lineRule="exact"/>
              <w:rPr>
                <w:sz w:val="20"/>
                <w:szCs w:val="20"/>
                <w:color w:val="auto"/>
              </w:rPr>
            </w:pPr>
            <w:r>
              <w:rPr>
                <w:rFonts w:ascii="Arial" w:cs="Arial" w:eastAsia="Arial" w:hAnsi="Arial"/>
                <w:sz w:val="18"/>
                <w:szCs w:val="18"/>
                <w:color w:val="auto"/>
              </w:rPr>
              <w:t xml:space="preserve">Commercial paper - debt securities </w:t>
            </w:r>
            <w:r>
              <w:rPr>
                <w:rFonts w:ascii="Arial" w:cs="Arial" w:eastAsia="Arial" w:hAnsi="Arial"/>
                <w:sz w:val="24"/>
                <w:szCs w:val="24"/>
                <w:color w:val="auto"/>
                <w:vertAlign w:val="superscript"/>
              </w:rPr>
              <w:t>(3)</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14,385</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14,385</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r>
        <w:trPr>
          <w:trHeight w:val="272"/>
        </w:trPr>
        <w:tc>
          <w:tcPr>
            <w:tcW w:w="5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34,303</w:t>
            </w:r>
          </w:p>
        </w:tc>
        <w:tc>
          <w:tcPr>
            <w:tcW w:w="24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4,058</w:t>
            </w:r>
          </w:p>
        </w:tc>
        <w:tc>
          <w:tcPr>
            <w:tcW w:w="2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30,245</w:t>
            </w:r>
          </w:p>
        </w:tc>
        <w:tc>
          <w:tcPr>
            <w:tcW w:w="2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-24765</wp:posOffset>
            </wp:positionV>
            <wp:extent cx="774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760" w:hanging="374"/>
        <w:spacing w:after="0" w:line="234" w:lineRule="auto"/>
        <w:tabs>
          <w:tab w:leader="none" w:pos="760" w:val="left"/>
        </w:tabs>
        <w:numPr>
          <w:ilvl w:val="0"/>
          <w:numId w:val="7"/>
        </w:numPr>
        <w:rPr>
          <w:rFonts w:ascii="Arial" w:cs="Arial" w:eastAsia="Arial" w:hAnsi="Arial"/>
          <w:sz w:val="24"/>
          <w:szCs w:val="24"/>
          <w:color w:val="auto"/>
          <w:vertAlign w:val="superscript"/>
        </w:rPr>
      </w:pPr>
      <w:r>
        <w:rPr>
          <w:rFonts w:ascii="Arial" w:cs="Arial" w:eastAsia="Arial" w:hAnsi="Arial"/>
          <w:sz w:val="18"/>
          <w:szCs w:val="18"/>
          <w:color w:val="auto"/>
        </w:rPr>
        <w:t>Reported as cash and cash equivalents in the Condensed Consolidated Balance Sheet.</w:t>
      </w:r>
    </w:p>
    <w:p>
      <w:pPr>
        <w:spacing w:after="0" w:line="2" w:lineRule="exact"/>
        <w:rPr>
          <w:rFonts w:ascii="Arial" w:cs="Arial" w:eastAsia="Arial" w:hAnsi="Arial"/>
          <w:sz w:val="24"/>
          <w:szCs w:val="24"/>
          <w:color w:val="auto"/>
          <w:vertAlign w:val="superscript"/>
        </w:rPr>
      </w:pPr>
    </w:p>
    <w:p>
      <w:pPr>
        <w:ind w:left="760" w:hanging="374"/>
        <w:spacing w:after="0" w:line="186" w:lineRule="auto"/>
        <w:tabs>
          <w:tab w:leader="none" w:pos="760" w:val="left"/>
        </w:tabs>
        <w:numPr>
          <w:ilvl w:val="0"/>
          <w:numId w:val="7"/>
        </w:numPr>
        <w:rPr>
          <w:rFonts w:ascii="Arial" w:cs="Arial" w:eastAsia="Arial" w:hAnsi="Arial"/>
          <w:sz w:val="24"/>
          <w:szCs w:val="24"/>
          <w:color w:val="auto"/>
          <w:vertAlign w:val="superscript"/>
        </w:rPr>
      </w:pPr>
      <w:r>
        <w:rPr>
          <w:rFonts w:ascii="Arial" w:cs="Arial" w:eastAsia="Arial" w:hAnsi="Arial"/>
          <w:sz w:val="18"/>
          <w:szCs w:val="18"/>
          <w:color w:val="auto"/>
        </w:rPr>
        <w:t>Reported as AFS debt securities in the Condensed Consolidated Balance Sheet</w:t>
      </w:r>
    </w:p>
    <w:p>
      <w:pPr>
        <w:spacing w:after="0" w:line="2" w:lineRule="exact"/>
        <w:rPr>
          <w:rFonts w:ascii="Arial" w:cs="Arial" w:eastAsia="Arial" w:hAnsi="Arial"/>
          <w:sz w:val="24"/>
          <w:szCs w:val="24"/>
          <w:color w:val="auto"/>
          <w:vertAlign w:val="superscript"/>
        </w:rPr>
      </w:pPr>
    </w:p>
    <w:p>
      <w:pPr>
        <w:ind w:left="760" w:right="340" w:hanging="374"/>
        <w:spacing w:after="0" w:line="213" w:lineRule="auto"/>
        <w:tabs>
          <w:tab w:leader="none" w:pos="760" w:val="left"/>
        </w:tabs>
        <w:numPr>
          <w:ilvl w:val="0"/>
          <w:numId w:val="7"/>
        </w:numPr>
        <w:rPr>
          <w:rFonts w:ascii="Arial" w:cs="Arial" w:eastAsia="Arial" w:hAnsi="Arial"/>
          <w:sz w:val="24"/>
          <w:szCs w:val="24"/>
          <w:color w:val="auto"/>
          <w:vertAlign w:val="superscript"/>
        </w:rPr>
      </w:pPr>
      <w:r>
        <w:rPr>
          <w:rFonts w:ascii="Arial" w:cs="Arial" w:eastAsia="Arial" w:hAnsi="Arial"/>
          <w:sz w:val="18"/>
          <w:szCs w:val="18"/>
          <w:color w:val="auto"/>
        </w:rPr>
        <w:t>Reported as AFS debt securities in the Condensed Consolidated Balance Sheet as these were purchased with original maturities of more than three months at date of purchase; otherwise reported as cash and cash equivalents.</w:t>
      </w:r>
    </w:p>
    <w:p>
      <w:pPr>
        <w:spacing w:after="0" w:line="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sets forth the fair value, and classification within the hierarchy, of the Company’s assets required to be measured at fair value on a recurring basis as of December 31, 2022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96"/>
              <w:spacing w:after="0"/>
              <w:rPr>
                <w:sz w:val="20"/>
                <w:szCs w:val="20"/>
                <w:color w:val="auto"/>
              </w:rPr>
            </w:pPr>
            <w:r>
              <w:rPr>
                <w:rFonts w:ascii="Arial" w:cs="Arial" w:eastAsia="Arial" w:hAnsi="Arial"/>
                <w:sz w:val="16"/>
                <w:szCs w:val="16"/>
                <w:b w:val="1"/>
                <w:bCs w:val="1"/>
                <w:color w:val="auto"/>
                <w:w w:val="89"/>
              </w:rPr>
              <w:t>Quoted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116"/>
              <w:spacing w:after="0"/>
              <w:rPr>
                <w:sz w:val="20"/>
                <w:szCs w:val="20"/>
                <w:color w:val="auto"/>
              </w:rPr>
            </w:pPr>
            <w:r>
              <w:rPr>
                <w:rFonts w:ascii="Arial" w:cs="Arial" w:eastAsia="Arial" w:hAnsi="Arial"/>
                <w:sz w:val="16"/>
                <w:szCs w:val="16"/>
                <w:b w:val="1"/>
                <w:bCs w:val="1"/>
                <w:color w:val="auto"/>
                <w:w w:val="89"/>
              </w:rPr>
              <w:t>Prices in</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6"/>
              <w:spacing w:after="0"/>
              <w:rPr>
                <w:sz w:val="20"/>
                <w:szCs w:val="20"/>
                <w:color w:val="auto"/>
              </w:rPr>
            </w:pPr>
            <w:r>
              <w:rPr>
                <w:rFonts w:ascii="Arial" w:cs="Arial" w:eastAsia="Arial" w:hAnsi="Arial"/>
                <w:sz w:val="16"/>
                <w:szCs w:val="16"/>
                <w:b w:val="1"/>
                <w:bCs w:val="1"/>
                <w:color w:val="auto"/>
                <w:w w:val="90"/>
              </w:rPr>
              <w:t>Significant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96"/>
              <w:spacing w:after="0"/>
              <w:rPr>
                <w:sz w:val="20"/>
                <w:szCs w:val="20"/>
                <w:color w:val="auto"/>
              </w:rPr>
            </w:pPr>
            <w:r>
              <w:rPr>
                <w:rFonts w:ascii="Arial" w:cs="Arial" w:eastAsia="Arial" w:hAnsi="Arial"/>
                <w:sz w:val="16"/>
                <w:szCs w:val="16"/>
                <w:b w:val="1"/>
                <w:bCs w:val="1"/>
                <w:color w:val="auto"/>
                <w:w w:val="93"/>
              </w:rPr>
              <w:t>Active Markets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6"/>
              <w:spacing w:after="0"/>
              <w:rPr>
                <w:sz w:val="20"/>
                <w:szCs w:val="20"/>
                <w:color w:val="auto"/>
              </w:rPr>
            </w:pPr>
            <w:r>
              <w:rPr>
                <w:rFonts w:ascii="Arial" w:cs="Arial" w:eastAsia="Arial" w:hAnsi="Arial"/>
                <w:sz w:val="16"/>
                <w:szCs w:val="16"/>
                <w:b w:val="1"/>
                <w:bCs w:val="1"/>
                <w:color w:val="auto"/>
                <w:w w:val="98"/>
              </w:rPr>
              <w:t>Other</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5"/>
              <w:spacing w:after="0"/>
              <w:rPr>
                <w:sz w:val="20"/>
                <w:szCs w:val="20"/>
                <w:color w:val="auto"/>
              </w:rPr>
            </w:pPr>
            <w:r>
              <w:rPr>
                <w:rFonts w:ascii="Arial" w:cs="Arial" w:eastAsia="Arial" w:hAnsi="Arial"/>
                <w:sz w:val="16"/>
                <w:szCs w:val="16"/>
                <w:b w:val="1"/>
                <w:bCs w:val="1"/>
                <w:color w:val="auto"/>
                <w:w w:val="90"/>
              </w:rPr>
              <w:t>Significant</w:t>
            </w:r>
          </w:p>
        </w:tc>
        <w:tc>
          <w:tcPr>
            <w:tcW w:w="100" w:type="dxa"/>
            <w:vAlign w:val="bottom"/>
          </w:tcPr>
          <w:p>
            <w:pPr>
              <w:spacing w:after="0"/>
              <w:rPr>
                <w:sz w:val="17"/>
                <w:szCs w:val="17"/>
                <w:color w:val="auto"/>
              </w:rPr>
            </w:pPr>
          </w:p>
        </w:tc>
      </w:tr>
      <w:tr>
        <w:trPr>
          <w:trHeight w:val="203"/>
        </w:trPr>
        <w:tc>
          <w:tcPr>
            <w:tcW w:w="5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96"/>
              <w:spacing w:after="0"/>
              <w:rPr>
                <w:sz w:val="20"/>
                <w:szCs w:val="20"/>
                <w:color w:val="auto"/>
              </w:rPr>
            </w:pPr>
            <w:r>
              <w:rPr>
                <w:rFonts w:ascii="Arial" w:cs="Arial" w:eastAsia="Arial" w:hAnsi="Arial"/>
                <w:sz w:val="16"/>
                <w:szCs w:val="16"/>
                <w:b w:val="1"/>
                <w:bCs w:val="1"/>
                <w:color w:val="auto"/>
                <w:w w:val="94"/>
              </w:rPr>
              <w:t>for Identical</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36"/>
              <w:spacing w:after="0"/>
              <w:rPr>
                <w:sz w:val="20"/>
                <w:szCs w:val="20"/>
                <w:color w:val="auto"/>
              </w:rPr>
            </w:pPr>
            <w:r>
              <w:rPr>
                <w:rFonts w:ascii="Arial" w:cs="Arial" w:eastAsia="Arial" w:hAnsi="Arial"/>
                <w:sz w:val="16"/>
                <w:szCs w:val="16"/>
                <w:b w:val="1"/>
                <w:bCs w:val="1"/>
                <w:color w:val="auto"/>
                <w:w w:val="91"/>
              </w:rPr>
              <w:t>Observable</w:t>
            </w:r>
          </w:p>
        </w:tc>
        <w:tc>
          <w:tcPr>
            <w:tcW w:w="22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Unobservable</w:t>
            </w:r>
          </w:p>
        </w:tc>
        <w:tc>
          <w:tcPr>
            <w:tcW w:w="100" w:type="dxa"/>
            <w:vAlign w:val="bottom"/>
          </w:tcPr>
          <w:p>
            <w:pPr>
              <w:spacing w:after="0"/>
              <w:rPr>
                <w:sz w:val="17"/>
                <w:szCs w:val="17"/>
                <w:color w:val="auto"/>
              </w:rPr>
            </w:pPr>
          </w:p>
        </w:tc>
      </w:tr>
      <w:tr>
        <w:trPr>
          <w:trHeight w:val="203"/>
        </w:trPr>
        <w:tc>
          <w:tcPr>
            <w:tcW w:w="5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96"/>
              <w:spacing w:after="0"/>
              <w:rPr>
                <w:sz w:val="20"/>
                <w:szCs w:val="20"/>
                <w:color w:val="auto"/>
              </w:rPr>
            </w:pPr>
            <w:r>
              <w:rPr>
                <w:rFonts w:ascii="Arial" w:cs="Arial" w:eastAsia="Arial" w:hAnsi="Arial"/>
                <w:sz w:val="16"/>
                <w:szCs w:val="16"/>
                <w:b w:val="1"/>
                <w:bCs w:val="1"/>
                <w:color w:val="auto"/>
                <w:w w:val="79"/>
              </w:rPr>
              <w:t>Assets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36"/>
              <w:spacing w:after="0"/>
              <w:rPr>
                <w:sz w:val="20"/>
                <w:szCs w:val="20"/>
                <w:color w:val="auto"/>
              </w:rPr>
            </w:pPr>
            <w:r>
              <w:rPr>
                <w:rFonts w:ascii="Arial" w:cs="Arial" w:eastAsia="Arial" w:hAnsi="Arial"/>
                <w:sz w:val="16"/>
                <w:szCs w:val="16"/>
                <w:b w:val="1"/>
                <w:bCs w:val="1"/>
                <w:color w:val="auto"/>
                <w:w w:val="91"/>
              </w:rPr>
              <w:t>Inputs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5"/>
              <w:spacing w:after="0"/>
              <w:rPr>
                <w:sz w:val="20"/>
                <w:szCs w:val="20"/>
                <w:color w:val="auto"/>
              </w:rPr>
            </w:pPr>
            <w:r>
              <w:rPr>
                <w:rFonts w:ascii="Arial" w:cs="Arial" w:eastAsia="Arial" w:hAnsi="Arial"/>
                <w:sz w:val="16"/>
                <w:szCs w:val="16"/>
                <w:b w:val="1"/>
                <w:bCs w:val="1"/>
                <w:color w:val="auto"/>
                <w:w w:val="95"/>
              </w:rPr>
              <w:t>Inputs</w:t>
            </w:r>
          </w:p>
        </w:tc>
        <w:tc>
          <w:tcPr>
            <w:tcW w:w="100" w:type="dxa"/>
            <w:vAlign w:val="bottom"/>
          </w:tcPr>
          <w:p>
            <w:pPr>
              <w:spacing w:after="0"/>
              <w:rPr>
                <w:sz w:val="17"/>
                <w:szCs w:val="17"/>
                <w:color w:val="auto"/>
              </w:rPr>
            </w:pPr>
          </w:p>
        </w:tc>
      </w:tr>
      <w:tr>
        <w:trPr>
          <w:trHeight w:val="223"/>
        </w:trPr>
        <w:tc>
          <w:tcPr>
            <w:tcW w:w="5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w w:val="94"/>
              </w:rPr>
              <w:t>Fair Value</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96"/>
              <w:spacing w:after="0"/>
              <w:rPr>
                <w:sz w:val="20"/>
                <w:szCs w:val="20"/>
                <w:color w:val="auto"/>
              </w:rPr>
            </w:pPr>
            <w:r>
              <w:rPr>
                <w:rFonts w:ascii="Arial" w:cs="Arial" w:eastAsia="Arial" w:hAnsi="Arial"/>
                <w:sz w:val="16"/>
                <w:szCs w:val="16"/>
                <w:b w:val="1"/>
                <w:bCs w:val="1"/>
                <w:color w:val="auto"/>
                <w:w w:val="95"/>
              </w:rPr>
              <w:t>(Level 1)</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6"/>
              <w:spacing w:after="0"/>
              <w:rPr>
                <w:sz w:val="20"/>
                <w:szCs w:val="20"/>
                <w:color w:val="auto"/>
              </w:rPr>
            </w:pPr>
            <w:r>
              <w:rPr>
                <w:rFonts w:ascii="Arial" w:cs="Arial" w:eastAsia="Arial" w:hAnsi="Arial"/>
                <w:sz w:val="16"/>
                <w:szCs w:val="16"/>
                <w:b w:val="1"/>
                <w:bCs w:val="1"/>
                <w:color w:val="auto"/>
                <w:w w:val="92"/>
              </w:rPr>
              <w:t>(Level 2)</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w w:val="92"/>
              </w:rPr>
              <w:t>(Level 3)</w:t>
            </w:r>
          </w:p>
        </w:tc>
        <w:tc>
          <w:tcPr>
            <w:tcW w:w="100" w:type="dxa"/>
            <w:vAlign w:val="bottom"/>
          </w:tcPr>
          <w:p>
            <w:pPr>
              <w:spacing w:after="0"/>
              <w:rPr>
                <w:sz w:val="19"/>
                <w:szCs w:val="19"/>
                <w:color w:val="auto"/>
              </w:rPr>
            </w:pPr>
          </w:p>
        </w:tc>
      </w:tr>
      <w:tr>
        <w:trPr>
          <w:trHeight w:val="243"/>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58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580" w:type="dxa"/>
            <w:vAlign w:val="bottom"/>
            <w:shd w:val="clear" w:color="auto" w:fill="CFF0FC"/>
          </w:tcPr>
          <w:p>
            <w:pPr>
              <w:ind w:left="380"/>
              <w:spacing w:after="0" w:line="249" w:lineRule="exact"/>
              <w:rPr>
                <w:sz w:val="20"/>
                <w:szCs w:val="20"/>
                <w:color w:val="auto"/>
              </w:rPr>
            </w:pPr>
            <w:r>
              <w:rPr>
                <w:rFonts w:ascii="Arial" w:cs="Arial" w:eastAsia="Arial" w:hAnsi="Arial"/>
                <w:sz w:val="18"/>
                <w:szCs w:val="18"/>
                <w:color w:val="auto"/>
              </w:rPr>
              <w:t xml:space="preserve">Money market funds - equity securities </w:t>
            </w:r>
            <w:r>
              <w:rPr>
                <w:rFonts w:ascii="Arial" w:cs="Arial" w:eastAsia="Arial" w:hAnsi="Arial"/>
                <w:sz w:val="24"/>
                <w:szCs w:val="24"/>
                <w:color w:val="auto"/>
                <w:vertAlign w:val="superscript"/>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4,107</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ind w:left="8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43"/>
        </w:trPr>
        <w:tc>
          <w:tcPr>
            <w:tcW w:w="5580" w:type="dxa"/>
            <w:vAlign w:val="bottom"/>
          </w:tcPr>
          <w:p>
            <w:pPr>
              <w:ind w:left="380"/>
              <w:spacing w:after="0" w:line="243" w:lineRule="exact"/>
              <w:rPr>
                <w:sz w:val="20"/>
                <w:szCs w:val="20"/>
                <w:color w:val="auto"/>
              </w:rPr>
            </w:pPr>
            <w:r>
              <w:rPr>
                <w:rFonts w:ascii="Arial" w:cs="Arial" w:eastAsia="Arial" w:hAnsi="Arial"/>
                <w:sz w:val="18"/>
                <w:szCs w:val="18"/>
                <w:color w:val="auto"/>
              </w:rPr>
              <w:t xml:space="preserve">Commercial paper - debt securities </w:t>
            </w:r>
            <w:r>
              <w:rPr>
                <w:rFonts w:ascii="Arial" w:cs="Arial" w:eastAsia="Arial" w:hAnsi="Arial"/>
                <w:sz w:val="24"/>
                <w:szCs w:val="24"/>
                <w:color w:val="auto"/>
                <w:vertAlign w:val="superscript"/>
              </w:rPr>
              <w:t>(2)</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29,015</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29,015</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r>
        <w:trPr>
          <w:trHeight w:val="272"/>
        </w:trPr>
        <w:tc>
          <w:tcPr>
            <w:tcW w:w="5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33,122</w:t>
            </w:r>
          </w:p>
        </w:tc>
        <w:tc>
          <w:tcPr>
            <w:tcW w:w="24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4,107</w:t>
            </w:r>
          </w:p>
        </w:tc>
        <w:tc>
          <w:tcPr>
            <w:tcW w:w="2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29,015</w:t>
            </w:r>
          </w:p>
        </w:tc>
        <w:tc>
          <w:tcPr>
            <w:tcW w:w="2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-24765</wp:posOffset>
            </wp:positionV>
            <wp:extent cx="774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774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760" w:hanging="374"/>
        <w:spacing w:after="0" w:line="234" w:lineRule="auto"/>
        <w:tabs>
          <w:tab w:leader="none" w:pos="760" w:val="left"/>
        </w:tabs>
        <w:numPr>
          <w:ilvl w:val="0"/>
          <w:numId w:val="8"/>
        </w:numPr>
        <w:rPr>
          <w:rFonts w:ascii="Arial" w:cs="Arial" w:eastAsia="Arial" w:hAnsi="Arial"/>
          <w:sz w:val="24"/>
          <w:szCs w:val="24"/>
          <w:color w:val="auto"/>
          <w:vertAlign w:val="superscript"/>
        </w:rPr>
      </w:pPr>
      <w:r>
        <w:rPr>
          <w:rFonts w:ascii="Arial" w:cs="Arial" w:eastAsia="Arial" w:hAnsi="Arial"/>
          <w:sz w:val="18"/>
          <w:szCs w:val="18"/>
          <w:color w:val="auto"/>
        </w:rPr>
        <w:t>Reported as cash and cash equivalents in the Condensed Consolidated Balance Sheet.</w:t>
      </w:r>
    </w:p>
    <w:p>
      <w:pPr>
        <w:spacing w:after="0" w:line="2" w:lineRule="exact"/>
        <w:rPr>
          <w:rFonts w:ascii="Arial" w:cs="Arial" w:eastAsia="Arial" w:hAnsi="Arial"/>
          <w:sz w:val="24"/>
          <w:szCs w:val="24"/>
          <w:color w:val="auto"/>
          <w:vertAlign w:val="superscript"/>
        </w:rPr>
      </w:pPr>
    </w:p>
    <w:p>
      <w:pPr>
        <w:ind w:left="760" w:hanging="374"/>
        <w:spacing w:after="0" w:line="194" w:lineRule="auto"/>
        <w:tabs>
          <w:tab w:leader="none" w:pos="760" w:val="left"/>
        </w:tabs>
        <w:numPr>
          <w:ilvl w:val="0"/>
          <w:numId w:val="8"/>
        </w:numPr>
        <w:rPr>
          <w:rFonts w:ascii="Arial" w:cs="Arial" w:eastAsia="Arial" w:hAnsi="Arial"/>
          <w:sz w:val="23"/>
          <w:szCs w:val="23"/>
          <w:color w:val="auto"/>
          <w:vertAlign w:val="superscript"/>
        </w:rPr>
      </w:pPr>
      <w:r>
        <w:rPr>
          <w:rFonts w:ascii="Arial" w:cs="Arial" w:eastAsia="Arial" w:hAnsi="Arial"/>
          <w:sz w:val="17"/>
          <w:szCs w:val="17"/>
          <w:color w:val="auto"/>
        </w:rPr>
        <w:t>Reported as cash and cash equivalents as these were purchased with original maturities of three months or less at the date of purchase.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Financial Instruments Not Recorded at Fair Value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Company’s long-term debt is carried at amortized cost and is measured at fair value on a quarterly basis for disclosure purposes. The carrying amounts and estimated fair values are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September 30, 2023</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ind w:left="360"/>
              <w:spacing w:after="0"/>
              <w:rPr>
                <w:sz w:val="20"/>
                <w:szCs w:val="20"/>
                <w:color w:val="auto"/>
              </w:rPr>
            </w:pPr>
            <w:r>
              <w:rPr>
                <w:rFonts w:ascii="Arial" w:cs="Arial" w:eastAsia="Arial" w:hAnsi="Arial"/>
                <w:sz w:val="18"/>
                <w:szCs w:val="18"/>
                <w:b w:val="1"/>
                <w:bCs w:val="1"/>
                <w:color w:val="auto"/>
              </w:rPr>
              <w:t>December 31, 2022</w:t>
            </w:r>
          </w:p>
        </w:tc>
        <w:tc>
          <w:tcPr>
            <w:tcW w:w="100" w:type="dxa"/>
            <w:vAlign w:val="bottom"/>
          </w:tcPr>
          <w:p>
            <w:pPr>
              <w:spacing w:after="0"/>
              <w:rPr>
                <w:sz w:val="20"/>
                <w:szCs w:val="20"/>
                <w:color w:val="auto"/>
              </w:rPr>
            </w:pPr>
          </w:p>
        </w:tc>
      </w:tr>
      <w:tr>
        <w:trPr>
          <w:trHeight w:val="211"/>
        </w:trPr>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rPr>
              <w:t>Carrying</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Estimated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Carrying</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Estimated</w:t>
            </w:r>
          </w:p>
        </w:tc>
        <w:tc>
          <w:tcPr>
            <w:tcW w:w="100" w:type="dxa"/>
            <w:vAlign w:val="bottom"/>
          </w:tcPr>
          <w:p>
            <w:pPr>
              <w:spacing w:after="0"/>
              <w:rPr>
                <w:sz w:val="18"/>
                <w:szCs w:val="18"/>
                <w:color w:val="auto"/>
              </w:rPr>
            </w:pPr>
          </w:p>
        </w:tc>
      </w:tr>
      <w:tr>
        <w:trPr>
          <w:trHeight w:val="241"/>
        </w:trPr>
        <w:tc>
          <w:tcPr>
            <w:tcW w:w="5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243"/>
        </w:trPr>
        <w:tc>
          <w:tcPr>
            <w:tcW w:w="5840" w:type="dxa"/>
            <w:vAlign w:val="bottom"/>
            <w:tcBorders>
              <w:bottom w:val="single" w:sz="8" w:color="CFF0FC"/>
            </w:tcBorders>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Refinanced Term B Loans </w:t>
            </w:r>
            <w:r>
              <w:rPr>
                <w:rFonts w:ascii="Arial" w:cs="Arial" w:eastAsia="Arial" w:hAnsi="Arial"/>
                <w:sz w:val="24"/>
                <w:szCs w:val="24"/>
                <w:color w:val="auto"/>
                <w:vertAlign w:val="superscript"/>
              </w:rPr>
              <w:t>(1)</w:t>
            </w: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613,769</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611,467</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w w:val="89"/>
              </w:rPr>
              <w:t>729,393</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700,217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5840" w:type="dxa"/>
            <w:vAlign w:val="bottom"/>
          </w:tcPr>
          <w:p>
            <w:pPr>
              <w:ind w:left="120"/>
              <w:spacing w:after="0"/>
              <w:rPr>
                <w:sz w:val="20"/>
                <w:szCs w:val="20"/>
                <w:color w:val="auto"/>
              </w:rPr>
            </w:pPr>
            <w:r>
              <w:rPr>
                <w:rFonts w:ascii="Arial" w:cs="Arial" w:eastAsia="Arial" w:hAnsi="Arial"/>
                <w:sz w:val="18"/>
                <w:szCs w:val="18"/>
                <w:color w:val="auto"/>
              </w:rPr>
              <w:t>Total long-term debt,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613,769</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611,467</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ind w:left="380"/>
              <w:spacing w:after="0"/>
              <w:rPr>
                <w:sz w:val="20"/>
                <w:szCs w:val="20"/>
                <w:color w:val="auto"/>
              </w:rPr>
            </w:pPr>
            <w:r>
              <w:rPr>
                <w:rFonts w:ascii="Arial" w:cs="Arial" w:eastAsia="Arial" w:hAnsi="Arial"/>
                <w:sz w:val="18"/>
                <w:szCs w:val="18"/>
                <w:color w:val="auto"/>
                <w:w w:val="89"/>
              </w:rPr>
              <w:t>729,393</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700,217</w:t>
            </w:r>
          </w:p>
        </w:tc>
        <w:tc>
          <w:tcPr>
            <w:tcW w:w="100" w:type="dxa"/>
            <w:vAlign w:val="bottom"/>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-187960</wp:posOffset>
            </wp:positionV>
            <wp:extent cx="68580" cy="1885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1885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1885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95" w:lineRule="exact"/>
        <w:rPr>
          <w:sz w:val="20"/>
          <w:szCs w:val="20"/>
          <w:color w:val="auto"/>
        </w:rPr>
      </w:pPr>
    </w:p>
    <w:p>
      <w:pPr>
        <w:ind w:right="400" w:firstLine="8"/>
        <w:spacing w:after="0" w:line="267" w:lineRule="auto"/>
        <w:tabs>
          <w:tab w:leader="none" w:pos="185"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 xml:space="preserve">Carrying amounts of long-term debt are net of unamortized debt discount and issuance costs of $16.6 million and $19.9 million as of September 30, 2023 and December 31, 2022, respectively. See “Note 9 – </w:t>
      </w:r>
      <w:r>
        <w:rPr>
          <w:rFonts w:ascii="Arial" w:cs="Arial" w:eastAsia="Arial" w:hAnsi="Arial"/>
          <w:sz w:val="16"/>
          <w:szCs w:val="16"/>
          <w:i w:val="1"/>
          <w:iCs w:val="1"/>
          <w:color w:val="auto"/>
        </w:rPr>
        <w:t>Debt</w:t>
      </w:r>
      <w:r>
        <w:rPr>
          <w:rFonts w:ascii="Arial" w:cs="Arial" w:eastAsia="Arial" w:hAnsi="Arial"/>
          <w:sz w:val="16"/>
          <w:szCs w:val="16"/>
          <w:color w:val="auto"/>
        </w:rPr>
        <w:t>” for additional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If reported at fair value in the Condensed Consolidated Balance Sheets, the Company’s debt would be classified within Level 2 of the fair value hierarchy.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debt was estimated based on the quoted market prices for the same or similar issues.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the third quarter of 2023, the Company renewed a long-term license agreement with a global leader in the electronics industry, covering our media portfolio as it pertains to its mobile devices. A portion of the consideration for the license agreement was in the form of patents, which the Company received in September of 2023. The Company estimated the fair value of the patents to be $4.4 million and included it as part of the transaction price for revenue recognition purposes. The fair value of these assets was measured using both the market approach – estimating the value of the acquired assets by way of comparison with other comparable transactions, and the cost approach – estimating the value of the acquired assets based on the cost it would take for the Company to create a comparable set of assets through its own research and development (“R&amp;D”) and patent prosecution efforts. The estimated fair value of the patents represents a Level 3 fair value measurement and the value of the patents is amortized as a non-cash expense over the patents’ estimated useful lives.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DISCONTINUED OPERATIONS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On October 1, 2022, the Company completed the Separation of its product business into a separate, independent, publicly-traded company, Xperi Inc. The accounting requirements for reporting the Separation of Xperi Inc. as a discontinued operation were met when the Separation was completed. Accordingly, the historical financial results of Xperi Inc. prior to the Separation are presented as discontinued operations and, as such, are excluded from continuing operations and results of operations from all periods presented. For further information on the Separation, see “Note 1 </w:t>
      </w:r>
      <w:r>
        <w:rPr>
          <w:rFonts w:ascii="Arial" w:cs="Arial" w:eastAsia="Arial" w:hAnsi="Arial"/>
          <w:sz w:val="18"/>
          <w:szCs w:val="18"/>
          <w:i w:val="1"/>
          <w:iCs w:val="1"/>
          <w:color w:val="auto"/>
        </w:rPr>
        <w:t>– The Company and 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w:t>
      </w:r>
      <w:r>
        <w:rPr>
          <w:rFonts w:ascii="Arial" w:cs="Arial" w:eastAsia="Arial" w:hAnsi="Arial"/>
          <w:sz w:val="18"/>
          <w:szCs w:val="18"/>
          <w:color w:val="auto"/>
        </w:rPr>
        <w:t>”.</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Company’s presentation of discontinued operations excludes general corporate overhead costs, which were historically allocated to Xperi Inc., that do not meet the requirements to be presented in discontinued operations, although such costs are not reflective of the on-going operations of the Company. Such allocations included labor and non-labor costs related to the Company’s corporate support functions (e.g., administration, human resources, finance, accounting, tax, information technology, corporate development, legal, among others) that historically provided support to Xperi Inc. prior to the Separation. In addition, discontinued operations excludes the historical intercompany balances and transactions between the Company and Xperi Inc. that were eliminated in consolidation.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ind w:right="40"/>
        <w:spacing w:after="0" w:line="291" w:lineRule="auto"/>
        <w:rPr>
          <w:sz w:val="20"/>
          <w:szCs w:val="20"/>
          <w:color w:val="auto"/>
        </w:rPr>
      </w:pPr>
      <w:r>
        <w:rPr>
          <w:rFonts w:ascii="Arial" w:cs="Arial" w:eastAsia="Arial" w:hAnsi="Arial"/>
          <w:sz w:val="16"/>
          <w:szCs w:val="16"/>
          <w:color w:val="auto"/>
        </w:rPr>
        <w:t>In connection with the Separation, the Company incurred separation costs of $44.6 million from January 1, 2020 to September 30, 2023. Separation costs primarily consist of third-party advisory, consulting, legal and professional services, IT and employee bonus costs directly related to the Separation, as well as other items that are incremental and one-time in nature. Out of these costs, $28.6 million were incurred prior to the Separation and are included in net loss from discontinued operations, net of tax. The remaining separation costs of $16.0 million were incurred after the Separation and are reflected in continuing operations within operating expenses in the Company’s Condensed Consolidated Statement of Operations. During the three and nine months ended September 30, 2022, the Company incurred $11.1 and $17.0 million in separation costs, respectively, which are included in net loss from discontinued operations, net of tax. During the three and nine months ended September 30, 2023, separation costs were not material.</w:t>
      </w:r>
    </w:p>
    <w:p>
      <w:pPr>
        <w:spacing w:after="0" w:line="16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and Xperi Inc. entered into various agreements to effect the Separation and provide a framework for their on-going relationship, including a separation and distribution agreement, transition services agreement, employee matters agreement, tax matters agreement, cross business license agreement and data sharing agreement. The transition services agreement consists of services that Xperi Inc. and its subsidiaries will provide to the Company and its subsidiaries for a transitional period, as defined in the agreement. The services to be provided include back office functions and assistance with regard to administrative tasks relating to day-to-day activities as needed, including finance, accounting and tax activities, IT services, customer support, facilities services, human resources, and general corporate support, as well as pass-through services provided by certain vendors. The impact of these transition services on the Company’s Condensed Consolidated Financial Statements for the three and nine months ended September 30, 2023 was not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from Discontinued Operations, Net of Tax</w:t>
      </w:r>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financial results of Xperi Inc. for the three and nine months ended September 30, 2022 are presented as net loss from discontinued operations, net of tax, in the Condensed Consolidated Statements of Operations. The following table presents financial results of Xperi Inc.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2"/>
          </w:tcPr>
          <w:p>
            <w:pPr>
              <w:jc w:val="right"/>
              <w:ind w:right="621"/>
              <w:spacing w:after="0"/>
              <w:rPr>
                <w:sz w:val="20"/>
                <w:szCs w:val="20"/>
                <w:color w:val="auto"/>
              </w:rPr>
            </w:pPr>
            <w:r>
              <w:rPr>
                <w:rFonts w:ascii="Arial" w:cs="Arial" w:eastAsia="Arial" w:hAnsi="Arial"/>
                <w:sz w:val="18"/>
                <w:szCs w:val="18"/>
                <w:b w:val="1"/>
                <w:bCs w:val="1"/>
                <w:color w:val="auto"/>
                <w:w w:val="98"/>
              </w:rPr>
              <w:t>Three Months Ended</w:t>
            </w:r>
          </w:p>
        </w:tc>
        <w:tc>
          <w:tcPr>
            <w:tcW w:w="280" w:type="dxa"/>
            <w:vAlign w:val="bottom"/>
          </w:tcPr>
          <w:p>
            <w:pPr>
              <w:spacing w:after="0"/>
              <w:rPr>
                <w:sz w:val="18"/>
                <w:szCs w:val="18"/>
                <w:color w:val="auto"/>
              </w:rPr>
            </w:pPr>
          </w:p>
        </w:tc>
        <w:tc>
          <w:tcPr>
            <w:tcW w:w="2260" w:type="dxa"/>
            <w:vAlign w:val="bottom"/>
            <w:gridSpan w:val="2"/>
          </w:tcPr>
          <w:p>
            <w:pPr>
              <w:jc w:val="right"/>
              <w:ind w:right="481"/>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41"/>
        </w:trPr>
        <w:tc>
          <w:tcPr>
            <w:tcW w:w="47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2"/>
          </w:tcPr>
          <w:p>
            <w:pPr>
              <w:jc w:val="right"/>
              <w:ind w:right="701"/>
              <w:spacing w:after="0"/>
              <w:rPr>
                <w:sz w:val="20"/>
                <w:szCs w:val="20"/>
                <w:color w:val="auto"/>
              </w:rPr>
            </w:pPr>
            <w:r>
              <w:rPr>
                <w:rFonts w:ascii="Arial" w:cs="Arial" w:eastAsia="Arial" w:hAnsi="Arial"/>
                <w:sz w:val="18"/>
                <w:szCs w:val="18"/>
                <w:b w:val="1"/>
                <w:bCs w:val="1"/>
                <w:color w:val="auto"/>
                <w:w w:val="99"/>
              </w:rPr>
              <w:t>September 30, 2022</w:t>
            </w:r>
          </w:p>
        </w:tc>
        <w:tc>
          <w:tcPr>
            <w:tcW w:w="280" w:type="dxa"/>
            <w:vAlign w:val="bottom"/>
          </w:tcPr>
          <w:p>
            <w:pPr>
              <w:spacing w:after="0"/>
              <w:rPr>
                <w:sz w:val="20"/>
                <w:szCs w:val="20"/>
                <w:color w:val="auto"/>
              </w:rPr>
            </w:pPr>
          </w:p>
        </w:tc>
        <w:tc>
          <w:tcPr>
            <w:tcW w:w="2260" w:type="dxa"/>
            <w:vAlign w:val="bottom"/>
            <w:gridSpan w:val="2"/>
          </w:tcPr>
          <w:p>
            <w:pPr>
              <w:jc w:val="right"/>
              <w:ind w:right="501"/>
              <w:spacing w:after="0"/>
              <w:rPr>
                <w:sz w:val="20"/>
                <w:szCs w:val="20"/>
                <w:color w:val="auto"/>
              </w:rPr>
            </w:pPr>
            <w:r>
              <w:rPr>
                <w:rFonts w:ascii="Arial" w:cs="Arial" w:eastAsia="Arial" w:hAnsi="Arial"/>
                <w:sz w:val="18"/>
                <w:szCs w:val="18"/>
                <w:b w:val="1"/>
                <w:bCs w:val="1"/>
                <w:color w:val="auto"/>
                <w:w w:val="98"/>
              </w:rPr>
              <w:t>September 30, 2022</w:t>
            </w:r>
          </w:p>
        </w:tc>
        <w:tc>
          <w:tcPr>
            <w:tcW w:w="0" w:type="dxa"/>
            <w:vAlign w:val="bottom"/>
          </w:tcPr>
          <w:p>
            <w:pPr>
              <w:spacing w:after="0"/>
              <w:rPr>
                <w:sz w:val="1"/>
                <w:szCs w:val="1"/>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Revenue</w:t>
            </w:r>
          </w:p>
        </w:tc>
        <w:tc>
          <w:tcPr>
            <w:tcW w:w="124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121,644</w:t>
            </w:r>
          </w:p>
        </w:tc>
        <w:tc>
          <w:tcPr>
            <w:tcW w:w="3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366,735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200"/>
              <w:spacing w:after="0"/>
              <w:rPr>
                <w:sz w:val="20"/>
                <w:szCs w:val="20"/>
                <w:color w:val="auto"/>
              </w:rPr>
            </w:pPr>
            <w:r>
              <w:rPr>
                <w:rFonts w:ascii="Arial" w:cs="Arial" w:eastAsia="Arial" w:hAnsi="Arial"/>
                <w:sz w:val="18"/>
                <w:szCs w:val="18"/>
                <w:color w:val="auto"/>
              </w:rPr>
              <w:t>Cost of revenue</w:t>
            </w: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31,403</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85,689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57,069</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49,465</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123,794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expense</w:t>
            </w: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5,025</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200"/>
              <w:spacing w:after="0"/>
              <w:rPr>
                <w:sz w:val="20"/>
                <w:szCs w:val="20"/>
                <w:color w:val="auto"/>
              </w:rPr>
            </w:pPr>
            <w:r>
              <w:rPr>
                <w:rFonts w:ascii="Arial" w:cs="Arial" w:eastAsia="Arial" w:hAnsi="Arial"/>
                <w:sz w:val="18"/>
                <w:szCs w:val="18"/>
                <w:color w:val="auto"/>
              </w:rPr>
              <w:t>Amortization expense</w:t>
            </w: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16,613</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46,166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Litigation expense</w:t>
            </w: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8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(73 )</w:t>
            </w:r>
          </w:p>
        </w:tc>
        <w:tc>
          <w:tcPr>
            <w:tcW w:w="280" w:type="dxa"/>
            <w:vAlign w:val="bottom"/>
            <w:shd w:val="clear" w:color="auto" w:fill="CFF0FC"/>
          </w:tcPr>
          <w:p>
            <w:pPr>
              <w:spacing w:after="0"/>
              <w:rPr>
                <w:sz w:val="21"/>
                <w:szCs w:val="21"/>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1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354,000</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1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2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513,502</w:t>
            </w: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784,949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2"/>
          </w:tcPr>
          <w:p>
            <w:pPr>
              <w:jc w:val="right"/>
              <w:ind w:right="161"/>
              <w:spacing w:after="0"/>
              <w:rPr>
                <w:sz w:val="20"/>
                <w:szCs w:val="20"/>
                <w:color w:val="auto"/>
              </w:rPr>
            </w:pPr>
            <w:r>
              <w:rPr>
                <w:rFonts w:ascii="Arial" w:cs="Arial" w:eastAsia="Arial" w:hAnsi="Arial"/>
                <w:sz w:val="18"/>
                <w:szCs w:val="18"/>
                <w:color w:val="auto"/>
              </w:rPr>
              <w:t>(391,858 )</w:t>
            </w:r>
          </w:p>
        </w:tc>
        <w:tc>
          <w:tcPr>
            <w:tcW w:w="280" w:type="dxa"/>
            <w:vAlign w:val="bottom"/>
          </w:tcPr>
          <w:p>
            <w:pPr>
              <w:spacing w:after="0"/>
              <w:rPr>
                <w:sz w:val="20"/>
                <w:szCs w:val="20"/>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(418,214 )</w:t>
            </w:r>
          </w:p>
        </w:tc>
        <w:tc>
          <w:tcPr>
            <w:tcW w:w="0" w:type="dxa"/>
            <w:vAlign w:val="bottom"/>
          </w:tcPr>
          <w:p>
            <w:pPr>
              <w:spacing w:after="0"/>
              <w:rPr>
                <w:sz w:val="1"/>
                <w:szCs w:val="1"/>
                <w:color w:val="auto"/>
              </w:rPr>
            </w:pPr>
          </w:p>
        </w:tc>
      </w:tr>
      <w:tr>
        <w:trPr>
          <w:trHeight w:val="243"/>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and expense, net</w:t>
            </w: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8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(1,154 )</w:t>
            </w:r>
          </w:p>
        </w:tc>
        <w:tc>
          <w:tcPr>
            <w:tcW w:w="280" w:type="dxa"/>
            <w:vAlign w:val="bottom"/>
            <w:shd w:val="clear" w:color="auto" w:fill="CFF0FC"/>
          </w:tcPr>
          <w:p>
            <w:pPr>
              <w:spacing w:after="0"/>
              <w:rPr>
                <w:sz w:val="21"/>
                <w:szCs w:val="21"/>
                <w:color w:val="auto"/>
              </w:rPr>
            </w:pPr>
          </w:p>
        </w:tc>
        <w:tc>
          <w:tcPr>
            <w:tcW w:w="2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(698 )</w:t>
            </w:r>
          </w:p>
        </w:tc>
        <w:tc>
          <w:tcPr>
            <w:tcW w:w="0" w:type="dxa"/>
            <w:vAlign w:val="bottom"/>
          </w:tcPr>
          <w:p>
            <w:pPr>
              <w:spacing w:after="0"/>
              <w:rPr>
                <w:sz w:val="1"/>
                <w:szCs w:val="1"/>
                <w:color w:val="auto"/>
              </w:rPr>
            </w:pPr>
          </w:p>
        </w:tc>
      </w:tr>
      <w:tr>
        <w:trPr>
          <w:trHeight w:val="20"/>
        </w:trPr>
        <w:tc>
          <w:tcPr>
            <w:tcW w:w="472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Loss before taxes</w:t>
            </w: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2"/>
          </w:tcPr>
          <w:p>
            <w:pPr>
              <w:jc w:val="right"/>
              <w:ind w:right="161"/>
              <w:spacing w:after="0"/>
              <w:rPr>
                <w:sz w:val="20"/>
                <w:szCs w:val="20"/>
                <w:color w:val="auto"/>
              </w:rPr>
            </w:pPr>
            <w:r>
              <w:rPr>
                <w:rFonts w:ascii="Arial" w:cs="Arial" w:eastAsia="Arial" w:hAnsi="Arial"/>
                <w:sz w:val="18"/>
                <w:szCs w:val="18"/>
                <w:color w:val="auto"/>
              </w:rPr>
              <w:t>(393,012 )</w:t>
            </w:r>
          </w:p>
        </w:tc>
        <w:tc>
          <w:tcPr>
            <w:tcW w:w="280" w:type="dxa"/>
            <w:vAlign w:val="bottom"/>
          </w:tcPr>
          <w:p>
            <w:pPr>
              <w:spacing w:after="0"/>
              <w:rPr>
                <w:sz w:val="20"/>
                <w:szCs w:val="20"/>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(418,912 )</w:t>
            </w:r>
          </w:p>
        </w:tc>
        <w:tc>
          <w:tcPr>
            <w:tcW w:w="0" w:type="dxa"/>
            <w:vAlign w:val="bottom"/>
          </w:tcPr>
          <w:p>
            <w:pPr>
              <w:spacing w:after="0"/>
              <w:rPr>
                <w:sz w:val="1"/>
                <w:szCs w:val="1"/>
                <w:color w:val="auto"/>
              </w:rPr>
            </w:pPr>
          </w:p>
        </w:tc>
      </w:tr>
      <w:tr>
        <w:trPr>
          <w:trHeight w:val="243"/>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8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(9,536 )</w:t>
            </w:r>
          </w:p>
        </w:tc>
        <w:tc>
          <w:tcPr>
            <w:tcW w:w="280" w:type="dxa"/>
            <w:vAlign w:val="bottom"/>
            <w:shd w:val="clear" w:color="auto" w:fill="CFF0FC"/>
          </w:tcPr>
          <w:p>
            <w:pPr>
              <w:spacing w:after="0"/>
              <w:rPr>
                <w:sz w:val="21"/>
                <w:szCs w:val="21"/>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2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Net loss from discontinued operations, net of tax</w:t>
            </w:r>
          </w:p>
        </w:tc>
        <w:tc>
          <w:tcPr>
            <w:tcW w:w="1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480" w:type="dxa"/>
            <w:vAlign w:val="bottom"/>
            <w:gridSpan w:val="2"/>
          </w:tcPr>
          <w:p>
            <w:pPr>
              <w:jc w:val="right"/>
              <w:ind w:right="161"/>
              <w:spacing w:after="0"/>
              <w:rPr>
                <w:sz w:val="20"/>
                <w:szCs w:val="20"/>
                <w:color w:val="auto"/>
              </w:rPr>
            </w:pPr>
            <w:r>
              <w:rPr>
                <w:rFonts w:ascii="Arial" w:cs="Arial" w:eastAsia="Arial" w:hAnsi="Arial"/>
                <w:sz w:val="18"/>
                <w:szCs w:val="18"/>
                <w:color w:val="auto"/>
              </w:rPr>
              <w:t>(383,476 )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(436,978 )</w:t>
            </w:r>
          </w:p>
        </w:tc>
        <w:tc>
          <w:tcPr>
            <w:tcW w:w="0" w:type="dxa"/>
            <w:vAlign w:val="bottom"/>
          </w:tcPr>
          <w:p>
            <w:pPr>
              <w:spacing w:after="0"/>
              <w:rPr>
                <w:sz w:val="1"/>
                <w:szCs w:val="1"/>
                <w:color w:val="auto"/>
              </w:rPr>
            </w:pPr>
          </w:p>
        </w:tc>
      </w:tr>
      <w:tr>
        <w:trPr>
          <w:trHeight w:val="236"/>
        </w:trPr>
        <w:tc>
          <w:tcPr>
            <w:tcW w:w="4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Less: net loss attributable to noncontrolling interest</w:t>
            </w:r>
          </w:p>
        </w:tc>
        <w:tc>
          <w:tcPr>
            <w:tcW w:w="1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2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2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Net loss attributable to discontinued operations</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2480" w:type="dxa"/>
            <w:vAlign w:val="bottom"/>
            <w:gridSpan w:val="2"/>
          </w:tcPr>
          <w:p>
            <w:pPr>
              <w:jc w:val="right"/>
              <w:ind w:right="161"/>
              <w:spacing w:after="0"/>
              <w:rPr>
                <w:sz w:val="20"/>
                <w:szCs w:val="20"/>
                <w:color w:val="auto"/>
              </w:rPr>
            </w:pPr>
            <w:r>
              <w:rPr>
                <w:rFonts w:ascii="Arial" w:cs="Arial" w:eastAsia="Arial" w:hAnsi="Arial"/>
                <w:sz w:val="18"/>
                <w:szCs w:val="18"/>
                <w:color w:val="auto"/>
              </w:rPr>
              <w:t>(382,586 )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(434,272 )</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240" w:type="dxa"/>
            <w:vAlign w:val="bottom"/>
            <w:vMerge w:val="restart"/>
          </w:tcPr>
          <w:p>
            <w:pPr>
              <w:jc w:val="right"/>
              <w:ind w:right="150"/>
              <w:spacing w:after="0"/>
              <w:rPr>
                <w:sz w:val="20"/>
                <w:szCs w:val="20"/>
                <w:color w:val="auto"/>
              </w:rPr>
            </w:pPr>
            <w:r>
              <w:rPr>
                <w:rFonts w:ascii="Arial" w:cs="Arial" w:eastAsia="Arial" w:hAnsi="Arial"/>
                <w:sz w:val="18"/>
                <w:szCs w:val="18"/>
                <w:color w:val="auto"/>
              </w:rPr>
              <w:t>21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7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7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1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-1636395</wp:posOffset>
            </wp:positionV>
            <wp:extent cx="68580" cy="1625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1625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-1319530</wp:posOffset>
            </wp:positionV>
            <wp:extent cx="68580" cy="1631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1631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-1002030</wp:posOffset>
            </wp:positionV>
            <wp:extent cx="68580" cy="1714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1714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-676275</wp:posOffset>
            </wp:positionV>
            <wp:extent cx="68580" cy="1885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1885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Transactions of Discontinued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transactions have been included as part of discontinued operations for all the periods presented.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Company completed certain acquisitions that were accounted for as business combinations, using the acquisition method. The assets and liabilities and results of operations following the business combinations were attributed to the Company’s former product business. The results of operations are presented in the Condensed Consolidated Statements of Operations for all periods as net loss from discontinued operations, net of tax.</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Vewd Software Holdings Limited</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On July 1, 2022, the Company completed the acquisition of Vewd Software Holdings Limited (“Vewd” and the acquisition, the “Vewd Acquisition”), a provider of over-the-top (“OTT”) and hybrid TV solutions. The total consideration was approximately $102.9 million, consisting of approximately $52.9 million of cash and $50.0 million of debt.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Allocation</w:t>
      </w:r>
    </w:p>
    <w:p>
      <w:pPr>
        <w:spacing w:after="0" w:line="229"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The Vewd Acquisition was accounted for as a business combination, using the acquisition method. The following table presents the allocation of the purchase price to the identifiable assets acquired and liabilities assumed based on their fair values at the acquisition date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660" w:type="dxa"/>
            <w:vAlign w:val="bottom"/>
          </w:tcPr>
          <w:p>
            <w:pPr>
              <w:ind w:left="260"/>
              <w:spacing w:after="0"/>
              <w:rPr>
                <w:sz w:val="20"/>
                <w:szCs w:val="20"/>
                <w:color w:val="auto"/>
              </w:rPr>
            </w:pPr>
            <w:r>
              <w:rPr>
                <w:rFonts w:ascii="Arial" w:cs="Arial" w:eastAsia="Arial" w:hAnsi="Arial"/>
                <w:sz w:val="18"/>
                <w:szCs w:val="18"/>
                <w:b w:val="1"/>
                <w:bCs w:val="1"/>
                <w:color w:val="auto"/>
                <w:w w:val="94"/>
              </w:rPr>
              <w:t>Estimated Useful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41"/>
        </w:trPr>
        <w:tc>
          <w:tcPr>
            <w:tcW w:w="6200" w:type="dxa"/>
            <w:vAlign w:val="bottom"/>
          </w:tcPr>
          <w:p>
            <w:pPr>
              <w:spacing w:after="0"/>
              <w:rPr>
                <w:sz w:val="20"/>
                <w:szCs w:val="20"/>
                <w:color w:val="auto"/>
              </w:rPr>
            </w:pPr>
          </w:p>
        </w:tc>
        <w:tc>
          <w:tcPr>
            <w:tcW w:w="1660" w:type="dxa"/>
            <w:vAlign w:val="bottom"/>
          </w:tcPr>
          <w:p>
            <w:pPr>
              <w:ind w:left="500"/>
              <w:spacing w:after="0"/>
              <w:rPr>
                <w:sz w:val="20"/>
                <w:szCs w:val="20"/>
                <w:color w:val="auto"/>
              </w:rPr>
            </w:pPr>
            <w:r>
              <w:rPr>
                <w:rFonts w:ascii="Arial" w:cs="Arial" w:eastAsia="Arial" w:hAnsi="Arial"/>
                <w:sz w:val="18"/>
                <w:szCs w:val="18"/>
                <w:b w:val="1"/>
                <w:bCs w:val="1"/>
                <w:color w:val="auto"/>
              </w:rPr>
              <w:t>Life (years)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660" w:type="dxa"/>
            <w:vAlign w:val="bottom"/>
            <w:tcBorders>
              <w:top w:val="single" w:sz="8" w:color="auto"/>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8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Unbilled contracts receivable</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8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8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Identifiable intangible assets:</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gridSpan w:val="2"/>
          </w:tcPr>
          <w:p>
            <w:pPr>
              <w:ind w:left="120"/>
              <w:spacing w:after="0"/>
              <w:rPr>
                <w:sz w:val="20"/>
                <w:szCs w:val="20"/>
                <w:color w:val="auto"/>
              </w:rPr>
            </w:pPr>
            <w:r>
              <w:rPr>
                <w:rFonts w:ascii="Arial" w:cs="Arial" w:eastAsia="Arial" w:hAnsi="Arial"/>
                <w:sz w:val="18"/>
                <w:szCs w:val="18"/>
                <w:color w:val="auto"/>
              </w:rPr>
              <w:t>Technology</w:t>
            </w:r>
          </w:p>
        </w:tc>
        <w:tc>
          <w:tcPr>
            <w:tcW w:w="180" w:type="dxa"/>
            <w:vAlign w:val="bottom"/>
          </w:tcPr>
          <w:p>
            <w:pPr>
              <w:jc w:val="right"/>
              <w:spacing w:after="0"/>
              <w:rPr>
                <w:sz w:val="20"/>
                <w:szCs w:val="20"/>
                <w:color w:val="auto"/>
              </w:rPr>
            </w:pPr>
            <w:r>
              <w:rPr>
                <w:rFonts w:ascii="Arial" w:cs="Arial" w:eastAsia="Arial" w:hAnsi="Arial"/>
                <w:sz w:val="18"/>
                <w:szCs w:val="18"/>
                <w:color w:val="auto"/>
              </w:rPr>
              <w:t>7</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28,050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8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Customer relationships − large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4,900</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gridSpan w:val="2"/>
          </w:tcPr>
          <w:p>
            <w:pPr>
              <w:ind w:left="120"/>
              <w:spacing w:after="0"/>
              <w:rPr>
                <w:sz w:val="20"/>
                <w:szCs w:val="20"/>
                <w:color w:val="auto"/>
              </w:rPr>
            </w:pPr>
            <w:r>
              <w:rPr>
                <w:rFonts w:ascii="Arial" w:cs="Arial" w:eastAsia="Arial" w:hAnsi="Arial"/>
                <w:sz w:val="18"/>
                <w:szCs w:val="18"/>
                <w:color w:val="auto"/>
              </w:rPr>
              <w:t>Customer relationships − small</w:t>
            </w:r>
          </w:p>
        </w:tc>
        <w:tc>
          <w:tcPr>
            <w:tcW w:w="180" w:type="dxa"/>
            <w:vAlign w:val="bottom"/>
          </w:tcPr>
          <w:p>
            <w:pPr>
              <w:jc w:val="right"/>
              <w:spacing w:after="0"/>
              <w:rPr>
                <w:sz w:val="20"/>
                <w:szCs w:val="20"/>
                <w:color w:val="auto"/>
              </w:rPr>
            </w:pPr>
            <w:r>
              <w:rPr>
                <w:rFonts w:ascii="Arial" w:cs="Arial" w:eastAsia="Arial" w:hAnsi="Arial"/>
                <w:sz w:val="18"/>
                <w:szCs w:val="18"/>
                <w:color w:val="auto"/>
              </w:rPr>
              <w:t>4</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3,500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8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Non-compete agreements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870</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gridSpan w:val="2"/>
          </w:tcPr>
          <w:p>
            <w:pPr>
              <w:ind w:left="120"/>
              <w:spacing w:after="0"/>
              <w:rPr>
                <w:sz w:val="20"/>
                <w:szCs w:val="20"/>
                <w:color w:val="auto"/>
              </w:rPr>
            </w:pPr>
            <w:r>
              <w:rPr>
                <w:rFonts w:ascii="Arial" w:cs="Arial" w:eastAsia="Arial" w:hAnsi="Arial"/>
                <w:sz w:val="18"/>
                <w:szCs w:val="18"/>
                <w:color w:val="auto"/>
              </w:rPr>
              <w:t>Trade name</w:t>
            </w:r>
          </w:p>
        </w:tc>
        <w:tc>
          <w:tcPr>
            <w:tcW w:w="180" w:type="dxa"/>
            <w:vAlign w:val="bottom"/>
          </w:tcPr>
          <w:p>
            <w:pPr>
              <w:jc w:val="right"/>
              <w:spacing w:after="0"/>
              <w:rPr>
                <w:sz w:val="20"/>
                <w:szCs w:val="20"/>
                <w:color w:val="auto"/>
              </w:rPr>
            </w:pPr>
            <w:r>
              <w:rPr>
                <w:rFonts w:ascii="Arial" w:cs="Arial" w:eastAsia="Arial" w:hAnsi="Arial"/>
                <w:sz w:val="18"/>
                <w:szCs w:val="18"/>
                <w:color w:val="auto"/>
              </w:rPr>
              <w:t>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830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Total identifiable intangible assets</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68,115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8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Other long-term assets</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(6,566 )</w:t>
            </w:r>
          </w:p>
        </w:tc>
        <w:tc>
          <w:tcPr>
            <w:tcW w:w="0" w:type="dxa"/>
            <w:vAlign w:val="bottom"/>
          </w:tcPr>
          <w:p>
            <w:pPr>
              <w:spacing w:after="0"/>
              <w:rPr>
                <w:sz w:val="1"/>
                <w:szCs w:val="1"/>
                <w:color w:val="auto"/>
              </w:rPr>
            </w:pPr>
          </w:p>
        </w:tc>
      </w:tr>
      <w:tr>
        <w:trPr>
          <w:trHeight w:val="249"/>
        </w:trPr>
        <w:tc>
          <w:tcPr>
            <w:tcW w:w="78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Long-term deferred tax liabilities</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(8,393 )</w:t>
            </w:r>
          </w:p>
        </w:tc>
        <w:tc>
          <w:tcPr>
            <w:tcW w:w="0" w:type="dxa"/>
            <w:vAlign w:val="bottom"/>
          </w:tcPr>
          <w:p>
            <w:pPr>
              <w:spacing w:after="0"/>
              <w:rPr>
                <w:sz w:val="1"/>
                <w:szCs w:val="1"/>
                <w:color w:val="auto"/>
              </w:rPr>
            </w:pPr>
          </w:p>
        </w:tc>
      </w:tr>
      <w:tr>
        <w:trPr>
          <w:trHeight w:val="237"/>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(1,094 )</w:t>
            </w:r>
          </w:p>
        </w:tc>
        <w:tc>
          <w:tcPr>
            <w:tcW w:w="0" w:type="dxa"/>
            <w:vAlign w:val="bottom"/>
          </w:tcPr>
          <w:p>
            <w:pPr>
              <w:spacing w:after="0"/>
              <w:rPr>
                <w:sz w:val="1"/>
                <w:szCs w:val="1"/>
                <w:color w:val="auto"/>
              </w:rPr>
            </w:pPr>
          </w:p>
        </w:tc>
      </w:tr>
      <w:tr>
        <w:trPr>
          <w:trHeight w:val="243"/>
        </w:trPr>
        <w:tc>
          <w:tcPr>
            <w:tcW w:w="78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(307 )</w:t>
            </w:r>
          </w:p>
        </w:tc>
        <w:tc>
          <w:tcPr>
            <w:tcW w:w="0" w:type="dxa"/>
            <w:vAlign w:val="bottom"/>
          </w:tcPr>
          <w:p>
            <w:pPr>
              <w:spacing w:after="0"/>
              <w:rPr>
                <w:sz w:val="1"/>
                <w:szCs w:val="1"/>
                <w:color w:val="auto"/>
              </w:rPr>
            </w:pPr>
          </w:p>
        </w:tc>
      </w:tr>
      <w:tr>
        <w:trPr>
          <w:trHeight w:val="236"/>
        </w:trPr>
        <w:tc>
          <w:tcPr>
            <w:tcW w:w="7860" w:type="dxa"/>
            <w:vAlign w:val="bottom"/>
            <w:tcBorders>
              <w:top w:val="single" w:sz="8" w:color="CFF0FC"/>
            </w:tcBorders>
            <w:gridSpan w:val="2"/>
          </w:tcPr>
          <w:p>
            <w:pPr>
              <w:ind w:left="120"/>
              <w:spacing w:after="0"/>
              <w:rPr>
                <w:sz w:val="20"/>
                <w:szCs w:val="20"/>
                <w:color w:val="auto"/>
              </w:rPr>
            </w:pPr>
            <w:r>
              <w:rPr>
                <w:rFonts w:ascii="Arial" w:cs="Arial" w:eastAsia="Arial" w:hAnsi="Arial"/>
                <w:sz w:val="18"/>
                <w:szCs w:val="18"/>
                <w:color w:val="auto"/>
              </w:rPr>
              <w:t>Total purchase price</w:t>
            </w:r>
          </w:p>
        </w:tc>
        <w:tc>
          <w:tcPr>
            <w:tcW w:w="180" w:type="dxa"/>
            <w:vAlign w:val="bottom"/>
            <w:tcBorders>
              <w:top w:val="single" w:sz="8" w:color="CFF0FC"/>
            </w:tcBorders>
          </w:tcPr>
          <w:p>
            <w:pPr>
              <w:spacing w:after="0"/>
              <w:rPr>
                <w:sz w:val="20"/>
                <w:szCs w:val="20"/>
                <w:color w:val="auto"/>
              </w:rPr>
            </w:pPr>
          </w:p>
        </w:tc>
        <w:tc>
          <w:tcPr>
            <w:tcW w:w="1400" w:type="dxa"/>
            <w:vAlign w:val="bottom"/>
            <w:tcBorders>
              <w:top w:val="single" w:sz="8" w:color="CFF0FC"/>
            </w:tcBorders>
            <w:gridSpan w:val="3"/>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102,913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ind w:left="5540"/>
              <w:spacing w:after="0"/>
              <w:rPr>
                <w:sz w:val="20"/>
                <w:szCs w:val="20"/>
                <w:color w:val="auto"/>
              </w:rPr>
            </w:pPr>
            <w:r>
              <w:rPr>
                <w:rFonts w:ascii="Arial" w:cs="Arial" w:eastAsia="Arial" w:hAnsi="Arial"/>
                <w:sz w:val="18"/>
                <w:szCs w:val="18"/>
                <w:color w:val="auto"/>
              </w:rPr>
              <w:t>22</w:t>
            </w: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20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20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1885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ind w:right="580"/>
        <w:spacing w:after="0" w:line="308" w:lineRule="auto"/>
        <w:rPr>
          <w:sz w:val="20"/>
          <w:szCs w:val="20"/>
          <w:color w:val="auto"/>
        </w:rPr>
      </w:pPr>
      <w:r>
        <w:rPr>
          <w:rFonts w:ascii="Arial" w:cs="Arial" w:eastAsia="Arial" w:hAnsi="Arial"/>
          <w:sz w:val="17"/>
          <w:szCs w:val="17"/>
          <w:color w:val="auto"/>
        </w:rPr>
        <w:t>The above purchase price allocation, including the purchase consideration, was based on valuations and assumptions, including potential changes to prepaid income taxes, current and non-current income taxes payable, deferred taxes, and other working capital adjustments.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Vewd Results of Operations</w:t>
      </w:r>
    </w:p>
    <w:p>
      <w:pPr>
        <w:spacing w:after="0" w:line="22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results of operations and cash flows related to the Vewd Acquisition were included in the Company’s Condensed Consolidated Financial Statements for periods subsequent to July 1, 2022, and the related assets and liabilities were recorded at their estimated fair values in the Company’s Condensed Consolidated Balance Sheet as of July 1, 2022. For the three and nine months ended September 30, 2022, the acquired Vewd business contributed $2.5 million of revenue and $10.1 million of operating loss, respectively, to the Company’s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Costs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Vewd Acquisition, the Company incurred one-time expenses such as transaction related costs and severance and retention costs. For the three and nine months ended September 30, 2022, transaction related costs, including transaction bonuses, legal and consultant fees were $4.0 million and $6.1 million, respectively. For the three and nine months ended September 30, 2022, severance and retention costs associated with the Vewd Acquisition were $2.1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Pro forma Information</w:t>
      </w:r>
    </w:p>
    <w:p>
      <w:pPr>
        <w:spacing w:after="0" w:line="22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following unaudited pro forma financial information assumes the Vewd Acquisition was completed as of January 1, 2021. The unaudited pro forma financial information as presented below is for information purposes only and is based on estimates and assumptions that have been made solely for purposes of developing such pro forma information. This is not necessarily indicative of the results of operations that would have been achieved if the Vewd Acquisition had taken place on January 1, 2021, nor is it necessarily indicative of future results. Consequently, actual results could differ materially from the unaudited pro forma financial information presented below. The following table presents the pro forma operating results as if the acquired operations of Vewd had been included in the Company’s Consolidated Statements of Operations as of January 1, 2021 (unaudited,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20" w:type="dxa"/>
            <w:vAlign w:val="bottom"/>
          </w:tcPr>
          <w:p>
            <w:pPr>
              <w:spacing w:after="0"/>
              <w:rPr>
                <w:sz w:val="18"/>
                <w:szCs w:val="18"/>
                <w:color w:val="auto"/>
              </w:rPr>
            </w:pPr>
          </w:p>
        </w:tc>
        <w:tc>
          <w:tcPr>
            <w:tcW w:w="200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0"/>
              </w:rPr>
              <w:t>Three Months Ended</w:t>
            </w:r>
          </w:p>
        </w:tc>
        <w:tc>
          <w:tcPr>
            <w:tcW w:w="1820" w:type="dxa"/>
            <w:vAlign w:val="bottom"/>
            <w:gridSpan w:val="3"/>
          </w:tcPr>
          <w:p>
            <w:pPr>
              <w:jc w:val="right"/>
              <w:ind w:right="141"/>
              <w:spacing w:after="0"/>
              <w:rPr>
                <w:sz w:val="20"/>
                <w:szCs w:val="20"/>
                <w:color w:val="auto"/>
              </w:rPr>
            </w:pPr>
            <w:r>
              <w:rPr>
                <w:rFonts w:ascii="Arial" w:cs="Arial" w:eastAsia="Arial" w:hAnsi="Arial"/>
                <w:sz w:val="18"/>
                <w:szCs w:val="18"/>
                <w:b w:val="1"/>
                <w:bCs w:val="1"/>
                <w:color w:val="auto"/>
                <w:w w:val="94"/>
              </w:rPr>
              <w:t>Nine Months Ended</w:t>
            </w:r>
          </w:p>
        </w:tc>
      </w:tr>
      <w:tr>
        <w:trPr>
          <w:trHeight w:val="241"/>
        </w:trPr>
        <w:tc>
          <w:tcPr>
            <w:tcW w:w="7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89"/>
              </w:rPr>
              <w:t>September 30, 2022</w:t>
            </w:r>
          </w:p>
        </w:tc>
        <w:tc>
          <w:tcPr>
            <w:tcW w:w="100" w:type="dxa"/>
            <w:vAlign w:val="bottom"/>
          </w:tcPr>
          <w:p>
            <w:pPr>
              <w:spacing w:after="0"/>
              <w:rPr>
                <w:sz w:val="20"/>
                <w:szCs w:val="20"/>
                <w:color w:val="auto"/>
              </w:rPr>
            </w:pPr>
          </w:p>
        </w:tc>
        <w:tc>
          <w:tcPr>
            <w:tcW w:w="172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w w:val="88"/>
              </w:rPr>
              <w:t>September 30, 2022</w:t>
            </w:r>
          </w:p>
        </w:tc>
      </w:tr>
      <w:tr>
        <w:trPr>
          <w:trHeight w:val="243"/>
        </w:trPr>
        <w:tc>
          <w:tcPr>
            <w:tcW w:w="7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attributable to discontinued operations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(382,818</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(377,614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2" w:lineRule="exact"/>
        <w:rPr>
          <w:sz w:val="20"/>
          <w:szCs w:val="20"/>
          <w:color w:val="auto"/>
        </w:rPr>
      </w:pPr>
    </w:p>
    <w:p>
      <w:pPr>
        <w:jc w:val="both"/>
        <w:ind w:right="460"/>
        <w:spacing w:after="0" w:line="311" w:lineRule="auto"/>
        <w:rPr>
          <w:sz w:val="20"/>
          <w:szCs w:val="20"/>
          <w:color w:val="auto"/>
        </w:rPr>
      </w:pPr>
      <w:r>
        <w:rPr>
          <w:rFonts w:ascii="Arial" w:cs="Arial" w:eastAsia="Arial" w:hAnsi="Arial"/>
          <w:sz w:val="16"/>
          <w:szCs w:val="16"/>
          <w:color w:val="auto"/>
        </w:rPr>
        <w:t>The unaudited supplemental pro forma information above includes the following pro forma adjustments: adjustments for transaction related costs and severance and retention costs, adjustments for amortization of intangible assets, and elimination of inter-company transactions between Vewd and the Company. The unaudited supplemental pro forma information above does not include any cost saving synergies from operating efficiencies.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Identified Intangible Assets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the three months ended September 30, 2022, indicators of potential impairment for the Company’s former product reporting unit were identified such that management concluded it was more-likely-than-not that goodwill was impaired and that a quantitative interim goodwill impairment assessment should be performed as of September 30, 2022. Indicators of potential impairment included a sustained decline in the Company’s stock price during the second half of the third quarter of 2022, reflective of rising interest rates and a continued decline in macroeconomic conditions. The Company proceeded to perform a fair value analysis of the Company’s former product reporting unit using the market capitalization approach. Under this approach, management estimated the fair value of the Company’s former product reporting unit as of September 30, 2022, using quoted market prices of the common stock of Xperi Inc., which as of October 1, 2022, comprised the former product segment of the Company, over its first ten trading days following the Separation, and a control premium representing the synergies a market participant would achieve upon obtaining control of Xperi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spacing w:after="0" w:line="257" w:lineRule="auto"/>
        <w:rPr>
          <w:sz w:val="20"/>
          <w:szCs w:val="20"/>
          <w:color w:val="auto"/>
        </w:rPr>
      </w:pPr>
      <w:r>
        <w:rPr>
          <w:rFonts w:ascii="Arial" w:cs="Arial" w:eastAsia="Arial" w:hAnsi="Arial"/>
          <w:sz w:val="18"/>
          <w:szCs w:val="18"/>
          <w:color w:val="auto"/>
        </w:rPr>
        <w:t>As a result of the fair value analysis, the Company recognized a goodwill impairment charge of $354.0 million in the third quarter of 2022, which was allocated to the Company’s former product segment and included as part of net loss from discontinued operations, net of tax in the Condensed Consolidated Statement of Operations. The Company also assessed the recoverability of indefinite-lived intangible assets related to the Company’s former product reporting unit and concluded that no impairment existed as of September 30, 2022, as its estimated fair values exceeded their carrying amounts. No impairment indicators were identified with respect to other long-lived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of Discontinued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information related to cash flows from discontinued operations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9"/>
              </w:rPr>
              <w:t>Nine Months Ended</w:t>
            </w:r>
          </w:p>
        </w:tc>
      </w:tr>
      <w:tr>
        <w:trPr>
          <w:trHeight w:val="241"/>
        </w:trPr>
        <w:tc>
          <w:tcPr>
            <w:tcW w:w="8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8"/>
              </w:rPr>
              <w:t>September 30, 2022</w:t>
            </w:r>
          </w:p>
        </w:tc>
      </w:tr>
      <w:tr>
        <w:trPr>
          <w:trHeight w:val="243"/>
        </w:trPr>
        <w:tc>
          <w:tcPr>
            <w:tcW w:w="8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from operating activities</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2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2,814</w:t>
            </w:r>
          </w:p>
        </w:tc>
        <w:tc>
          <w:tcPr>
            <w:tcW w:w="100" w:type="dxa"/>
            <w:vAlign w:val="bottom"/>
            <w:shd w:val="clear" w:color="auto" w:fill="CFF0FC"/>
          </w:tcPr>
          <w:p>
            <w:pPr>
              <w:spacing w:after="0"/>
              <w:rPr>
                <w:sz w:val="21"/>
                <w:szCs w:val="21"/>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Net cash from investing activities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260" w:type="dxa"/>
            <w:vAlign w:val="bottom"/>
            <w:gridSpan w:val="2"/>
          </w:tcPr>
          <w:p>
            <w:pPr>
              <w:jc w:val="right"/>
              <w:ind w:right="40"/>
              <w:spacing w:after="0"/>
              <w:rPr>
                <w:sz w:val="20"/>
                <w:szCs w:val="20"/>
                <w:color w:val="auto"/>
              </w:rPr>
            </w:pPr>
            <w:r>
              <w:rPr>
                <w:rFonts w:ascii="Arial" w:cs="Arial" w:eastAsia="Arial" w:hAnsi="Arial"/>
                <w:sz w:val="18"/>
                <w:szCs w:val="18"/>
                <w:color w:val="auto"/>
              </w:rPr>
              <w:t>(61,587 )</w:t>
            </w:r>
          </w:p>
        </w:tc>
      </w:tr>
      <w:tr>
        <w:trPr>
          <w:trHeight w:val="553"/>
        </w:trPr>
        <w:tc>
          <w:tcPr>
            <w:tcW w:w="8700" w:type="dxa"/>
            <w:vAlign w:val="bottom"/>
          </w:tcPr>
          <w:p>
            <w:pPr>
              <w:spacing w:after="0"/>
              <w:rPr>
                <w:sz w:val="20"/>
                <w:szCs w:val="20"/>
                <w:color w:val="auto"/>
              </w:rPr>
            </w:pPr>
            <w:r>
              <w:rPr>
                <w:rFonts w:ascii="Arial" w:cs="Arial" w:eastAsia="Arial" w:hAnsi="Arial"/>
                <w:sz w:val="18"/>
                <w:szCs w:val="18"/>
                <w:b w:val="1"/>
                <w:bCs w:val="1"/>
                <w:color w:val="auto"/>
              </w:rPr>
              <w:t>NOTE 8 – GOODWILL AND IDENTIFIED INTANGIBLE ASSETS</w:t>
            </w: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870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carrying value of goodwill at September 30, 2023 and December 31, 2022 was $313.7 million. There were no changes to the carrying value of goodwill from January 1, through September 30, 2023. Goodwill at its reporting unit is evaluated for potential impairment annually, as of the beginning of the fourth quarter, and whenever events or changes in circumstances indicate the carrying amount of goodwill may not be recoverable. The process of evaluating goodwill for potential impairment is subjective and requires significant estimates, assumptions and judgments particularly related to the identification of reporting units, the assignment of assets and liabilities to reporting units and estimating the fair value of each reporting unit. No impairment charges were recognized for the three and nine months ended September 30, 2023.</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Identified Intangible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Identified intangible assets consisted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540" w:type="dxa"/>
            <w:vAlign w:val="bottom"/>
          </w:tcPr>
          <w:p>
            <w:pPr>
              <w:spacing w:after="0"/>
              <w:rPr>
                <w:sz w:val="21"/>
                <w:szCs w:val="21"/>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b w:val="1"/>
                <w:bCs w:val="1"/>
                <w:color w:val="auto"/>
              </w:rPr>
              <w:t>September 30, 2023</w:t>
            </w: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w w:val="97"/>
              </w:rPr>
              <w:t>December 31, 2022</w:t>
            </w: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5"/>
        </w:trPr>
        <w:tc>
          <w:tcPr>
            <w:tcW w:w="2540" w:type="dxa"/>
            <w:vAlign w:val="bottom"/>
          </w:tcPr>
          <w:p>
            <w:pPr>
              <w:spacing w:after="0"/>
              <w:rPr>
                <w:sz w:val="17"/>
                <w:szCs w:val="17"/>
                <w:color w:val="auto"/>
              </w:rPr>
            </w:pPr>
          </w:p>
        </w:tc>
        <w:tc>
          <w:tcPr>
            <w:tcW w:w="1040" w:type="dxa"/>
            <w:vAlign w:val="bottom"/>
            <w:gridSpan w:val="2"/>
          </w:tcPr>
          <w:p>
            <w:pPr>
              <w:jc w:val="center"/>
              <w:ind w:right="140"/>
              <w:spacing w:after="0" w:line="205" w:lineRule="exact"/>
              <w:rPr>
                <w:sz w:val="20"/>
                <w:szCs w:val="20"/>
                <w:color w:val="auto"/>
              </w:rPr>
            </w:pPr>
            <w:r>
              <w:rPr>
                <w:rFonts w:ascii="Arial" w:cs="Arial" w:eastAsia="Arial" w:hAnsi="Arial"/>
                <w:sz w:val="18"/>
                <w:szCs w:val="18"/>
                <w:b w:val="1"/>
                <w:bCs w:val="1"/>
                <w:color w:val="auto"/>
                <w:w w:val="93"/>
              </w:rPr>
              <w:t>Life</w:t>
            </w:r>
          </w:p>
        </w:tc>
        <w:tc>
          <w:tcPr>
            <w:tcW w:w="160" w:type="dxa"/>
            <w:vAlign w:val="bottom"/>
          </w:tcPr>
          <w:p>
            <w:pPr>
              <w:spacing w:after="0"/>
              <w:rPr>
                <w:sz w:val="17"/>
                <w:szCs w:val="17"/>
                <w:color w:val="auto"/>
              </w:rPr>
            </w:pPr>
          </w:p>
        </w:tc>
        <w:tc>
          <w:tcPr>
            <w:tcW w:w="760" w:type="dxa"/>
            <w:vAlign w:val="bottom"/>
          </w:tcPr>
          <w:p>
            <w:pPr>
              <w:jc w:val="right"/>
              <w:ind w:right="150"/>
              <w:spacing w:after="0" w:line="205" w:lineRule="exact"/>
              <w:rPr>
                <w:sz w:val="20"/>
                <w:szCs w:val="20"/>
                <w:color w:val="auto"/>
              </w:rPr>
            </w:pPr>
            <w:r>
              <w:rPr>
                <w:rFonts w:ascii="Arial" w:cs="Arial" w:eastAsia="Arial" w:hAnsi="Arial"/>
                <w:sz w:val="18"/>
                <w:szCs w:val="18"/>
                <w:b w:val="1"/>
                <w:bCs w:val="1"/>
                <w:color w:val="auto"/>
                <w:w w:val="96"/>
              </w:rPr>
              <w:t>Gross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420"/>
              <w:spacing w:after="0" w:line="205" w:lineRule="exact"/>
              <w:rPr>
                <w:sz w:val="20"/>
                <w:szCs w:val="20"/>
                <w:color w:val="auto"/>
              </w:rPr>
            </w:pPr>
            <w:r>
              <w:rPr>
                <w:rFonts w:ascii="Arial" w:cs="Arial" w:eastAsia="Arial" w:hAnsi="Arial"/>
                <w:sz w:val="18"/>
                <w:szCs w:val="18"/>
                <w:b w:val="1"/>
                <w:bCs w:val="1"/>
                <w:color w:val="auto"/>
                <w:w w:val="91"/>
              </w:rPr>
              <w:t>Accumulated</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30"/>
              <w:spacing w:after="0" w:line="205" w:lineRule="exact"/>
              <w:rPr>
                <w:sz w:val="20"/>
                <w:szCs w:val="20"/>
                <w:color w:val="auto"/>
              </w:rPr>
            </w:pPr>
            <w:r>
              <w:rPr>
                <w:rFonts w:ascii="Arial" w:cs="Arial" w:eastAsia="Arial" w:hAnsi="Arial"/>
                <w:sz w:val="18"/>
                <w:szCs w:val="18"/>
                <w:b w:val="1"/>
                <w:bCs w:val="1"/>
                <w:color w:val="auto"/>
                <w:w w:val="96"/>
              </w:rPr>
              <w:t>Gross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380"/>
              <w:spacing w:after="0" w:line="205" w:lineRule="exact"/>
              <w:rPr>
                <w:sz w:val="20"/>
                <w:szCs w:val="20"/>
                <w:color w:val="auto"/>
              </w:rPr>
            </w:pPr>
            <w:r>
              <w:rPr>
                <w:rFonts w:ascii="Arial" w:cs="Arial" w:eastAsia="Arial" w:hAnsi="Arial"/>
                <w:sz w:val="18"/>
                <w:szCs w:val="18"/>
                <w:b w:val="1"/>
                <w:bCs w:val="1"/>
                <w:color w:val="auto"/>
                <w:w w:val="91"/>
              </w:rPr>
              <w:t>Accumulated</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54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(Years)</w:t>
            </w:r>
          </w:p>
        </w:tc>
        <w:tc>
          <w:tcPr>
            <w:tcW w:w="16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Assets</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Amortization</w:t>
            </w:r>
          </w:p>
        </w:tc>
        <w:tc>
          <w:tcPr>
            <w:tcW w:w="200" w:type="dxa"/>
            <w:vAlign w:val="bottom"/>
          </w:tcPr>
          <w:p>
            <w:pPr>
              <w:spacing w:after="0"/>
              <w:rPr>
                <w:sz w:val="20"/>
                <w:szCs w:val="20"/>
                <w:color w:val="auto"/>
              </w:rPr>
            </w:pPr>
          </w:p>
        </w:tc>
        <w:tc>
          <w:tcPr>
            <w:tcW w:w="700" w:type="dxa"/>
            <w:vAlign w:val="bottom"/>
          </w:tcPr>
          <w:p>
            <w:pPr>
              <w:jc w:val="right"/>
              <w:ind w:right="230"/>
              <w:spacing w:after="0"/>
              <w:rPr>
                <w:sz w:val="20"/>
                <w:szCs w:val="20"/>
                <w:color w:val="auto"/>
              </w:rPr>
            </w:pPr>
            <w:r>
              <w:rPr>
                <w:rFonts w:ascii="Arial" w:cs="Arial" w:eastAsia="Arial" w:hAnsi="Arial"/>
                <w:sz w:val="18"/>
                <w:szCs w:val="18"/>
                <w:b w:val="1"/>
                <w:bCs w:val="1"/>
                <w:color w:val="auto"/>
              </w:rPr>
              <w:t>Net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b w:val="1"/>
                <w:bCs w:val="1"/>
                <w:color w:val="auto"/>
                <w:w w:val="84"/>
              </w:rPr>
              <w:t>Assets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20"/>
                <w:szCs w:val="20"/>
                <w:color w:val="auto"/>
              </w:rPr>
            </w:pPr>
          </w:p>
        </w:tc>
        <w:tc>
          <w:tcPr>
            <w:tcW w:w="680" w:type="dxa"/>
            <w:vAlign w:val="bottom"/>
          </w:tcPr>
          <w:p>
            <w:pPr>
              <w:jc w:val="right"/>
              <w:ind w:right="21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r>
      <w:tr>
        <w:trPr>
          <w:trHeight w:val="243"/>
        </w:trPr>
        <w:tc>
          <w:tcPr>
            <w:tcW w:w="2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Finite-lived intangible assets</w:t>
            </w:r>
          </w:p>
        </w:tc>
        <w:tc>
          <w:tcPr>
            <w:tcW w:w="92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760" w:type="dxa"/>
            <w:vAlign w:val="bottom"/>
            <w:tcBorders>
              <w:top w:val="single" w:sz="8" w:color="auto"/>
            </w:tcBorders>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7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22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2540" w:type="dxa"/>
            <w:vAlign w:val="bottom"/>
          </w:tcPr>
          <w:p>
            <w:pPr>
              <w:ind w:left="120"/>
              <w:spacing w:after="0"/>
              <w:rPr>
                <w:sz w:val="20"/>
                <w:szCs w:val="20"/>
                <w:color w:val="auto"/>
              </w:rPr>
            </w:pPr>
            <w:r>
              <w:rPr>
                <w:rFonts w:ascii="Arial" w:cs="Arial" w:eastAsia="Arial" w:hAnsi="Arial"/>
                <w:sz w:val="18"/>
                <w:szCs w:val="18"/>
                <w:color w:val="auto"/>
              </w:rPr>
              <w:t>Acquired patents / core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540" w:type="dxa"/>
            <w:vAlign w:val="bottom"/>
          </w:tcPr>
          <w:p>
            <w:pPr>
              <w:ind w:left="120"/>
              <w:spacing w:after="0"/>
              <w:rPr>
                <w:sz w:val="20"/>
                <w:szCs w:val="20"/>
                <w:color w:val="auto"/>
              </w:rPr>
            </w:pPr>
            <w:r>
              <w:rPr>
                <w:rFonts w:ascii="Arial" w:cs="Arial" w:eastAsia="Arial" w:hAnsi="Arial"/>
                <w:sz w:val="18"/>
                <w:szCs w:val="18"/>
                <w:color w:val="auto"/>
              </w:rPr>
              <w:t>technology</w:t>
            </w:r>
          </w:p>
        </w:tc>
        <w:tc>
          <w:tcPr>
            <w:tcW w:w="920" w:type="dxa"/>
            <w:vAlign w:val="bottom"/>
          </w:tcPr>
          <w:p>
            <w:pPr>
              <w:jc w:val="center"/>
              <w:spacing w:after="0"/>
              <w:rPr>
                <w:sz w:val="20"/>
                <w:szCs w:val="20"/>
                <w:color w:val="auto"/>
              </w:rPr>
            </w:pPr>
            <w:r>
              <w:rPr>
                <w:rFonts w:ascii="Arial" w:cs="Arial" w:eastAsia="Arial" w:hAnsi="Arial"/>
                <w:sz w:val="18"/>
                <w:szCs w:val="18"/>
                <w:color w:val="auto"/>
                <w:w w:val="94"/>
              </w:rPr>
              <w:t>3-10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651,323</w:t>
            </w:r>
          </w:p>
        </w:tc>
        <w:tc>
          <w:tcPr>
            <w:tcW w:w="360" w:type="dxa"/>
            <w:vAlign w:val="bottom"/>
          </w:tcPr>
          <w:p>
            <w:pPr>
              <w:jc w:val="right"/>
              <w:ind w:right="5"/>
              <w:spacing w:after="0"/>
              <w:rPr>
                <w:sz w:val="20"/>
                <w:szCs w:val="20"/>
                <w:color w:val="auto"/>
              </w:rPr>
            </w:pPr>
            <w:r>
              <w:rPr>
                <w:rFonts w:ascii="Arial" w:cs="Arial" w:eastAsia="Arial" w:hAnsi="Arial"/>
                <w:sz w:val="12"/>
                <w:szCs w:val="12"/>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(309,894 )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341,429</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645,928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(270,275 )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375,653</w:t>
            </w:r>
          </w:p>
        </w:tc>
        <w:tc>
          <w:tcPr>
            <w:tcW w:w="100" w:type="dxa"/>
            <w:vAlign w:val="bottom"/>
          </w:tcPr>
          <w:p>
            <w:pPr>
              <w:spacing w:after="0"/>
              <w:rPr>
                <w:sz w:val="20"/>
                <w:szCs w:val="20"/>
                <w:color w:val="auto"/>
              </w:rPr>
            </w:pPr>
          </w:p>
        </w:tc>
      </w:tr>
      <w:tr>
        <w:trPr>
          <w:trHeight w:val="222"/>
        </w:trPr>
        <w:tc>
          <w:tcPr>
            <w:tcW w:w="2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Existing technology / content</w:t>
            </w: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2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database</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5-10</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38,681</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(38,681 )</w:t>
            </w: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38,681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(36,614 )</w:t>
            </w: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2,067</w:t>
            </w:r>
          </w:p>
        </w:tc>
        <w:tc>
          <w:tcPr>
            <w:tcW w:w="100" w:type="dxa"/>
            <w:vAlign w:val="bottom"/>
            <w:shd w:val="clear" w:color="auto" w:fill="CFF0FC"/>
          </w:tcPr>
          <w:p>
            <w:pPr>
              <w:spacing w:after="0"/>
              <w:rPr>
                <w:sz w:val="21"/>
                <w:szCs w:val="21"/>
                <w:color w:val="auto"/>
              </w:rPr>
            </w:pPr>
          </w:p>
        </w:tc>
      </w:tr>
      <w:tr>
        <w:trPr>
          <w:trHeight w:val="215"/>
        </w:trPr>
        <w:tc>
          <w:tcPr>
            <w:tcW w:w="2540" w:type="dxa"/>
            <w:vAlign w:val="bottom"/>
          </w:tcPr>
          <w:p>
            <w:pPr>
              <w:ind w:left="120"/>
              <w:spacing w:after="0"/>
              <w:rPr>
                <w:sz w:val="20"/>
                <w:szCs w:val="20"/>
                <w:color w:val="auto"/>
              </w:rPr>
            </w:pPr>
            <w:r>
              <w:rPr>
                <w:rFonts w:ascii="Arial" w:cs="Arial" w:eastAsia="Arial" w:hAnsi="Arial"/>
                <w:sz w:val="18"/>
                <w:szCs w:val="18"/>
                <w:color w:val="auto"/>
                <w:w w:val="95"/>
              </w:rPr>
              <w:t>Customer contracts and related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540" w:type="dxa"/>
            <w:vAlign w:val="bottom"/>
          </w:tcPr>
          <w:p>
            <w:pPr>
              <w:ind w:left="120"/>
              <w:spacing w:after="0"/>
              <w:rPr>
                <w:sz w:val="20"/>
                <w:szCs w:val="20"/>
                <w:color w:val="auto"/>
              </w:rPr>
            </w:pPr>
            <w:r>
              <w:rPr>
                <w:rFonts w:ascii="Arial" w:cs="Arial" w:eastAsia="Arial" w:hAnsi="Arial"/>
                <w:sz w:val="18"/>
                <w:szCs w:val="18"/>
                <w:color w:val="auto"/>
              </w:rPr>
              <w:t>relationships</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155,900</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(130,183 )</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25,717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155,900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(101,252 )</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54,648</w:t>
            </w:r>
          </w:p>
        </w:tc>
        <w:tc>
          <w:tcPr>
            <w:tcW w:w="100" w:type="dxa"/>
            <w:vAlign w:val="bottom"/>
          </w:tcPr>
          <w:p>
            <w:pPr>
              <w:spacing w:after="0"/>
              <w:rPr>
                <w:sz w:val="20"/>
                <w:szCs w:val="20"/>
                <w:color w:val="auto"/>
              </w:rPr>
            </w:pPr>
          </w:p>
        </w:tc>
      </w:tr>
      <w:tr>
        <w:trPr>
          <w:trHeight w:val="250"/>
        </w:trPr>
        <w:tc>
          <w:tcPr>
            <w:tcW w:w="2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Trademarks/trade name</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4-10</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(1,300 )</w:t>
            </w: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(1,192 )</w:t>
            </w: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FF0FC"/>
          </w:tcPr>
          <w:p>
            <w:pPr>
              <w:spacing w:after="0"/>
              <w:rPr>
                <w:sz w:val="21"/>
                <w:szCs w:val="2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0"/>
        </w:trPr>
        <w:tc>
          <w:tcPr>
            <w:tcW w:w="2540" w:type="dxa"/>
            <w:vAlign w:val="bottom"/>
          </w:tcPr>
          <w:p>
            <w:pPr>
              <w:ind w:left="300"/>
              <w:spacing w:after="0"/>
              <w:rPr>
                <w:sz w:val="20"/>
                <w:szCs w:val="20"/>
                <w:color w:val="auto"/>
              </w:rPr>
            </w:pPr>
            <w:r>
              <w:rPr>
                <w:rFonts w:ascii="Arial" w:cs="Arial" w:eastAsia="Arial" w:hAnsi="Arial"/>
                <w:sz w:val="18"/>
                <w:szCs w:val="18"/>
                <w:color w:val="auto"/>
              </w:rPr>
              <w:t>Total intangible assets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847,204</w:t>
            </w:r>
          </w:p>
        </w:tc>
        <w:tc>
          <w:tcPr>
            <w:tcW w:w="3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(480,058 )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367,146</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841,809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(409,333 )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432,476</w:t>
            </w:r>
          </w:p>
        </w:tc>
        <w:tc>
          <w:tcPr>
            <w:tcW w:w="100" w:type="dxa"/>
            <w:vAlign w:val="bottom"/>
          </w:tcPr>
          <w:p>
            <w:pPr>
              <w:spacing w:after="0"/>
              <w:rPr>
                <w:sz w:val="20"/>
                <w:szCs w:val="20"/>
                <w:color w:val="auto"/>
              </w:rPr>
            </w:pPr>
          </w:p>
        </w:tc>
      </w:tr>
      <w:tr>
        <w:trPr>
          <w:trHeight w:val="20"/>
        </w:trPr>
        <w:tc>
          <w:tcPr>
            <w:tcW w:w="2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-187960</wp:posOffset>
            </wp:positionV>
            <wp:extent cx="76835" cy="1885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-187960</wp:posOffset>
            </wp:positionV>
            <wp:extent cx="76835" cy="1885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-187960</wp:posOffset>
            </wp:positionV>
            <wp:extent cx="68580" cy="1885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-187960</wp:posOffset>
            </wp:positionV>
            <wp:extent cx="68580" cy="1885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-187960</wp:posOffset>
            </wp:positionV>
            <wp:extent cx="68580" cy="1885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87" w:lineRule="exact"/>
        <w:rPr>
          <w:sz w:val="20"/>
          <w:szCs w:val="20"/>
          <w:color w:val="auto"/>
        </w:rPr>
      </w:pPr>
    </w:p>
    <w:p>
      <w:pPr>
        <w:ind w:right="40" w:firstLine="8"/>
        <w:spacing w:after="0" w:line="269" w:lineRule="auto"/>
        <w:tabs>
          <w:tab w:leader="none" w:pos="185"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 xml:space="preserve">During the three months ended September 30, 2023, the Company acquired two portfolios of patents for an aggregate cost of $5.3 million, of which $4.4 million was obtained as consideration in a licensing agreement (see “Note 6 </w:t>
      </w:r>
      <w:r>
        <w:rPr>
          <w:rFonts w:ascii="Arial" w:cs="Arial" w:eastAsia="Arial" w:hAnsi="Arial"/>
          <w:sz w:val="16"/>
          <w:szCs w:val="16"/>
          <w:i w:val="1"/>
          <w:iCs w:val="1"/>
          <w:color w:val="auto"/>
        </w:rPr>
        <w:t>– Fair Value</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and $0.9 million is to be paid in cash. The Company is amortizing the asset value over a weighted average period of 8 and 10 years,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As of September 30, 2023, the estimated future amortization expense of total finite-lived intangible assets was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Amounts</w:t>
            </w:r>
          </w:p>
        </w:tc>
      </w:tr>
      <w:tr>
        <w:trPr>
          <w:trHeight w:val="243"/>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 (remaining 3 months)</w:t>
            </w:r>
          </w:p>
        </w:tc>
        <w:tc>
          <w:tcPr>
            <w:tcW w:w="200" w:type="dxa"/>
            <w:vAlign w:val="bottom"/>
            <w:shd w:val="clear" w:color="auto" w:fill="CFF0FC"/>
          </w:tcPr>
          <w:p>
            <w:pPr>
              <w:spacing w:after="0"/>
              <w:rPr>
                <w:sz w:val="21"/>
                <w:szCs w:val="21"/>
                <w:color w:val="auto"/>
              </w:rPr>
            </w:pPr>
          </w:p>
        </w:tc>
        <w:tc>
          <w:tcPr>
            <w:tcW w:w="1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22,991</w:t>
            </w:r>
          </w:p>
        </w:tc>
        <w:tc>
          <w:tcPr>
            <w:tcW w:w="100" w:type="dxa"/>
            <w:vAlign w:val="bottom"/>
            <w:shd w:val="clear" w:color="auto" w:fill="CFF0FC"/>
          </w:tcPr>
          <w:p>
            <w:pPr>
              <w:spacing w:after="0"/>
              <w:rPr>
                <w:sz w:val="21"/>
                <w:szCs w:val="21"/>
                <w:color w:val="auto"/>
              </w:rPr>
            </w:pPr>
          </w:p>
        </w:tc>
      </w:tr>
      <w:tr>
        <w:trPr>
          <w:trHeight w:val="237"/>
        </w:trPr>
        <w:tc>
          <w:tcPr>
            <w:tcW w:w="690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69,461</w:t>
            </w:r>
          </w:p>
        </w:tc>
        <w:tc>
          <w:tcPr>
            <w:tcW w:w="100" w:type="dxa"/>
            <w:vAlign w:val="bottom"/>
          </w:tcPr>
          <w:p>
            <w:pPr>
              <w:spacing w:after="0"/>
              <w:rPr>
                <w:sz w:val="20"/>
                <w:szCs w:val="20"/>
                <w:color w:val="auto"/>
              </w:rPr>
            </w:pPr>
          </w:p>
        </w:tc>
      </w:tr>
      <w:tr>
        <w:trPr>
          <w:trHeight w:val="249"/>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FF0FC"/>
          </w:tcPr>
          <w:p>
            <w:pPr>
              <w:spacing w:after="0"/>
              <w:rPr>
                <w:sz w:val="21"/>
                <w:szCs w:val="21"/>
                <w:color w:val="auto"/>
              </w:rPr>
            </w:pPr>
          </w:p>
        </w:tc>
        <w:tc>
          <w:tcPr>
            <w:tcW w:w="1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53,383</w:t>
            </w:r>
          </w:p>
        </w:tc>
        <w:tc>
          <w:tcPr>
            <w:tcW w:w="100" w:type="dxa"/>
            <w:vAlign w:val="bottom"/>
            <w:shd w:val="clear" w:color="auto" w:fill="CFF0FC"/>
          </w:tcPr>
          <w:p>
            <w:pPr>
              <w:spacing w:after="0"/>
              <w:rPr>
                <w:sz w:val="21"/>
                <w:szCs w:val="21"/>
                <w:color w:val="auto"/>
              </w:rPr>
            </w:pPr>
          </w:p>
        </w:tc>
      </w:tr>
      <w:tr>
        <w:trPr>
          <w:trHeight w:val="237"/>
        </w:trPr>
        <w:tc>
          <w:tcPr>
            <w:tcW w:w="690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53,249</w:t>
            </w:r>
          </w:p>
        </w:tc>
        <w:tc>
          <w:tcPr>
            <w:tcW w:w="100" w:type="dxa"/>
            <w:vAlign w:val="bottom"/>
          </w:tcPr>
          <w:p>
            <w:pPr>
              <w:spacing w:after="0"/>
              <w:rPr>
                <w:sz w:val="20"/>
                <w:szCs w:val="20"/>
                <w:color w:val="auto"/>
              </w:rPr>
            </w:pPr>
          </w:p>
        </w:tc>
      </w:tr>
      <w:tr>
        <w:trPr>
          <w:trHeight w:val="249"/>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FF0FC"/>
          </w:tcPr>
          <w:p>
            <w:pPr>
              <w:spacing w:after="0"/>
              <w:rPr>
                <w:sz w:val="21"/>
                <w:szCs w:val="21"/>
                <w:color w:val="auto"/>
              </w:rPr>
            </w:pPr>
          </w:p>
        </w:tc>
        <w:tc>
          <w:tcPr>
            <w:tcW w:w="1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52,898</w:t>
            </w:r>
          </w:p>
        </w:tc>
        <w:tc>
          <w:tcPr>
            <w:tcW w:w="100" w:type="dxa"/>
            <w:vAlign w:val="bottom"/>
            <w:shd w:val="clear" w:color="auto" w:fill="CFF0FC"/>
          </w:tcPr>
          <w:p>
            <w:pPr>
              <w:spacing w:after="0"/>
              <w:rPr>
                <w:sz w:val="21"/>
                <w:szCs w:val="21"/>
                <w:color w:val="auto"/>
              </w:rPr>
            </w:pPr>
          </w:p>
        </w:tc>
      </w:tr>
      <w:tr>
        <w:trPr>
          <w:trHeight w:val="237"/>
        </w:trPr>
        <w:tc>
          <w:tcPr>
            <w:tcW w:w="69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115,164</w:t>
            </w:r>
          </w:p>
        </w:tc>
        <w:tc>
          <w:tcPr>
            <w:tcW w:w="100" w:type="dxa"/>
            <w:vAlign w:val="bottom"/>
          </w:tcPr>
          <w:p>
            <w:pPr>
              <w:spacing w:after="0"/>
              <w:rPr>
                <w:sz w:val="20"/>
                <w:szCs w:val="20"/>
                <w:color w:val="auto"/>
              </w:rPr>
            </w:pPr>
          </w:p>
        </w:tc>
      </w:tr>
      <w:tr>
        <w:trPr>
          <w:trHeight w:val="277"/>
        </w:trPr>
        <w:tc>
          <w:tcPr>
            <w:tcW w:w="69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8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367,146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27"/>
        </w:trPr>
        <w:tc>
          <w:tcPr>
            <w:tcW w:w="6900" w:type="dxa"/>
            <w:vAlign w:val="bottom"/>
          </w:tcPr>
          <w:p>
            <w:pPr>
              <w:spacing w:after="0"/>
              <w:rPr>
                <w:sz w:val="20"/>
                <w:szCs w:val="20"/>
                <w:color w:val="auto"/>
              </w:rPr>
            </w:pPr>
            <w:r>
              <w:rPr>
                <w:rFonts w:ascii="Arial" w:cs="Arial" w:eastAsia="Arial" w:hAnsi="Arial"/>
                <w:sz w:val="18"/>
                <w:szCs w:val="18"/>
                <w:b w:val="1"/>
                <w:bCs w:val="1"/>
                <w:color w:val="auto"/>
              </w:rPr>
              <w:t>NOTE 9 – DEBT</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00" w:type="dxa"/>
            <w:vAlign w:val="bottom"/>
          </w:tcPr>
          <w:p>
            <w:pPr>
              <w:spacing w:after="0"/>
              <w:rPr>
                <w:sz w:val="20"/>
                <w:szCs w:val="20"/>
                <w:color w:val="auto"/>
              </w:rPr>
            </w:pPr>
            <w:r>
              <w:rPr>
                <w:rFonts w:ascii="Arial" w:cs="Arial" w:eastAsia="Arial" w:hAnsi="Arial"/>
                <w:sz w:val="18"/>
                <w:szCs w:val="18"/>
                <w:color w:val="auto"/>
              </w:rPr>
              <w:t>The outstanding amounts of debt were as follows (in thousands):</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6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2"/>
              </w:rPr>
              <w:t>September 30, 2023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December 31, 2022</w:t>
            </w:r>
          </w:p>
        </w:tc>
      </w:tr>
      <w:tr>
        <w:trPr>
          <w:trHeight w:val="243"/>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Refinanced Term B Loans</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630,375</w:t>
            </w:r>
          </w:p>
        </w:tc>
        <w:tc>
          <w:tcPr>
            <w:tcW w:w="220" w:type="dxa"/>
            <w:vAlign w:val="bottom"/>
            <w:shd w:val="clear" w:color="auto" w:fill="CFF0FC"/>
          </w:tcPr>
          <w:p>
            <w:pPr>
              <w:spacing w:after="0"/>
              <w:rPr>
                <w:sz w:val="21"/>
                <w:szCs w:val="21"/>
                <w:color w:val="auto"/>
              </w:rPr>
            </w:pPr>
          </w:p>
        </w:tc>
        <w:tc>
          <w:tcPr>
            <w:tcW w:w="220" w:type="dxa"/>
            <w:vAlign w:val="bottom"/>
            <w:tcBorders>
              <w:top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749,250</w:t>
            </w:r>
          </w:p>
        </w:tc>
        <w:tc>
          <w:tcPr>
            <w:tcW w:w="100" w:type="dxa"/>
            <w:vAlign w:val="bottom"/>
            <w:shd w:val="clear" w:color="auto" w:fill="CFF0FC"/>
          </w:tcPr>
          <w:p>
            <w:pPr>
              <w:spacing w:after="0"/>
              <w:rPr>
                <w:sz w:val="21"/>
                <w:szCs w:val="21"/>
                <w:color w:val="auto"/>
              </w:rPr>
            </w:pPr>
          </w:p>
        </w:tc>
      </w:tr>
      <w:tr>
        <w:trPr>
          <w:trHeight w:val="237"/>
        </w:trPr>
        <w:tc>
          <w:tcPr>
            <w:tcW w:w="6900" w:type="dxa"/>
            <w:vAlign w:val="bottom"/>
          </w:tcPr>
          <w:p>
            <w:pPr>
              <w:ind w:left="20"/>
              <w:spacing w:after="0"/>
              <w:rPr>
                <w:sz w:val="20"/>
                <w:szCs w:val="20"/>
                <w:color w:val="auto"/>
              </w:rPr>
            </w:pPr>
            <w:r>
              <w:rPr>
                <w:rFonts w:ascii="Arial" w:cs="Arial" w:eastAsia="Arial" w:hAnsi="Arial"/>
                <w:sz w:val="18"/>
                <w:szCs w:val="18"/>
                <w:color w:val="auto"/>
              </w:rPr>
              <w:t>Unamortized debt discount and issuance costs</w:t>
            </w:r>
          </w:p>
        </w:tc>
        <w:tc>
          <w:tcPr>
            <w:tcW w:w="200" w:type="dxa"/>
            <w:vAlign w:val="bottom"/>
          </w:tcPr>
          <w:p>
            <w:pPr>
              <w:spacing w:after="0"/>
              <w:rPr>
                <w:sz w:val="20"/>
                <w:szCs w:val="20"/>
                <w:color w:val="auto"/>
              </w:rPr>
            </w:pPr>
          </w:p>
        </w:tc>
        <w:tc>
          <w:tcPr>
            <w:tcW w:w="2080" w:type="dxa"/>
            <w:vAlign w:val="bottom"/>
            <w:gridSpan w:val="2"/>
          </w:tcPr>
          <w:p>
            <w:pPr>
              <w:jc w:val="right"/>
              <w:ind w:right="140"/>
              <w:spacing w:after="0"/>
              <w:rPr>
                <w:sz w:val="20"/>
                <w:szCs w:val="20"/>
                <w:color w:val="auto"/>
              </w:rPr>
            </w:pPr>
            <w:r>
              <w:rPr>
                <w:rFonts w:ascii="Arial" w:cs="Arial" w:eastAsia="Arial" w:hAnsi="Arial"/>
                <w:sz w:val="18"/>
                <w:szCs w:val="18"/>
                <w:color w:val="auto"/>
              </w:rPr>
              <w:t>(16,606 )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(19,857 )</w:t>
            </w:r>
          </w:p>
        </w:tc>
      </w:tr>
      <w:tr>
        <w:trPr>
          <w:trHeight w:val="243"/>
        </w:trPr>
        <w:tc>
          <w:tcPr>
            <w:tcW w:w="690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613,769</w:t>
            </w:r>
          </w:p>
        </w:tc>
        <w:tc>
          <w:tcPr>
            <w:tcW w:w="220" w:type="dxa"/>
            <w:vAlign w:val="bottom"/>
            <w:shd w:val="clear" w:color="auto" w:fill="CFF0FC"/>
          </w:tcPr>
          <w:p>
            <w:pPr>
              <w:spacing w:after="0"/>
              <w:rPr>
                <w:sz w:val="21"/>
                <w:szCs w:val="21"/>
                <w:color w:val="auto"/>
              </w:rPr>
            </w:pPr>
          </w:p>
        </w:tc>
        <w:tc>
          <w:tcPr>
            <w:tcW w:w="8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729,393</w:t>
            </w:r>
          </w:p>
        </w:tc>
        <w:tc>
          <w:tcPr>
            <w:tcW w:w="100" w:type="dxa"/>
            <w:vAlign w:val="bottom"/>
            <w:shd w:val="clear" w:color="auto" w:fill="CFF0FC"/>
          </w:tcPr>
          <w:p>
            <w:pPr>
              <w:spacing w:after="0"/>
              <w:rPr>
                <w:sz w:val="21"/>
                <w:szCs w:val="21"/>
                <w:color w:val="auto"/>
              </w:rPr>
            </w:pPr>
          </w:p>
        </w:tc>
      </w:tr>
      <w:tr>
        <w:trPr>
          <w:trHeight w:val="237"/>
        </w:trPr>
        <w:tc>
          <w:tcPr>
            <w:tcW w:w="6900" w:type="dxa"/>
            <w:vAlign w:val="bottom"/>
          </w:tcPr>
          <w:p>
            <w:pPr>
              <w:ind w:left="20"/>
              <w:spacing w:after="0"/>
              <w:rPr>
                <w:sz w:val="20"/>
                <w:szCs w:val="20"/>
                <w:color w:val="auto"/>
              </w:rPr>
            </w:pPr>
            <w:r>
              <w:rPr>
                <w:rFonts w:ascii="Arial" w:cs="Arial" w:eastAsia="Arial" w:hAnsi="Arial"/>
                <w:sz w:val="18"/>
                <w:szCs w:val="18"/>
                <w:color w:val="auto"/>
              </w:rPr>
              <w:t>Less: current portion, net of debt discount and issuance costs</w:t>
            </w:r>
          </w:p>
        </w:tc>
        <w:tc>
          <w:tcPr>
            <w:tcW w:w="200" w:type="dxa"/>
            <w:vAlign w:val="bottom"/>
          </w:tcPr>
          <w:p>
            <w:pPr>
              <w:spacing w:after="0"/>
              <w:rPr>
                <w:sz w:val="20"/>
                <w:szCs w:val="20"/>
                <w:color w:val="auto"/>
              </w:rPr>
            </w:pPr>
          </w:p>
        </w:tc>
        <w:tc>
          <w:tcPr>
            <w:tcW w:w="2080" w:type="dxa"/>
            <w:vAlign w:val="bottom"/>
            <w:gridSpan w:val="2"/>
          </w:tcPr>
          <w:p>
            <w:pPr>
              <w:jc w:val="right"/>
              <w:ind w:right="140"/>
              <w:spacing w:after="0"/>
              <w:rPr>
                <w:sz w:val="20"/>
                <w:szCs w:val="20"/>
                <w:color w:val="auto"/>
              </w:rPr>
            </w:pPr>
            <w:r>
              <w:rPr>
                <w:rFonts w:ascii="Arial" w:cs="Arial" w:eastAsia="Arial" w:hAnsi="Arial"/>
                <w:sz w:val="18"/>
                <w:szCs w:val="18"/>
                <w:color w:val="auto"/>
              </w:rPr>
              <w:t>(36,988 )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(109,813 )</w:t>
            </w:r>
          </w:p>
        </w:tc>
      </w:tr>
      <w:tr>
        <w:trPr>
          <w:trHeight w:val="277"/>
        </w:trPr>
        <w:tc>
          <w:tcPr>
            <w:tcW w:w="6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long-term debt, net of current portion</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576,781</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619,580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-1756410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Refinanced Term B Loans</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On June 8, 2021, the Company amended that certain Credit Agreement dated June 1, 2020 by and among the Company, the lenders party thereto and Bank of America, N.A., as administrative agent and collateral agent (the “2020 Credit Agreement”). The 2020 Credit Agreement initially provided for a five-year senior secured term B loan facility in an aggregate principal amount of $1,050 million (the “2020 Term B Loan Facility”).</w:t>
      </w:r>
    </w:p>
    <w:p>
      <w:pPr>
        <w:spacing w:after="0" w:line="16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connection with the June 2021 amendment (the “Amendment”), the Company made a voluntary prepayment of $50.6 million of the term loan outstanding under the 2020 Credit Agreement using cash on hand. The Amendment provided for, among other things, (i) a new tranche of term loans (the “Refinanced Term B Loans”) in an aggregate principal amount of $810.0 million, (ii) a reduction of the interest rate margin applicable to such loans to (x) in the case of base rate loans, 2.50% per annum and (y) in the case of Eurodollar loans, LIBOR plus a margin of 3.50% per annum, (iii) a prepayment premium of 1.00% in connection with any repricing transaction with respect to the Refinanced Term B Loans within six months of the closing date of the Amendment, (iv) an extension of the maturity to June 8, 2028, and (v) certain additional amendments, including amendments to provide the Company with additional flexibility under the covenant governing restricted payments. The Company commenced repaying quarterly installments under the Refinanced Term B Loans in the third quarter of 2021.</w:t>
      </w:r>
    </w:p>
    <w:p>
      <w:pPr>
        <w:spacing w:after="0" w:line="19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On May 30, 2023, the Company amended the 2020 Credit Agreement to replace the reference to LIBOR as the base rate with the reference to the Secured Overnight Financing Rate “SOFR” as administered by the Federal Reserve Bank of New York. The new reference rate was effective July 1, 2023.</w:t>
      </w:r>
    </w:p>
    <w:p>
      <w:pPr>
        <w:spacing w:after="0" w:line="12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obligations under the 2020 Credit Agreement, inclusive of any changes by the Amendment, continue to be guaranteed by the Company’s wholly-owned material domestic subsidiaries (collectively, the “Guarantors”) and continue to be secured by a lien on substantially all of the assets of the Company and the Guarantors.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ind w:right="80"/>
        <w:spacing w:after="0" w:line="286" w:lineRule="auto"/>
        <w:rPr>
          <w:sz w:val="20"/>
          <w:szCs w:val="20"/>
          <w:color w:val="auto"/>
        </w:rPr>
      </w:pPr>
      <w:r>
        <w:rPr>
          <w:rFonts w:ascii="Arial" w:cs="Arial" w:eastAsia="Arial" w:hAnsi="Arial"/>
          <w:sz w:val="16"/>
          <w:szCs w:val="16"/>
          <w:color w:val="auto"/>
        </w:rPr>
        <w:t>The 2020 Credit Agreement, as amended, contains customary events of default, upon the occurrence of which, after any applicable cure period, the lenders will have the ability to accelerate all outstanding loans thereunder. The 2020 Credit Agreement, as amended, also contains customary representations and warranties and affirmative and negative covenants that, among other things and subject to certain exceptions, restrict the ability of the Company and its subsidiaries to create or incur certain liens, incur or guarantee additional indebtedness, merge or consolidate with other companies, transfer or sell assets and make restricted payments. The Separation did not require the Company to obtain any waivers under the 2020 Credit Agreement, and the Company completed the Separation in compliance with all of the covenants contained in the 2020 Credit Agreement. The 2020 Credit Agreement, as amended, requires the Company to maintain a total net leverage ratio of no greater than 3.00x in order access an annual basket from which to make restricted payments (such as dividend payments and share repurchases). The Company was in compliance with all requirements as of September 30, 2023. The 2020 Credit Agreement, as amended, also requires the Company to make additional cash payments on an annual basis beginning in April 2023 based on certain leverage ratios and excess cash flow generated for the immediately preceding fiscal year. The additional cash payments are applied to the remaining principal balance due at final maturity. Accordingly, the Company made additional cash payments of $73.5 million during the nine months ended September 30, 2023 under the excess cash flow provisions. The payments under the excess cash flow provisions were made earlier than required under the 2020 Credit Agreement. After the Separation, the Company remains the obligor under the Refinanced B Term Loans.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and Expected Principal Payments</w:t>
      </w:r>
    </w:p>
    <w:p>
      <w:pPr>
        <w:spacing w:after="0" w:line="22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At September 30, 2023, the Company had $630.4 million in total debt outstanding. There were also $16.6 million of unamortized debt discount and issuance costs recorded as a reduction from the carrying amount of the debt. The interest rate on the Refinanced Term B Loans as of September 30, 2023, including the amortization of debt discount and issuance costs, was 9.98% and interest is payable monthly. Interest expense was $15.5 million and $46.8 million for the three and nine months ended September 30, 2023, respectively. Interest expense was $13.2 million and $31.1 million for the three and nine months ended September 30, 2022, respectively. Amortized debt discount and issuance costs, which were included in interest expense, amounted to $1.0 million and $3.3 million for the three and nine months ended September 30, 2023, respectively, and $1.1 million and $3.3 million for the three and nine months ended September 30, 2022, respectively.</w:t>
      </w:r>
    </w:p>
    <w:p>
      <w:pPr>
        <w:spacing w:after="0" w:line="17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September 30, 2023, future minimum principal payments for long-term debt, excluding any additional principal payment required by the excess cash flow provision, are summarized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Amounts</w:t>
            </w:r>
          </w:p>
        </w:tc>
        <w:tc>
          <w:tcPr>
            <w:tcW w:w="100" w:type="dxa"/>
            <w:vAlign w:val="bottom"/>
          </w:tcPr>
          <w:p>
            <w:pPr>
              <w:spacing w:after="0"/>
              <w:rPr>
                <w:sz w:val="20"/>
                <w:szCs w:val="20"/>
                <w:color w:val="auto"/>
              </w:rPr>
            </w:pPr>
          </w:p>
        </w:tc>
      </w:tr>
      <w:tr>
        <w:trPr>
          <w:trHeight w:val="243"/>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 (remaining 3 months)</w:t>
            </w:r>
          </w:p>
        </w:tc>
        <w:tc>
          <w:tcPr>
            <w:tcW w:w="55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10,125</w:t>
            </w:r>
          </w:p>
        </w:tc>
        <w:tc>
          <w:tcPr>
            <w:tcW w:w="100" w:type="dxa"/>
            <w:vAlign w:val="bottom"/>
            <w:shd w:val="clear" w:color="auto" w:fill="CFF0FC"/>
          </w:tcPr>
          <w:p>
            <w:pPr>
              <w:spacing w:after="0"/>
              <w:rPr>
                <w:sz w:val="21"/>
                <w:szCs w:val="21"/>
                <w:color w:val="auto"/>
              </w:rPr>
            </w:pPr>
          </w:p>
        </w:tc>
      </w:tr>
      <w:tr>
        <w:trPr>
          <w:trHeight w:val="237"/>
        </w:trPr>
        <w:tc>
          <w:tcPr>
            <w:tcW w:w="3760" w:type="dxa"/>
            <w:vAlign w:val="bottom"/>
          </w:tcPr>
          <w:p>
            <w:pPr>
              <w:ind w:left="20"/>
              <w:spacing w:after="0"/>
              <w:rPr>
                <w:sz w:val="20"/>
                <w:szCs w:val="20"/>
                <w:color w:val="auto"/>
              </w:rPr>
            </w:pPr>
            <w:r>
              <w:rPr>
                <w:rFonts w:ascii="Arial" w:cs="Arial" w:eastAsia="Arial" w:hAnsi="Arial"/>
                <w:sz w:val="18"/>
                <w:szCs w:val="18"/>
                <w:color w:val="auto"/>
              </w:rPr>
              <w:t>2024</w:t>
            </w:r>
          </w:p>
        </w:tc>
        <w:tc>
          <w:tcPr>
            <w:tcW w:w="5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40,500</w:t>
            </w:r>
          </w:p>
        </w:tc>
        <w:tc>
          <w:tcPr>
            <w:tcW w:w="100" w:type="dxa"/>
            <w:vAlign w:val="bottom"/>
          </w:tcPr>
          <w:p>
            <w:pPr>
              <w:spacing w:after="0"/>
              <w:rPr>
                <w:sz w:val="20"/>
                <w:szCs w:val="20"/>
                <w:color w:val="auto"/>
              </w:rPr>
            </w:pPr>
          </w:p>
        </w:tc>
      </w:tr>
      <w:tr>
        <w:trPr>
          <w:trHeight w:val="249"/>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55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40,500</w:t>
            </w:r>
          </w:p>
        </w:tc>
        <w:tc>
          <w:tcPr>
            <w:tcW w:w="100" w:type="dxa"/>
            <w:vAlign w:val="bottom"/>
            <w:shd w:val="clear" w:color="auto" w:fill="CFF0FC"/>
          </w:tcPr>
          <w:p>
            <w:pPr>
              <w:spacing w:after="0"/>
              <w:rPr>
                <w:sz w:val="21"/>
                <w:szCs w:val="21"/>
                <w:color w:val="auto"/>
              </w:rPr>
            </w:pPr>
          </w:p>
        </w:tc>
      </w:tr>
      <w:tr>
        <w:trPr>
          <w:trHeight w:val="237"/>
        </w:trPr>
        <w:tc>
          <w:tcPr>
            <w:tcW w:w="3760" w:type="dxa"/>
            <w:vAlign w:val="bottom"/>
          </w:tcPr>
          <w:p>
            <w:pPr>
              <w:ind w:left="20"/>
              <w:spacing w:after="0"/>
              <w:rPr>
                <w:sz w:val="20"/>
                <w:szCs w:val="20"/>
                <w:color w:val="auto"/>
              </w:rPr>
            </w:pPr>
            <w:r>
              <w:rPr>
                <w:rFonts w:ascii="Arial" w:cs="Arial" w:eastAsia="Arial" w:hAnsi="Arial"/>
                <w:sz w:val="18"/>
                <w:szCs w:val="18"/>
                <w:color w:val="auto"/>
              </w:rPr>
              <w:t>2026</w:t>
            </w:r>
          </w:p>
        </w:tc>
        <w:tc>
          <w:tcPr>
            <w:tcW w:w="5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40,500</w:t>
            </w:r>
          </w:p>
        </w:tc>
        <w:tc>
          <w:tcPr>
            <w:tcW w:w="100" w:type="dxa"/>
            <w:vAlign w:val="bottom"/>
          </w:tcPr>
          <w:p>
            <w:pPr>
              <w:spacing w:after="0"/>
              <w:rPr>
                <w:sz w:val="20"/>
                <w:szCs w:val="20"/>
                <w:color w:val="auto"/>
              </w:rPr>
            </w:pPr>
          </w:p>
        </w:tc>
      </w:tr>
      <w:tr>
        <w:trPr>
          <w:trHeight w:val="249"/>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55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40,500</w:t>
            </w:r>
          </w:p>
        </w:tc>
        <w:tc>
          <w:tcPr>
            <w:tcW w:w="100" w:type="dxa"/>
            <w:vAlign w:val="bottom"/>
            <w:shd w:val="clear" w:color="auto" w:fill="CFF0FC"/>
          </w:tcPr>
          <w:p>
            <w:pPr>
              <w:spacing w:after="0"/>
              <w:rPr>
                <w:sz w:val="21"/>
                <w:szCs w:val="21"/>
                <w:color w:val="auto"/>
              </w:rPr>
            </w:pPr>
          </w:p>
        </w:tc>
      </w:tr>
      <w:tr>
        <w:trPr>
          <w:trHeight w:val="237"/>
        </w:trPr>
        <w:tc>
          <w:tcPr>
            <w:tcW w:w="37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5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458,250</w:t>
            </w:r>
          </w:p>
        </w:tc>
        <w:tc>
          <w:tcPr>
            <w:tcW w:w="100" w:type="dxa"/>
            <w:vAlign w:val="bottom"/>
          </w:tcPr>
          <w:p>
            <w:pPr>
              <w:spacing w:after="0"/>
              <w:rPr>
                <w:sz w:val="20"/>
                <w:szCs w:val="20"/>
                <w:color w:val="auto"/>
              </w:rPr>
            </w:pPr>
          </w:p>
        </w:tc>
      </w:tr>
      <w:tr>
        <w:trPr>
          <w:trHeight w:val="276"/>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55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630,375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5"/>
        </w:trPr>
        <w:tc>
          <w:tcPr>
            <w:tcW w:w="3760" w:type="dxa"/>
            <w:vAlign w:val="bottom"/>
          </w:tcPr>
          <w:p>
            <w:pPr>
              <w:spacing w:after="0"/>
              <w:rPr>
                <w:sz w:val="24"/>
                <w:szCs w:val="24"/>
                <w:color w:val="auto"/>
              </w:rPr>
            </w:pPr>
          </w:p>
        </w:tc>
        <w:tc>
          <w:tcPr>
            <w:tcW w:w="5500" w:type="dxa"/>
            <w:vAlign w:val="bottom"/>
          </w:tcPr>
          <w:p>
            <w:pPr>
              <w:jc w:val="right"/>
              <w:ind w:right="3450"/>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55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r>
              <w:rPr>
                <w:rFonts w:ascii="Arial" w:cs="Arial" w:eastAsia="Arial" w:hAnsi="Arial"/>
                <w:sz w:val="18"/>
                <w:szCs w:val="18"/>
                <w:b w:val="1"/>
                <w:bCs w:val="1"/>
                <w:color w:val="auto"/>
              </w:rPr>
              <w:t>NOTE 10 – NET INCOME (LOSS) PER SHARE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40" w:type="dxa"/>
            <w:vAlign w:val="bottom"/>
            <w:gridSpan w:val="7"/>
          </w:tcPr>
          <w:p>
            <w:pPr>
              <w:spacing w:after="0"/>
              <w:rPr>
                <w:sz w:val="20"/>
                <w:szCs w:val="20"/>
                <w:color w:val="auto"/>
              </w:rPr>
            </w:pPr>
            <w:r>
              <w:rPr>
                <w:rFonts w:ascii="Arial" w:cs="Arial" w:eastAsia="Arial" w:hAnsi="Arial"/>
                <w:sz w:val="18"/>
                <w:szCs w:val="18"/>
                <w:color w:val="auto"/>
                <w:w w:val="90"/>
              </w:rPr>
              <w:t>The following table sets forth the computation of net income (loss) per share (in thousands, except per share amounts):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tcPr>
          <w:p>
            <w:pPr>
              <w:jc w:val="right"/>
              <w:ind w:right="581"/>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2340" w:type="dxa"/>
            <w:vAlign w:val="bottom"/>
            <w:gridSpan w:val="5"/>
          </w:tcPr>
          <w:p>
            <w:pPr>
              <w:jc w:val="right"/>
              <w:ind w:right="501"/>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jc w:val="right"/>
              <w:ind w:right="841"/>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340" w:type="dxa"/>
            <w:vAlign w:val="bottom"/>
            <w:gridSpan w:val="5"/>
          </w:tcPr>
          <w:p>
            <w:pPr>
              <w:jc w:val="right"/>
              <w:ind w:right="72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9"/>
        </w:trPr>
        <w:tc>
          <w:tcPr>
            <w:tcW w:w="59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00" w:type="dxa"/>
            <w:vAlign w:val="bottom"/>
          </w:tcPr>
          <w:p>
            <w:pPr>
              <w:ind w:left="120"/>
              <w:spacing w:after="0"/>
              <w:rPr>
                <w:sz w:val="20"/>
                <w:szCs w:val="20"/>
                <w:color w:val="auto"/>
              </w:rPr>
            </w:pPr>
            <w:r>
              <w:rPr>
                <w:rFonts w:ascii="Arial" w:cs="Arial" w:eastAsia="Arial" w:hAnsi="Arial"/>
                <w:sz w:val="18"/>
                <w:szCs w:val="18"/>
                <w:color w:val="auto"/>
              </w:rPr>
              <w:t>Net income (loss) from continuing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24,232</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(6,343 )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54,672</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64,662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loss attributable to discontinued operations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(382,586 )</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(434,272 )</w:t>
            </w:r>
          </w:p>
        </w:tc>
        <w:tc>
          <w:tcPr>
            <w:tcW w:w="0" w:type="dxa"/>
            <w:vAlign w:val="bottom"/>
          </w:tcPr>
          <w:p>
            <w:pPr>
              <w:spacing w:after="0"/>
              <w:rPr>
                <w:sz w:val="1"/>
                <w:szCs w:val="1"/>
                <w:color w:val="auto"/>
              </w:rPr>
            </w:pPr>
          </w:p>
        </w:tc>
      </w:tr>
      <w:tr>
        <w:trPr>
          <w:trHeight w:val="20"/>
        </w:trPr>
        <w:tc>
          <w:tcPr>
            <w:tcW w:w="59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00" w:type="dxa"/>
            <w:vAlign w:val="bottom"/>
          </w:tcPr>
          <w:p>
            <w:pPr>
              <w:ind w:left="120"/>
              <w:spacing w:after="0"/>
              <w:rPr>
                <w:sz w:val="20"/>
                <w:szCs w:val="20"/>
                <w:color w:val="auto"/>
              </w:rPr>
            </w:pPr>
            <w:r>
              <w:rPr>
                <w:rFonts w:ascii="Arial" w:cs="Arial" w:eastAsia="Arial" w:hAnsi="Arial"/>
                <w:sz w:val="18"/>
                <w:szCs w:val="18"/>
                <w:color w:val="auto"/>
              </w:rPr>
              <w:t>Net income (loss) attributable to the Company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24,232</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(388,929 )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54,672</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(369,610 )</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0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Weighted average shares of common stock outstanding</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106,902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104,510</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106,322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00" w:type="dxa"/>
            <w:vAlign w:val="bottom"/>
          </w:tcPr>
          <w:p>
            <w:pPr>
              <w:ind w:left="300"/>
              <w:spacing w:after="0"/>
              <w:rPr>
                <w:sz w:val="20"/>
                <w:szCs w:val="20"/>
                <w:color w:val="auto"/>
              </w:rPr>
            </w:pPr>
            <w:r>
              <w:rPr>
                <w:rFonts w:ascii="Arial" w:cs="Arial" w:eastAsia="Arial" w:hAnsi="Arial"/>
                <w:sz w:val="18"/>
                <w:szCs w:val="18"/>
                <w:color w:val="auto"/>
              </w:rPr>
              <w:t>Add: Effect of dilutive securities associated with options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900" w:type="dxa"/>
            <w:vAlign w:val="bottom"/>
            <w:shd w:val="clear" w:color="auto" w:fill="CFF0FC"/>
          </w:tcPr>
          <w:p>
            <w:pPr>
              <w:ind w:left="300"/>
              <w:spacing w:after="0"/>
              <w:rPr>
                <w:sz w:val="20"/>
                <w:szCs w:val="20"/>
                <w:color w:val="auto"/>
              </w:rPr>
            </w:pPr>
            <w:r>
              <w:rPr>
                <w:rFonts w:ascii="Arial" w:cs="Arial" w:eastAsia="Arial" w:hAnsi="Arial"/>
                <w:sz w:val="18"/>
                <w:szCs w:val="18"/>
                <w:color w:val="auto"/>
                <w:w w:val="98"/>
              </w:rPr>
              <w:t>Add: Effect of dilutive securities associated with restricted stock awards</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9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and units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6,025</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900" w:type="dxa"/>
            <w:vAlign w:val="bottom"/>
          </w:tcPr>
          <w:p>
            <w:pPr>
              <w:ind w:left="300"/>
              <w:spacing w:after="0"/>
              <w:rPr>
                <w:sz w:val="20"/>
                <w:szCs w:val="20"/>
                <w:color w:val="auto"/>
              </w:rPr>
            </w:pPr>
            <w:r>
              <w:rPr>
                <w:rFonts w:ascii="Arial" w:cs="Arial" w:eastAsia="Arial" w:hAnsi="Arial"/>
                <w:sz w:val="18"/>
                <w:szCs w:val="18"/>
                <w:color w:val="auto"/>
                <w:w w:val="95"/>
              </w:rPr>
              <w:t>Add: Effect of dilutive securities associated with employee stock purchase</w:t>
            </w:r>
          </w:p>
        </w:tc>
        <w:tc>
          <w:tcPr>
            <w:tcW w:w="24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vMerge w:val="restart"/>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restart"/>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00" w:type="dxa"/>
            <w:vAlign w:val="bottom"/>
          </w:tcPr>
          <w:p>
            <w:pPr>
              <w:ind w:left="300"/>
              <w:spacing w:after="0"/>
              <w:rPr>
                <w:sz w:val="20"/>
                <w:szCs w:val="20"/>
                <w:color w:val="auto"/>
              </w:rPr>
            </w:pPr>
            <w:r>
              <w:rPr>
                <w:rFonts w:ascii="Arial" w:cs="Arial" w:eastAsia="Arial" w:hAnsi="Arial"/>
                <w:sz w:val="18"/>
                <w:szCs w:val="18"/>
                <w:color w:val="auto"/>
              </w:rPr>
              <w:t>program</w:t>
            </w:r>
          </w:p>
        </w:tc>
        <w:tc>
          <w:tcPr>
            <w:tcW w:w="2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Weighted average common shares - dilutive</w:t>
            </w:r>
          </w:p>
        </w:tc>
        <w:tc>
          <w:tcPr>
            <w:tcW w:w="240" w:type="dxa"/>
            <w:vAlign w:val="bottom"/>
            <w:tcBorders>
              <w:top w:val="single" w:sz="8" w:color="auto"/>
              <w:bottom w:val="single" w:sz="8" w:color="auto"/>
            </w:tcBorders>
            <w:shd w:val="clear" w:color="auto" w:fill="CFF0FC"/>
          </w:tcPr>
          <w:p>
            <w:pPr>
              <w:spacing w:after="0"/>
              <w:rPr>
                <w:sz w:val="23"/>
                <w:szCs w:val="23"/>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112,929</w:t>
            </w:r>
          </w:p>
        </w:tc>
        <w:tc>
          <w:tcPr>
            <w:tcW w:w="2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spacing w:after="0"/>
              <w:rPr>
                <w:sz w:val="23"/>
                <w:szCs w:val="23"/>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104,510</w:t>
            </w:r>
          </w:p>
        </w:tc>
        <w:tc>
          <w:tcPr>
            <w:tcW w:w="20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top w:val="single" w:sz="8" w:color="auto"/>
              <w:bottom w:val="single" w:sz="8" w:color="auto"/>
            </w:tcBorders>
            <w:shd w:val="clear" w:color="auto" w:fill="CFF0FC"/>
          </w:tcPr>
          <w:p>
            <w:pPr>
              <w:spacing w:after="0"/>
              <w:rPr>
                <w:sz w:val="23"/>
                <w:szCs w:val="23"/>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112,765</w:t>
            </w:r>
          </w:p>
        </w:tc>
        <w:tc>
          <w:tcPr>
            <w:tcW w:w="22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spacing w:after="0"/>
              <w:rPr>
                <w:sz w:val="23"/>
                <w:szCs w:val="23"/>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105,620</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 net income (loss) per share</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00" w:type="dxa"/>
            <w:vAlign w:val="bottom"/>
          </w:tcPr>
          <w:p>
            <w:pPr>
              <w:ind w:left="120"/>
              <w:spacing w:after="0"/>
              <w:rPr>
                <w:sz w:val="20"/>
                <w:szCs w:val="20"/>
                <w:color w:val="auto"/>
              </w:rPr>
            </w:pPr>
            <w:r>
              <w:rPr>
                <w:rFonts w:ascii="Arial" w:cs="Arial" w:eastAsia="Arial" w:hAnsi="Arial"/>
                <w:sz w:val="18"/>
                <w:szCs w:val="18"/>
                <w:color w:val="auto"/>
              </w:rPr>
              <w:t>Net income (loss) from continuing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0.23</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(0.06 )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0.51</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loss attributable to discontinued operations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(3.66 )</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(4.17 )</w:t>
            </w:r>
          </w:p>
        </w:tc>
        <w:tc>
          <w:tcPr>
            <w:tcW w:w="0" w:type="dxa"/>
            <w:vAlign w:val="bottom"/>
          </w:tcPr>
          <w:p>
            <w:pPr>
              <w:spacing w:after="0"/>
              <w:rPr>
                <w:sz w:val="1"/>
                <w:szCs w:val="1"/>
                <w:color w:val="auto"/>
              </w:rPr>
            </w:pPr>
          </w:p>
        </w:tc>
      </w:tr>
      <w:tr>
        <w:trPr>
          <w:trHeight w:val="20"/>
        </w:trPr>
        <w:tc>
          <w:tcPr>
            <w:tcW w:w="59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00" w:type="dxa"/>
            <w:vAlign w:val="bottom"/>
          </w:tcPr>
          <w:p>
            <w:pPr>
              <w:ind w:left="120"/>
              <w:spacing w:after="0"/>
              <w:rPr>
                <w:sz w:val="20"/>
                <w:szCs w:val="20"/>
                <w:color w:val="auto"/>
              </w:rPr>
            </w:pPr>
            <w:r>
              <w:rPr>
                <w:rFonts w:ascii="Arial" w:cs="Arial" w:eastAsia="Arial" w:hAnsi="Arial"/>
                <w:sz w:val="18"/>
                <w:szCs w:val="18"/>
                <w:color w:val="auto"/>
              </w:rPr>
              <w:t>Net income (loss) attributable to the Company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0.23</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(3.72 )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0.51</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(3.55 )</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00" w:type="dxa"/>
            <w:vAlign w:val="bottom"/>
          </w:tcPr>
          <w:p>
            <w:pPr>
              <w:ind w:left="20"/>
              <w:spacing w:after="0"/>
              <w:rPr>
                <w:sz w:val="20"/>
                <w:szCs w:val="20"/>
                <w:color w:val="auto"/>
              </w:rPr>
            </w:pPr>
            <w:r>
              <w:rPr>
                <w:rFonts w:ascii="Arial" w:cs="Arial" w:eastAsia="Arial" w:hAnsi="Arial"/>
                <w:sz w:val="18"/>
                <w:szCs w:val="18"/>
                <w:color w:val="auto"/>
              </w:rPr>
              <w:t>Diluted net income (loss) per share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income (loss) from continuing operations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(0.06 )</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00" w:type="dxa"/>
            <w:vAlign w:val="bottom"/>
          </w:tcPr>
          <w:p>
            <w:pPr>
              <w:ind w:left="120"/>
              <w:spacing w:after="0"/>
              <w:rPr>
                <w:sz w:val="20"/>
                <w:szCs w:val="20"/>
                <w:color w:val="auto"/>
              </w:rPr>
            </w:pPr>
            <w:r>
              <w:rPr>
                <w:rFonts w:ascii="Arial" w:cs="Arial" w:eastAsia="Arial" w:hAnsi="Arial"/>
                <w:sz w:val="18"/>
                <w:szCs w:val="18"/>
                <w:color w:val="auto"/>
              </w:rPr>
              <w:t>Net loss attributable to discontinued operations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(3.66 )</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(4.11 )</w:t>
            </w:r>
          </w:p>
        </w:tc>
        <w:tc>
          <w:tcPr>
            <w:tcW w:w="0" w:type="dxa"/>
            <w:vAlign w:val="bottom"/>
          </w:tcPr>
          <w:p>
            <w:pPr>
              <w:spacing w:after="0"/>
              <w:rPr>
                <w:sz w:val="1"/>
                <w:szCs w:val="1"/>
                <w:color w:val="auto"/>
              </w:rPr>
            </w:pPr>
          </w:p>
        </w:tc>
      </w:tr>
      <w:tr>
        <w:trPr>
          <w:trHeight w:val="277"/>
        </w:trPr>
        <w:tc>
          <w:tcPr>
            <w:tcW w:w="5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Net income (loss) attributable to the Company</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Anti-dilutive employee stock-based awards, excluded</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7,163</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-3488055</wp:posOffset>
            </wp:positionV>
            <wp:extent cx="76835" cy="1885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-3488055</wp:posOffset>
            </wp:positionV>
            <wp:extent cx="68580" cy="1885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-3488055</wp:posOffset>
            </wp:positionV>
            <wp:extent cx="68580" cy="1885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-3488055</wp:posOffset>
            </wp:positionV>
            <wp:extent cx="68580" cy="1885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-1945005</wp:posOffset>
            </wp:positionV>
            <wp:extent cx="2657475" cy="1797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657475" cy="17970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-1302385</wp:posOffset>
            </wp:positionV>
            <wp:extent cx="76835" cy="1885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-1302385</wp:posOffset>
            </wp:positionV>
            <wp:extent cx="68580" cy="1885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-1302385</wp:posOffset>
            </wp:positionV>
            <wp:extent cx="68580" cy="1885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1885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-334010</wp:posOffset>
            </wp:positionV>
            <wp:extent cx="2657475" cy="1797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657475" cy="179705"/>
                    </a:xfrm>
                    <a:prstGeom prst="rect">
                      <a:avLst/>
                    </a:prstGeom>
                    <a:noFill/>
                  </pic:spPr>
                </pic:pic>
              </a:graphicData>
            </a:graphic>
          </wp:anchor>
        </w:drawing>
      </w:r>
    </w:p>
    <w:p>
      <w:pPr>
        <w:spacing w:after="0" w:line="18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Basic net income (loss) per share is computed using the weighted average number of shares of common stock outstanding during the period, excluding any unvested restricted stock units that are subject to repurchase. Diluted net income (loss) per share is computed using the treasury stock method to calculate the weighted average number of shares of common stock and, if dilutive, potential common shares outstanding during the period. Potentially dilutive common shares include unvested restricted stock units and incremental common shares issuable upon the exercise of stock options, less shares repurchased from assumed proceeds. The assumed proceeds calculation includes actual proceeds to be received from the employee upon exercise and the average unrecognized stock compensation cost during the period.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11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2020 Equity Incentive Plan</w:t>
      </w:r>
    </w:p>
    <w:p>
      <w:pPr>
        <w:spacing w:after="0" w:line="22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June 1, 2020, the Company adopted the 2020 Equity Incentive Plan (the “2020 EIP”). Under the 2020 EIP, the Company may grant equity-based awards to employees, non-employee directors, and consultants for services rendered to the Company (or any parent or subsidiary) in the form of stock options, stock awards, restricted stock awards, restricted stock units, stock appreciation rights, dividend equivalents and performance awards (or any combination thereof).</w:t>
      </w:r>
    </w:p>
    <w:p>
      <w:pPr>
        <w:spacing w:after="0" w:line="18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A total of 16.8 million shares have been reserved for issuance under the 2020 EIP provided that each share issued pursuant to “full value” awards (i.e., stock awards, restricted stock awards, restricted stock units, performance awards and dividend equivalents) are counted against shares available for issuance under the 2020 EIP on a 1.5 to 1 ratio. At the 2022 Annual Stockholders Meeting on April 29, 2022, the Company’s shareholders approved an amendment to the 2020 EIP and increased by 8.8 million the number of shares reserved for issuance.</w:t>
      </w:r>
    </w:p>
    <w:p>
      <w:pPr>
        <w:spacing w:after="0" w:line="17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2020 EIP provides for option grants designed as either incentive stock options or non-statutory options. Options generally are granted with an exercise price not less than the value of the common stock on the grant date and have a term of ten years from the date of grant and vest over a four-year period.</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vesting criteria for restricted stock awards and restricted stock units is generally the passage of time or meeting certain performance-based objectives, and continued employment through the vesting period, which is generally four years for time-based awards.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Assumed Plans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June 1, 2020, the Company assumed all then-outstanding stock options, awards, and shares available and reserved for issuance under all legacy Equity Incentive Plans of TiVo (collectively, the “Assumed Plans”). Stock options assumed from the Assumed Plans generally have vesting periods of four years and a contractual term of seven years. Awards of restricted stock and restricted stock units assumed from the Assumed Plans are generally subject to a four year vesting period. The number of shares subject to stock options and restricted stock units outstanding under these plans are included in the tables below. Shares reserved under the Assumed Plans will be available for future grants. As of September 30, 2023, there were 3.8 million shares reserved for future grants under both the 2020 EIP and the Assumed Plans.</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A summary of the stock option activity is presented below (in thousands, except per share amounts):</w:t>
      </w:r>
    </w:p>
    <w:p>
      <w:pPr>
        <w:spacing w:after="0" w:line="235" w:lineRule="exact"/>
        <w:rPr>
          <w:sz w:val="20"/>
          <w:szCs w:val="20"/>
          <w:color w:val="auto"/>
        </w:rPr>
      </w:pPr>
    </w:p>
    <w:p>
      <w:pPr>
        <w:ind w:left="8620"/>
        <w:spacing w:after="0"/>
        <w:rPr>
          <w:sz w:val="20"/>
          <w:szCs w:val="20"/>
          <w:color w:val="auto"/>
        </w:rPr>
      </w:pPr>
      <w:r>
        <w:rPr>
          <w:rFonts w:ascii="Arial" w:cs="Arial" w:eastAsia="Arial" w:hAnsi="Arial"/>
          <w:sz w:val="18"/>
          <w:szCs w:val="18"/>
          <w:b w:val="1"/>
          <w:bCs w:val="1"/>
          <w:color w:val="auto"/>
        </w:rPr>
        <w:t>Options Outstanding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r>
      <w:tr>
        <w:trPr>
          <w:trHeight w:val="216"/>
        </w:trPr>
        <w:tc>
          <w:tcPr>
            <w:tcW w:w="7700" w:type="dxa"/>
            <w:vAlign w:val="bottom"/>
          </w:tcPr>
          <w:p>
            <w:pPr>
              <w:spacing w:after="0"/>
              <w:rPr>
                <w:sz w:val="18"/>
                <w:szCs w:val="18"/>
                <w:color w:val="auto"/>
              </w:rPr>
            </w:pPr>
          </w:p>
        </w:tc>
        <w:tc>
          <w:tcPr>
            <w:tcW w:w="1280" w:type="dxa"/>
            <w:vAlign w:val="bottom"/>
          </w:tcPr>
          <w:p>
            <w:pPr>
              <w:jc w:val="center"/>
              <w:ind w:left="270"/>
              <w:spacing w:after="0"/>
              <w:rPr>
                <w:sz w:val="20"/>
                <w:szCs w:val="20"/>
                <w:color w:val="auto"/>
              </w:rPr>
            </w:pPr>
            <w:r>
              <w:rPr>
                <w:rFonts w:ascii="Arial" w:cs="Arial" w:eastAsia="Arial" w:hAnsi="Arial"/>
                <w:sz w:val="18"/>
                <w:szCs w:val="18"/>
                <w:b w:val="1"/>
                <w:bCs w:val="1"/>
                <w:color w:val="auto"/>
                <w:w w:val="93"/>
              </w:rPr>
              <w:t>Number of</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r>
      <w:tr>
        <w:trPr>
          <w:trHeight w:val="216"/>
        </w:trPr>
        <w:tc>
          <w:tcPr>
            <w:tcW w:w="7700" w:type="dxa"/>
            <w:vAlign w:val="bottom"/>
          </w:tcPr>
          <w:p>
            <w:pPr>
              <w:spacing w:after="0"/>
              <w:rPr>
                <w:sz w:val="18"/>
                <w:szCs w:val="18"/>
                <w:color w:val="auto"/>
              </w:rPr>
            </w:pPr>
          </w:p>
        </w:tc>
        <w:tc>
          <w:tcPr>
            <w:tcW w:w="1280" w:type="dxa"/>
            <w:vAlign w:val="bottom"/>
          </w:tcPr>
          <w:p>
            <w:pPr>
              <w:jc w:val="center"/>
              <w:ind w:left="270"/>
              <w:spacing w:after="0"/>
              <w:rPr>
                <w:sz w:val="20"/>
                <w:szCs w:val="20"/>
                <w:color w:val="auto"/>
              </w:rPr>
            </w:pPr>
            <w:r>
              <w:rPr>
                <w:rFonts w:ascii="Arial" w:cs="Arial" w:eastAsia="Arial" w:hAnsi="Arial"/>
                <w:sz w:val="18"/>
                <w:szCs w:val="18"/>
                <w:b w:val="1"/>
                <w:bCs w:val="1"/>
                <w:color w:val="auto"/>
                <w:w w:val="86"/>
              </w:rPr>
              <w:t>Shares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r>
      <w:tr>
        <w:trPr>
          <w:trHeight w:val="216"/>
        </w:trPr>
        <w:tc>
          <w:tcPr>
            <w:tcW w:w="7700" w:type="dxa"/>
            <w:vAlign w:val="bottom"/>
          </w:tcPr>
          <w:p>
            <w:pPr>
              <w:spacing w:after="0"/>
              <w:rPr>
                <w:sz w:val="18"/>
                <w:szCs w:val="18"/>
                <w:color w:val="auto"/>
              </w:rPr>
            </w:pPr>
          </w:p>
        </w:tc>
        <w:tc>
          <w:tcPr>
            <w:tcW w:w="128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Subject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Price Per</w:t>
            </w:r>
          </w:p>
        </w:tc>
        <w:tc>
          <w:tcPr>
            <w:tcW w:w="100" w:type="dxa"/>
            <w:vAlign w:val="bottom"/>
          </w:tcPr>
          <w:p>
            <w:pPr>
              <w:spacing w:after="0"/>
              <w:rPr>
                <w:sz w:val="18"/>
                <w:szCs w:val="18"/>
                <w:color w:val="auto"/>
              </w:rPr>
            </w:pPr>
          </w:p>
        </w:tc>
      </w:tr>
      <w:tr>
        <w:trPr>
          <w:trHeight w:val="241"/>
        </w:trPr>
        <w:tc>
          <w:tcPr>
            <w:tcW w:w="7700" w:type="dxa"/>
            <w:vAlign w:val="bottom"/>
          </w:tcPr>
          <w:p>
            <w:pPr>
              <w:spacing w:after="0"/>
              <w:rPr>
                <w:sz w:val="20"/>
                <w:szCs w:val="20"/>
                <w:color w:val="auto"/>
              </w:rPr>
            </w:pPr>
          </w:p>
        </w:tc>
        <w:tc>
          <w:tcPr>
            <w:tcW w:w="128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88"/>
              </w:rPr>
              <w:t>to Options</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7"/>
              </w:rPr>
              <w:t>Share</w:t>
            </w:r>
          </w:p>
        </w:tc>
        <w:tc>
          <w:tcPr>
            <w:tcW w:w="100" w:type="dxa"/>
            <w:vAlign w:val="bottom"/>
          </w:tcPr>
          <w:p>
            <w:pPr>
              <w:spacing w:after="0"/>
              <w:rPr>
                <w:sz w:val="20"/>
                <w:szCs w:val="20"/>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28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364</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13.06</w:t>
            </w:r>
          </w:p>
        </w:tc>
        <w:tc>
          <w:tcPr>
            <w:tcW w:w="100" w:type="dxa"/>
            <w:vAlign w:val="bottom"/>
            <w:shd w:val="clear" w:color="auto" w:fill="CFF0FC"/>
          </w:tcPr>
          <w:p>
            <w:pPr>
              <w:spacing w:after="0"/>
              <w:rPr>
                <w:sz w:val="21"/>
                <w:szCs w:val="21"/>
                <w:color w:val="auto"/>
              </w:rPr>
            </w:pPr>
          </w:p>
        </w:tc>
      </w:tr>
      <w:tr>
        <w:trPr>
          <w:trHeight w:val="237"/>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Options granted</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89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Options exercised</w:t>
            </w: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(42 )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FF0FC"/>
          </w:tcPr>
          <w:p>
            <w:pPr>
              <w:spacing w:after="0"/>
              <w:rPr>
                <w:sz w:val="21"/>
                <w:szCs w:val="21"/>
                <w:color w:val="auto"/>
              </w:rPr>
            </w:pPr>
          </w:p>
        </w:tc>
      </w:tr>
      <w:tr>
        <w:trPr>
          <w:trHeight w:val="243"/>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Options canceled / forfeited / expired</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(37 )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1"/>
                <w:szCs w:val="21"/>
                <w:color w:val="auto"/>
              </w:rPr>
            </w:pPr>
          </w:p>
        </w:tc>
      </w:tr>
      <w:tr>
        <w:trPr>
          <w:trHeight w:val="277"/>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September 30, 2023</w:t>
            </w:r>
          </w:p>
        </w:tc>
        <w:tc>
          <w:tcPr>
            <w:tcW w:w="1280" w:type="dxa"/>
            <w:vAlign w:val="bottom"/>
            <w:tcBorders>
              <w:top w:val="single" w:sz="8" w:color="auto"/>
              <w:bottom w:val="single" w:sz="8" w:color="auto"/>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285</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Vested and Exercisable at September 30, 2023</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285</w:t>
            </w:r>
          </w:p>
        </w:tc>
        <w:tc>
          <w:tcPr>
            <w:tcW w:w="2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-205105</wp:posOffset>
            </wp:positionV>
            <wp:extent cx="68580" cy="2057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20574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Information with respect to outstanding restricted stock units (including both time-based vesting and performance-based vesting) as of September 30, 2023 is as follows (in thousands, except per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spacing w:after="0"/>
              <w:rPr>
                <w:sz w:val="19"/>
                <w:szCs w:val="19"/>
                <w:color w:val="auto"/>
              </w:rPr>
            </w:pPr>
          </w:p>
        </w:tc>
        <w:tc>
          <w:tcPr>
            <w:tcW w:w="42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6"/>
                <w:szCs w:val="16"/>
                <w:b w:val="1"/>
                <w:bCs w:val="1"/>
                <w:color w:val="auto"/>
              </w:rPr>
              <w:t>Restricted Stock and Restricted Stock Units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582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Number of</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Number of</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55"/>
              <w:spacing w:after="0"/>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7"/>
                <w:szCs w:val="17"/>
                <w:color w:val="auto"/>
              </w:rPr>
            </w:pPr>
          </w:p>
        </w:tc>
      </w:tr>
      <w:tr>
        <w:trPr>
          <w:trHeight w:val="203"/>
        </w:trPr>
        <w:tc>
          <w:tcPr>
            <w:tcW w:w="582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Shares</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Shares</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5"/>
              <w:spacing w:after="0"/>
              <w:rPr>
                <w:sz w:val="20"/>
                <w:szCs w:val="20"/>
                <w:color w:val="auto"/>
              </w:rPr>
            </w:pPr>
            <w:r>
              <w:rPr>
                <w:rFonts w:ascii="Arial" w:cs="Arial" w:eastAsia="Arial" w:hAnsi="Arial"/>
                <w:sz w:val="16"/>
                <w:szCs w:val="16"/>
                <w:b w:val="1"/>
                <w:bCs w:val="1"/>
                <w:color w:val="auto"/>
                <w:w w:val="88"/>
              </w:rPr>
              <w:t>Average</w:t>
            </w:r>
          </w:p>
        </w:tc>
        <w:tc>
          <w:tcPr>
            <w:tcW w:w="100" w:type="dxa"/>
            <w:vAlign w:val="bottom"/>
          </w:tcPr>
          <w:p>
            <w:pPr>
              <w:spacing w:after="0"/>
              <w:rPr>
                <w:sz w:val="17"/>
                <w:szCs w:val="17"/>
                <w:color w:val="auto"/>
              </w:rPr>
            </w:pPr>
          </w:p>
        </w:tc>
      </w:tr>
      <w:tr>
        <w:trPr>
          <w:trHeight w:val="203"/>
        </w:trPr>
        <w:tc>
          <w:tcPr>
            <w:tcW w:w="582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Subject to</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Subject to</w:t>
            </w: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Total</w:t>
            </w:r>
          </w:p>
        </w:tc>
        <w:tc>
          <w:tcPr>
            <w:tcW w:w="120" w:type="dxa"/>
            <w:vAlign w:val="bottom"/>
          </w:tcPr>
          <w:p>
            <w:pPr>
              <w:spacing w:after="0"/>
              <w:rPr>
                <w:sz w:val="17"/>
                <w:szCs w:val="17"/>
                <w:color w:val="auto"/>
              </w:rPr>
            </w:pPr>
          </w:p>
        </w:tc>
        <w:tc>
          <w:tcPr>
            <w:tcW w:w="1000" w:type="dxa"/>
            <w:vAlign w:val="bottom"/>
          </w:tcPr>
          <w:p>
            <w:pPr>
              <w:jc w:val="center"/>
              <w:ind w:right="55"/>
              <w:spacing w:after="0"/>
              <w:rPr>
                <w:sz w:val="20"/>
                <w:szCs w:val="20"/>
                <w:color w:val="auto"/>
              </w:rPr>
            </w:pPr>
            <w:r>
              <w:rPr>
                <w:rFonts w:ascii="Arial" w:cs="Arial" w:eastAsia="Arial" w:hAnsi="Arial"/>
                <w:sz w:val="16"/>
                <w:szCs w:val="16"/>
                <w:b w:val="1"/>
                <w:bCs w:val="1"/>
                <w:color w:val="auto"/>
                <w:w w:val="95"/>
              </w:rPr>
              <w:t>Grant Date</w:t>
            </w:r>
          </w:p>
        </w:tc>
        <w:tc>
          <w:tcPr>
            <w:tcW w:w="100" w:type="dxa"/>
            <w:vAlign w:val="bottom"/>
          </w:tcPr>
          <w:p>
            <w:pPr>
              <w:spacing w:after="0"/>
              <w:rPr>
                <w:sz w:val="17"/>
                <w:szCs w:val="17"/>
                <w:color w:val="auto"/>
              </w:rPr>
            </w:pPr>
          </w:p>
        </w:tc>
      </w:tr>
      <w:tr>
        <w:trPr>
          <w:trHeight w:val="203"/>
        </w:trPr>
        <w:tc>
          <w:tcPr>
            <w:tcW w:w="582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Time-</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Performance-</w:t>
            </w: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Number of</w:t>
            </w:r>
          </w:p>
        </w:tc>
        <w:tc>
          <w:tcPr>
            <w:tcW w:w="120" w:type="dxa"/>
            <w:vAlign w:val="bottom"/>
          </w:tcPr>
          <w:p>
            <w:pPr>
              <w:spacing w:after="0"/>
              <w:rPr>
                <w:sz w:val="17"/>
                <w:szCs w:val="17"/>
                <w:color w:val="auto"/>
              </w:rPr>
            </w:pPr>
          </w:p>
        </w:tc>
        <w:tc>
          <w:tcPr>
            <w:tcW w:w="1000" w:type="dxa"/>
            <w:vAlign w:val="bottom"/>
          </w:tcPr>
          <w:p>
            <w:pPr>
              <w:jc w:val="center"/>
              <w:ind w:right="55"/>
              <w:spacing w:after="0"/>
              <w:rPr>
                <w:sz w:val="20"/>
                <w:szCs w:val="20"/>
                <w:color w:val="auto"/>
              </w:rPr>
            </w:pPr>
            <w:r>
              <w:rPr>
                <w:rFonts w:ascii="Arial" w:cs="Arial" w:eastAsia="Arial" w:hAnsi="Arial"/>
                <w:sz w:val="16"/>
                <w:szCs w:val="16"/>
                <w:b w:val="1"/>
                <w:bCs w:val="1"/>
                <w:color w:val="auto"/>
                <w:w w:val="96"/>
              </w:rPr>
              <w:t>Fair Value</w:t>
            </w:r>
          </w:p>
        </w:tc>
        <w:tc>
          <w:tcPr>
            <w:tcW w:w="100" w:type="dxa"/>
            <w:vAlign w:val="bottom"/>
          </w:tcPr>
          <w:p>
            <w:pPr>
              <w:spacing w:after="0"/>
              <w:rPr>
                <w:sz w:val="17"/>
                <w:szCs w:val="17"/>
                <w:color w:val="auto"/>
              </w:rPr>
            </w:pPr>
          </w:p>
        </w:tc>
      </w:tr>
      <w:tr>
        <w:trPr>
          <w:trHeight w:val="223"/>
        </w:trPr>
        <w:tc>
          <w:tcPr>
            <w:tcW w:w="582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based Vesting</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based Vesting</w:t>
            </w: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Shares</w:t>
            </w:r>
          </w:p>
        </w:tc>
        <w:tc>
          <w:tcPr>
            <w:tcW w:w="120" w:type="dxa"/>
            <w:vAlign w:val="bottom"/>
          </w:tcPr>
          <w:p>
            <w:pPr>
              <w:spacing w:after="0"/>
              <w:rPr>
                <w:sz w:val="19"/>
                <w:szCs w:val="19"/>
                <w:color w:val="auto"/>
              </w:rPr>
            </w:pPr>
          </w:p>
        </w:tc>
        <w:tc>
          <w:tcPr>
            <w:tcW w:w="1000" w:type="dxa"/>
            <w:vAlign w:val="bottom"/>
          </w:tcPr>
          <w:p>
            <w:pPr>
              <w:jc w:val="center"/>
              <w:ind w:right="55"/>
              <w:spacing w:after="0"/>
              <w:rPr>
                <w:sz w:val="20"/>
                <w:szCs w:val="20"/>
                <w:color w:val="auto"/>
              </w:rPr>
            </w:pPr>
            <w:r>
              <w:rPr>
                <w:rFonts w:ascii="Arial" w:cs="Arial" w:eastAsia="Arial" w:hAnsi="Arial"/>
                <w:sz w:val="16"/>
                <w:szCs w:val="16"/>
                <w:b w:val="1"/>
                <w:bCs w:val="1"/>
                <w:color w:val="auto"/>
                <w:w w:val="93"/>
              </w:rPr>
              <w:t>Per Share</w:t>
            </w:r>
          </w:p>
        </w:tc>
        <w:tc>
          <w:tcPr>
            <w:tcW w:w="100" w:type="dxa"/>
            <w:vAlign w:val="bottom"/>
          </w:tcPr>
          <w:p>
            <w:pPr>
              <w:spacing w:after="0"/>
              <w:rPr>
                <w:sz w:val="19"/>
                <w:szCs w:val="19"/>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9,048</w:t>
            </w:r>
          </w:p>
        </w:tc>
        <w:tc>
          <w:tcPr>
            <w:tcW w:w="260" w:type="dxa"/>
            <w:vAlign w:val="bottom"/>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w:t>
            </w:r>
          </w:p>
        </w:tc>
        <w:tc>
          <w:tcPr>
            <w:tcW w:w="200" w:type="dxa"/>
            <w:vAlign w:val="bottom"/>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10,573</w:t>
            </w:r>
          </w:p>
        </w:tc>
        <w:tc>
          <w:tcPr>
            <w:tcW w:w="2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w:t>
            </w:r>
          </w:p>
        </w:tc>
        <w:tc>
          <w:tcPr>
            <w:tcW w:w="100" w:type="dxa"/>
            <w:vAlign w:val="bottom"/>
            <w:shd w:val="clear" w:color="auto" w:fill="CFF0FC"/>
          </w:tcPr>
          <w:p>
            <w:pPr>
              <w:spacing w:after="0"/>
              <w:rPr>
                <w:sz w:val="21"/>
                <w:szCs w:val="21"/>
                <w:color w:val="auto"/>
              </w:rPr>
            </w:pP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color w:val="auto"/>
              </w:rPr>
              <w:t>Awards and units 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1,880</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731</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2,611</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0"/>
                <w:szCs w:val="20"/>
                <w:color w:val="auto"/>
              </w:rPr>
            </w:pPr>
          </w:p>
        </w:tc>
      </w:tr>
      <w:tr>
        <w:trPr>
          <w:trHeight w:val="24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Awards and units vested / earned</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(2,806 )</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(32 )</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(2,838 )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FF0FC"/>
          </w:tcPr>
          <w:p>
            <w:pPr>
              <w:spacing w:after="0"/>
              <w:rPr>
                <w:sz w:val="21"/>
                <w:szCs w:val="21"/>
                <w:color w:val="auto"/>
              </w:rPr>
            </w:pP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Awards and units canceled / forfeited</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(373 )</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(533 )</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(906 )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1"/>
                <w:szCs w:val="21"/>
                <w:color w:val="auto"/>
              </w:rPr>
            </w:pPr>
          </w:p>
        </w:tc>
      </w:tr>
      <w:tr>
        <w:trPr>
          <w:trHeight w:val="276"/>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September 30, 2023</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7,749</w:t>
            </w:r>
          </w:p>
        </w:tc>
        <w:tc>
          <w:tcPr>
            <w:tcW w:w="26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1,691</w:t>
            </w:r>
          </w:p>
        </w:tc>
        <w:tc>
          <w:tcPr>
            <w:tcW w:w="2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9,440</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Awards and Units</w:t>
      </w:r>
    </w:p>
    <w:p>
      <w:pPr>
        <w:spacing w:after="0" w:line="225" w:lineRule="exact"/>
        <w:rPr>
          <w:sz w:val="20"/>
          <w:szCs w:val="20"/>
          <w:color w:val="auto"/>
        </w:rPr>
      </w:pPr>
    </w:p>
    <w:p>
      <w:pPr>
        <w:ind w:right="660"/>
        <w:spacing w:after="0" w:line="279" w:lineRule="auto"/>
        <w:rPr>
          <w:sz w:val="20"/>
          <w:szCs w:val="20"/>
          <w:color w:val="auto"/>
        </w:rPr>
      </w:pPr>
      <w:r>
        <w:rPr>
          <w:rFonts w:ascii="Arial" w:cs="Arial" w:eastAsia="Arial" w:hAnsi="Arial"/>
          <w:sz w:val="17"/>
          <w:szCs w:val="17"/>
          <w:color w:val="auto"/>
        </w:rPr>
        <w:t>Performance awards may be granted to employees or consultants based upon, among other things, the contributions, responsibilities and other compensation of the particular employee or consultant. The value and the vesting of such performance awards are generally linked to one or more performance goals or certain market conditions determined by the Company, in each case on a specified date or dates or over any period or periods determined by the Company, and may range from zero to 200 percent of the grant.</w:t>
      </w:r>
    </w:p>
    <w:p>
      <w:pPr>
        <w:spacing w:after="0" w:line="17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For performance awards subject to a market vesting condition (“market-based PSUs”), the fair value per award is fixed at the grant date and the amount of compensation expense is not adjusted during the performance period regardless of changes in the level of achievement of the market condition.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Employee Stock Purchase Plans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June 1, 2020, the Company adopted the 2020 Employee Stock Purchase Plan (the “2020 ESPP”). The 2020 ESPP is implemented through consecutive overlapping 24-month offering periods, each of which is comprised of four six-month purchase periods. The first offering period commenced on September 1, 2020 and ended on August 31, 2022. Due to the Separation, the next offering period under the 2020 ESPP plan commenced on December 1, 2022. Each subsequent offering period under the 2020 ESPP will be twenty-four (24) months long and will commence on each December 1 with four six-month purchase periods. Participants may contribute up to 100% of their base earnings and commissions through payroll deductions, and the accumulated deductions will be applied to the purchase of shares on each semi-annual purchase date. The purchase price per share will equal 85% of the fair market value per share on the start date of the offering period or, if lower, 85% of the fair market value per share on the semi-annual purchase date.</w:t>
      </w:r>
    </w:p>
    <w:p>
      <w:pPr>
        <w:spacing w:after="0" w:line="16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An eligible employee’s right to buy the Company’s common stock under the 2020 ESPP may not accrue at a rate in excess of $25,000 of the fair market value of such shares per calendar year for each calendar year of an offering period. If the fair market value per share of the Company’s common stock on any purchase date during an offering period is less than the fair market value per share on the start date of the 24-month offering period, then that offering period will automatically terminate and a new 24-month offering period will begin on the next business day. All participants in the terminated offering will be transferred to the new offering period. Due to the fair market value per share of Company’s common stock on May 31, 2023 as compared to the fair market value per share on December 1, 2022, the offering period was automatically terminated and a new 24-month offering period began on June 1, 2023 and will end on May 31, 2025.</w:t>
      </w:r>
    </w:p>
    <w:p>
      <w:pPr>
        <w:spacing w:after="0" w:line="19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At the 2022 Annual Stockholders Meeting on April 29, 2022, the Company’s shareholders approved an amendment to the 2020 ESPP and increased by 6.0 million the number of shares reserved for issuance. As of September 30, 2023, there were 5.4 million shares reserved for grant under the Company’s 2020 ESPP.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Equity Awards</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connection with the Separation and under the provisions of the existing plans described above, the Company’s outstanding stock options and equity awards were converted to units denominated in the equity of the Company, Xperi Inc., or both. The number of units and exercise prices of outstanding stock options and equity awards were converted based on the conversion ratios established in the Employee Matters Agreement that the Company entered into in connection with the Separation. The intent of the conversion ratios was to preserve the value of the awards immediately before and after the Separation. Upon the Separation, employees holding stock options and equity awards denominated in the Company’s pre-Separation stock received a number of otherwise-similar stock options and awards in post-Separation Company’s stock and/or Xperi Inc.’s stock based on the conversion ratios outlined for each group of employees. For purposes of the vesting of these equity awards, continued employment or service with the Company or with Xperi Inc. is treated as continued employment for purposes of both the Company’s and Xperi Inc.’s equity awards and the vesting terms of each converted grant remained unchanged. There were no changes to the plan terms described above with the exception that the price on the grant date, or October 1, 2022 was adjusted to exclude the value of Xperi Inc. based on the conversion ratios applied to other equity awards.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Stockholders of the Company’s common stock are entitled to receive dividends when declared by the Company’s board of directors (the “Board”). During the three months ended September 30, 2023 and 2022, quarterly dividends declared were $0.05 per common share, respectively. During the nine months ended September 30, 2023 and 2022, dividends declared were $0.15 per common share in the aggregate in each period. The capacity to pay dividends in the future depends on many factors, including the Company’s financial condition, results of operations, capital requirements, capital structure, industry practice and other business conditions that the Board considers relevant.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Stock Repurchase Programs</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June 12, 2020 the Board authorized a stock repurchase program providing for the repurchase of up to $150.0 million of the Company's Common Stock dependent on market conditions, share prices and other factors. On April 22, 2021, the Board authorized an additional $100.0 million of purchases under the existing stock repurchase plan.</w:t>
      </w:r>
    </w:p>
    <w:p>
      <w:pPr>
        <w:spacing w:after="0" w:line="18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As of September 30, 2023, the Company had repurchased a total of approximately 10.0 million shares of common stock, since inception of the plan, at an average price of $17.24 per share for a total cost of $172.2 million. The shares repurchased are recorded as treasury stock and are accounted for under the cost method.</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No expiration date has been specified for this plan. As of September 30, 2023, the total remaining amount available for repurchase under this plan was $77.8 million. The Company may execute authorized repurchases from time to time under the plan.</w:t>
      </w:r>
    </w:p>
    <w:p>
      <w:pPr>
        <w:spacing w:after="0" w:line="17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connection with the stock repurchase program, all shares repurchased by the Company as of June 1, 2020 and recorded as treasury stock were canceled and retired. The Company accounts for stock repurchases using the cost method and records retirement of treasury stock as a reduction of the cumulative treasury stock paid-in capital balance. Once the cumulative balance is reduced to zero, any remaining difference resulting from the retirement of treasury stock is recorded as a reduction of retained earnings.</w:t>
      </w:r>
    </w:p>
    <w:p>
      <w:pPr>
        <w:spacing w:after="0" w:line="18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issues restricted stock awards as part of the equity incentive plans described above. For the majority of restricted awards, shares are withheld to satisfy required withholding taxes at the vesting date. Shares withheld to satisfy required withholding taxes in connection with the vesting of restricted awards are treated as common stock repurchases in the Condensed Consolidated Financial Statements because they reduce the number of shares that would have been issued on vesting. However, these withheld shares are not included in common stock repurchases under the Company’s authorized share repurchase plan. During the three months ended September 30, 2023 and 2022, the Company withheld 0.3 million and 0.3 million shares of common stock to satisfy $3.0 million and $3.9 million of required withholding taxes, respectively. During the nine months ended September 30, 2023 and 2022, the Company withheld 1.0 million and 0.9 million shares of common stock to satisfy $10.5 million and $15.3 million of required withholding taxes,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STOCK-BASED COMPENSATION EXPENSE</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effect of recording stock-based compensation (“SBC”) expense for the three and nine months ended September 30, 2023 and 2022 is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r>
      <w:tr>
        <w:trPr>
          <w:trHeight w:val="241"/>
        </w:trPr>
        <w:tc>
          <w:tcPr>
            <w:tcW w:w="5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r>
      <w:tr>
        <w:trPr>
          <w:trHeight w:val="239"/>
        </w:trPr>
        <w:tc>
          <w:tcPr>
            <w:tcW w:w="5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41"/>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2,097</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FF0FC"/>
          </w:tcPr>
          <w:p>
            <w:pPr>
              <w:spacing w:after="0"/>
              <w:rPr>
                <w:sz w:val="20"/>
                <w:szCs w:val="20"/>
                <w:color w:val="auto"/>
              </w:rPr>
            </w:pPr>
          </w:p>
        </w:tc>
      </w:tr>
      <w:tr>
        <w:trPr>
          <w:trHeight w:val="237"/>
        </w:trPr>
        <w:tc>
          <w:tcPr>
            <w:tcW w:w="59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4,107</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5,978</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18,299</w:t>
            </w:r>
          </w:p>
        </w:tc>
        <w:tc>
          <w:tcPr>
            <w:tcW w:w="100" w:type="dxa"/>
            <w:vAlign w:val="bottom"/>
          </w:tcPr>
          <w:p>
            <w:pPr>
              <w:spacing w:after="0"/>
              <w:rPr>
                <w:sz w:val="20"/>
                <w:szCs w:val="20"/>
                <w:color w:val="auto"/>
              </w:rPr>
            </w:pPr>
          </w:p>
        </w:tc>
      </w:tr>
      <w:tr>
        <w:trPr>
          <w:trHeight w:val="277"/>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4,874</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6,413</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13,070</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19,502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-24765</wp:posOffset>
            </wp:positionV>
            <wp:extent cx="768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-8255</wp:posOffset>
            </wp:positionV>
            <wp:extent cx="7683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 connection with termination of employment with a former executive on March 1, 2022, the Company entered into a Separation Agreement and Release with the executive, dated February 18, 2022 (the “Separation Agreement”). Pursuant to the Separation Agreement, the Company approved, among other severance benefits, accelerated vesting of 372,244 of outstanding performance and time-based restricted stock units. As a result of this modification, the Company recorded incremental SBC of approximately $2.2 million during the nine months ended September 30,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options granted during the three and nine months ended September 30, 2023 and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ind w:right="120"/>
        <w:spacing w:after="0" w:line="342" w:lineRule="auto"/>
        <w:rPr>
          <w:sz w:val="20"/>
          <w:szCs w:val="20"/>
          <w:color w:val="auto"/>
        </w:rPr>
      </w:pPr>
      <w:r>
        <w:rPr>
          <w:rFonts w:ascii="Arial" w:cs="Arial" w:eastAsia="Arial" w:hAnsi="Arial"/>
          <w:sz w:val="16"/>
          <w:szCs w:val="16"/>
          <w:color w:val="auto"/>
        </w:rPr>
        <w:t>There were no restricted stock units subject to market conditions granted during the three months ended September 30, 2023 and 2022. The following assumptions were used to value the restricted stock units subject to market conditions granted during the nine months ended September 30, 2023 and 2022:</w:t>
      </w:r>
    </w:p>
    <w:p>
      <w:pPr>
        <w:spacing w:after="0" w:line="93" w:lineRule="exact"/>
        <w:rPr>
          <w:sz w:val="20"/>
          <w:szCs w:val="20"/>
          <w:color w:val="auto"/>
        </w:rPr>
      </w:pPr>
    </w:p>
    <w:p>
      <w:pPr>
        <w:jc w:val="center"/>
        <w:ind w:left="728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728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560" w:type="dxa"/>
            <w:vAlign w:val="bottom"/>
          </w:tcPr>
          <w:p>
            <w:pPr>
              <w:spacing w:after="0"/>
              <w:rPr>
                <w:sz w:val="21"/>
                <w:szCs w:val="21"/>
                <w:color w:val="auto"/>
              </w:rPr>
            </w:pPr>
          </w:p>
        </w:tc>
        <w:tc>
          <w:tcPr>
            <w:tcW w:w="160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800" w:type="dxa"/>
            <w:vAlign w:val="bottom"/>
            <w:tcBorders>
              <w:top w:val="single" w:sz="8" w:color="auto"/>
            </w:tcBorders>
            <w:gridSpan w:val="2"/>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1"/>
                <w:szCs w:val="21"/>
                <w:color w:val="auto"/>
              </w:rPr>
            </w:pPr>
          </w:p>
        </w:tc>
      </w:tr>
      <w:tr>
        <w:trPr>
          <w:trHeight w:val="241"/>
        </w:trPr>
        <w:tc>
          <w:tcPr>
            <w:tcW w:w="7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Expected life (years)</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ind w:left="1340"/>
              <w:spacing w:after="0"/>
              <w:rPr>
                <w:sz w:val="20"/>
                <w:szCs w:val="20"/>
                <w:color w:val="auto"/>
              </w:rPr>
            </w:pPr>
            <w:r>
              <w:rPr>
                <w:rFonts w:ascii="Arial" w:cs="Arial" w:eastAsia="Arial" w:hAnsi="Arial"/>
                <w:sz w:val="18"/>
                <w:szCs w:val="18"/>
                <w:color w:val="auto"/>
                <w:w w:val="79"/>
              </w:rPr>
              <w:t>3.0</w:t>
            </w:r>
          </w:p>
        </w:tc>
        <w:tc>
          <w:tcPr>
            <w:tcW w:w="280" w:type="dxa"/>
            <w:vAlign w:val="bottom"/>
            <w:shd w:val="clear" w:color="auto" w:fill="CFF0FC"/>
          </w:tcPr>
          <w:p>
            <w:pPr>
              <w:spacing w:after="0"/>
              <w:rPr>
                <w:sz w:val="20"/>
                <w:szCs w:val="20"/>
                <w:color w:val="auto"/>
              </w:rPr>
            </w:pPr>
          </w:p>
        </w:tc>
      </w:tr>
      <w:tr>
        <w:trPr>
          <w:trHeight w:val="237"/>
        </w:trPr>
        <w:tc>
          <w:tcPr>
            <w:tcW w:w="7560" w:type="dxa"/>
            <w:vAlign w:val="bottom"/>
          </w:tcPr>
          <w:p>
            <w:pPr>
              <w:ind w:left="120"/>
              <w:spacing w:after="0"/>
              <w:rPr>
                <w:sz w:val="20"/>
                <w:szCs w:val="20"/>
                <w:color w:val="auto"/>
              </w:rPr>
            </w:pPr>
            <w:r>
              <w:rPr>
                <w:rFonts w:ascii="Arial" w:cs="Arial" w:eastAsia="Arial" w:hAnsi="Arial"/>
                <w:sz w:val="18"/>
                <w:szCs w:val="18"/>
                <w:color w:val="auto"/>
              </w:rPr>
              <w:t>Risk-free interest rate</w:t>
            </w:r>
          </w:p>
        </w:tc>
        <w:tc>
          <w:tcPr>
            <w:tcW w:w="1600" w:type="dxa"/>
            <w:vAlign w:val="bottom"/>
          </w:tcPr>
          <w:p>
            <w:pPr>
              <w:jc w:val="right"/>
              <w:spacing w:after="0"/>
              <w:rPr>
                <w:sz w:val="20"/>
                <w:szCs w:val="20"/>
                <w:color w:val="auto"/>
              </w:rPr>
            </w:pPr>
            <w:r>
              <w:rPr>
                <w:rFonts w:ascii="Arial" w:cs="Arial" w:eastAsia="Arial" w:hAnsi="Arial"/>
                <w:sz w:val="18"/>
                <w:szCs w:val="18"/>
                <w:color w:val="auto"/>
              </w:rPr>
              <w:t>3.6% − 4.5%</w:t>
            </w:r>
          </w:p>
        </w:tc>
        <w:tc>
          <w:tcPr>
            <w:tcW w:w="2080" w:type="dxa"/>
            <w:vAlign w:val="bottom"/>
            <w:gridSpan w:val="3"/>
          </w:tcPr>
          <w:p>
            <w:pPr>
              <w:ind w:left="1580"/>
              <w:spacing w:after="0"/>
              <w:rPr>
                <w:sz w:val="20"/>
                <w:szCs w:val="20"/>
                <w:color w:val="auto"/>
              </w:rPr>
            </w:pPr>
            <w:r>
              <w:rPr>
                <w:rFonts w:ascii="Arial" w:cs="Arial" w:eastAsia="Arial" w:hAnsi="Arial"/>
                <w:sz w:val="18"/>
                <w:szCs w:val="18"/>
                <w:color w:val="auto"/>
              </w:rPr>
              <w:t>2.8 %</w:t>
            </w:r>
          </w:p>
        </w:tc>
      </w:tr>
      <w:tr>
        <w:trPr>
          <w:trHeight w:val="249"/>
        </w:trPr>
        <w:tc>
          <w:tcPr>
            <w:tcW w:w="7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Dividend yield</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 − 2.3%</w:t>
            </w:r>
          </w:p>
        </w:tc>
        <w:tc>
          <w:tcPr>
            <w:tcW w:w="2080" w:type="dxa"/>
            <w:vAlign w:val="bottom"/>
            <w:gridSpan w:val="3"/>
            <w:shd w:val="clear" w:color="auto" w:fill="CFF0FC"/>
          </w:tcPr>
          <w:p>
            <w:pPr>
              <w:ind w:left="1580"/>
              <w:spacing w:after="0"/>
              <w:rPr>
                <w:sz w:val="20"/>
                <w:szCs w:val="20"/>
                <w:color w:val="auto"/>
              </w:rPr>
            </w:pPr>
            <w:r>
              <w:rPr>
                <w:rFonts w:ascii="Arial" w:cs="Arial" w:eastAsia="Arial" w:hAnsi="Arial"/>
                <w:sz w:val="18"/>
                <w:szCs w:val="18"/>
                <w:color w:val="auto"/>
              </w:rPr>
              <w:t>1.2 %</w:t>
            </w:r>
          </w:p>
        </w:tc>
      </w:tr>
      <w:tr>
        <w:trPr>
          <w:trHeight w:val="230"/>
        </w:trPr>
        <w:tc>
          <w:tcPr>
            <w:tcW w:w="7560" w:type="dxa"/>
            <w:vAlign w:val="bottom"/>
          </w:tcPr>
          <w:p>
            <w:pPr>
              <w:ind w:left="120"/>
              <w:spacing w:after="0"/>
              <w:rPr>
                <w:sz w:val="20"/>
                <w:szCs w:val="20"/>
                <w:color w:val="auto"/>
              </w:rPr>
            </w:pPr>
            <w:r>
              <w:rPr>
                <w:rFonts w:ascii="Arial" w:cs="Arial" w:eastAsia="Arial" w:hAnsi="Arial"/>
                <w:sz w:val="18"/>
                <w:szCs w:val="18"/>
                <w:color w:val="auto"/>
              </w:rPr>
              <w:t>Expected volatility</w:t>
            </w:r>
          </w:p>
        </w:tc>
        <w:tc>
          <w:tcPr>
            <w:tcW w:w="1600" w:type="dxa"/>
            <w:vAlign w:val="bottom"/>
          </w:tcPr>
          <w:p>
            <w:pPr>
              <w:jc w:val="right"/>
              <w:spacing w:after="0"/>
              <w:rPr>
                <w:sz w:val="20"/>
                <w:szCs w:val="20"/>
                <w:color w:val="auto"/>
              </w:rPr>
            </w:pPr>
            <w:r>
              <w:rPr>
                <w:rFonts w:ascii="Arial" w:cs="Arial" w:eastAsia="Arial" w:hAnsi="Arial"/>
                <w:sz w:val="18"/>
                <w:szCs w:val="18"/>
                <w:color w:val="auto"/>
              </w:rPr>
              <w:t>63.3% − 68.5%</w:t>
            </w:r>
          </w:p>
        </w:tc>
        <w:tc>
          <w:tcPr>
            <w:tcW w:w="240" w:type="dxa"/>
            <w:vAlign w:val="bottom"/>
          </w:tcPr>
          <w:p>
            <w:pPr>
              <w:spacing w:after="0"/>
              <w:rPr>
                <w:sz w:val="20"/>
                <w:szCs w:val="20"/>
                <w:color w:val="auto"/>
              </w:rPr>
            </w:pPr>
          </w:p>
        </w:tc>
        <w:tc>
          <w:tcPr>
            <w:tcW w:w="1840" w:type="dxa"/>
            <w:vAlign w:val="bottom"/>
            <w:gridSpan w:val="2"/>
          </w:tcPr>
          <w:p>
            <w:pPr>
              <w:ind w:left="440"/>
              <w:spacing w:after="0"/>
              <w:rPr>
                <w:sz w:val="20"/>
                <w:szCs w:val="20"/>
                <w:color w:val="auto"/>
              </w:rPr>
            </w:pPr>
            <w:r>
              <w:rPr>
                <w:rFonts w:ascii="Arial" w:cs="Arial" w:eastAsia="Arial" w:hAnsi="Arial"/>
                <w:sz w:val="18"/>
                <w:szCs w:val="18"/>
                <w:color w:val="auto"/>
              </w:rPr>
              <w:t>37.5% − 40.9%</w:t>
            </w:r>
          </w:p>
        </w:tc>
      </w:tr>
    </w:tbl>
    <w:p>
      <w:pPr>
        <w:spacing w:after="0" w:line="21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Prior to the Separation, ESPP grants occurred in March and September. Due to the Separation, the offering period under the 2020 ESPP plan commenced on December 1, 2022, and due to the fair value of the Company’s common stock on May 31, 2023 as compared to December 1, 2022, a new offering period commenced on June 1, 2023. ESPP grants occurs in June and December, as discussed in “Note 11 </w:t>
      </w:r>
      <w:r>
        <w:rPr>
          <w:rFonts w:ascii="Arial" w:cs="Arial" w:eastAsia="Arial" w:hAnsi="Arial"/>
          <w:sz w:val="17"/>
          <w:szCs w:val="17"/>
          <w:i w:val="1"/>
          <w:iCs w:val="1"/>
          <w:color w:val="auto"/>
        </w:rPr>
        <w:t>– Stockholders’ Equity.</w:t>
      </w:r>
      <w:r>
        <w:rPr>
          <w:rFonts w:ascii="Arial" w:cs="Arial" w:eastAsia="Arial" w:hAnsi="Arial"/>
          <w:sz w:val="17"/>
          <w:szCs w:val="17"/>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to value the ESPP shares for these grants:</w:t>
      </w:r>
    </w:p>
    <w:p>
      <w:pPr>
        <w:spacing w:after="0" w:line="235" w:lineRule="exact"/>
        <w:rPr>
          <w:sz w:val="20"/>
          <w:szCs w:val="20"/>
          <w:color w:val="auto"/>
        </w:rPr>
      </w:pPr>
    </w:p>
    <w:p>
      <w:pPr>
        <w:jc w:val="center"/>
        <w:ind w:left="758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758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72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46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life (years)</w:t>
            </w:r>
          </w:p>
        </w:tc>
        <w:tc>
          <w:tcPr>
            <w:tcW w:w="110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4.3 %</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1.3 %</w:t>
            </w:r>
          </w:p>
        </w:tc>
      </w:tr>
      <w:tr>
        <w:trPr>
          <w:trHeight w:val="242"/>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2.0 %</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63.5 %</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48.5 %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229"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The Company’s income tax provision and effective tax rate for interim periods are based on its estimated annual effective tax rate adjusted for discrete items during the period. For the three and nine months ended September 30, 2023, the Company recorded income tax expense of $1.7 million and $15.9 million, respectively. For the three and nine months ended September 30, 2022, the Company recorded income tax expense of $10.4 million and $26.5 million, respectively. The effective tax rate varies from the 21% U.S. federal tax rate primarily due to foreign exchange gain or loss on prior year South Korea withholding tax refund claims offset by favorable state audit settlements. The decrease in income tax expense for the three and nine months ended September 30, 2023, as compared to the same period in the prior year was primarily due to a decrease in pretax income and favorable state audit settlements.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LEASES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leases office and research facilities and office equipment under operating leases which expire through 2027. The Company’s leases have remaining lease terms of two to four years, some of which may include options to extend the leases for five years or longer, and some of which may include options to terminate the leases within the next five years or less. Leases with an initial term of 12 months or less are not recorded on the Condensed Consolidated Balance Sheets; expense for these leases is recognized on a straight-line basis over the lease term. Variable lease payments are expensed as incurred and are not included within the lease liability and right-of-use assets calculation. As a practical expedient, the Company elected, for all office and facility leases, not to separate non-lease components (e.g., common-area maintenance costs) from lease components (e.g., fixed payments including rent) and instead to account for each separate lease component and its associated non-lease components as a single lease component.</w:t>
      </w:r>
    </w:p>
    <w:p>
      <w:pPr>
        <w:spacing w:after="0" w:line="16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7" w:right="279" w:bottom="1440" w:gutter="0" w:footer="0" w:header="0"/>
        </w:sectPr>
      </w:pPr>
    </w:p>
    <w:bookmarkStart w:id="32" w:name="page33"/>
    <w:bookmarkEnd w:id="32"/>
    <w:p>
      <w:pPr>
        <w:ind w:right="280"/>
        <w:spacing w:after="0" w:line="342" w:lineRule="auto"/>
        <w:rPr>
          <w:sz w:val="20"/>
          <w:szCs w:val="20"/>
          <w:color w:val="auto"/>
        </w:rPr>
      </w:pPr>
      <w:r>
        <w:rPr>
          <w:rFonts w:ascii="Arial" w:cs="Arial" w:eastAsia="Arial" w:hAnsi="Arial"/>
          <w:sz w:val="16"/>
          <w:szCs w:val="16"/>
          <w:color w:val="auto"/>
        </w:rPr>
        <w:t>As most of the leases do not provide an implicit rate, the Company generally, for purposes of discounting lease payments, uses its incremental borrowing rate based on the estimated rate of interest for collateralized borrowing over a similar term of the lease payments at commencement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operating lease costs were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80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1"/>
              </w:rPr>
              <w:t>Nine Months Ended</w:t>
            </w:r>
          </w:p>
        </w:tc>
        <w:tc>
          <w:tcPr>
            <w:tcW w:w="100" w:type="dxa"/>
            <w:vAlign w:val="bottom"/>
          </w:tcPr>
          <w:p>
            <w:pPr>
              <w:spacing w:after="0"/>
              <w:rPr>
                <w:sz w:val="18"/>
                <w:szCs w:val="18"/>
                <w:color w:val="auto"/>
              </w:rPr>
            </w:pPr>
          </w:p>
        </w:tc>
      </w:tr>
      <w:tr>
        <w:trPr>
          <w:trHeight w:val="241"/>
        </w:trPr>
        <w:tc>
          <w:tcPr>
            <w:tcW w:w="45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w w:val="94"/>
              </w:rPr>
              <w:t>September 30,</w:t>
            </w:r>
          </w:p>
        </w:tc>
        <w:tc>
          <w:tcPr>
            <w:tcW w:w="4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4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Pr>
          <w:p>
            <w:pPr>
              <w:spacing w:after="0"/>
              <w:rPr>
                <w:sz w:val="20"/>
                <w:szCs w:val="20"/>
                <w:color w:val="auto"/>
              </w:rPr>
            </w:pPr>
          </w:p>
        </w:tc>
        <w:tc>
          <w:tcPr>
            <w:tcW w:w="13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20"/>
                <w:szCs w:val="20"/>
                <w:color w:val="auto"/>
              </w:rPr>
            </w:pPr>
          </w:p>
        </w:tc>
      </w:tr>
      <w:tr>
        <w:trPr>
          <w:trHeight w:val="241"/>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Fixed lease cost</w:t>
            </w: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28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2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1,671</w:t>
            </w:r>
          </w:p>
        </w:tc>
        <w:tc>
          <w:tcPr>
            <w:tcW w:w="240" w:type="dxa"/>
            <w:vAlign w:val="bottom"/>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1,626</w:t>
            </w:r>
          </w:p>
        </w:tc>
        <w:tc>
          <w:tcPr>
            <w:tcW w:w="100" w:type="dxa"/>
            <w:vAlign w:val="bottom"/>
            <w:shd w:val="clear" w:color="auto" w:fill="CFF0FC"/>
          </w:tcPr>
          <w:p>
            <w:pPr>
              <w:spacing w:after="0"/>
              <w:rPr>
                <w:sz w:val="20"/>
                <w:szCs w:val="20"/>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171</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153</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468</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r>
      <w:tr>
        <w:trPr>
          <w:trHeight w:val="270"/>
        </w:trPr>
        <w:tc>
          <w:tcPr>
            <w:tcW w:w="4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lease cost</w:t>
            </w:r>
          </w:p>
        </w:tc>
        <w:tc>
          <w:tcPr>
            <w:tcW w:w="98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28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top w:val="single" w:sz="8" w:color="auto"/>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28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2,139</w:t>
            </w:r>
          </w:p>
        </w:tc>
        <w:tc>
          <w:tcPr>
            <w:tcW w:w="24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2,066</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-25400</wp:posOffset>
            </wp:positionV>
            <wp:extent cx="774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-8255</wp:posOffset>
            </wp:positionV>
            <wp:extent cx="7747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-25400</wp:posOffset>
            </wp:positionV>
            <wp:extent cx="768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-8255</wp:posOffset>
            </wp:positionV>
            <wp:extent cx="7683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leases was as follows (in thousands, except lease term and discount rate):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244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r>
      <w:tr>
        <w:trPr>
          <w:trHeight w:val="241"/>
        </w:trPr>
        <w:tc>
          <w:tcPr>
            <w:tcW w:w="57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w w:val="89"/>
              </w:rPr>
              <w:t>September 30,</w:t>
            </w:r>
          </w:p>
        </w:tc>
        <w:tc>
          <w:tcPr>
            <w:tcW w:w="3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r>
      <w:tr>
        <w:trPr>
          <w:trHeight w:val="239"/>
        </w:trPr>
        <w:tc>
          <w:tcPr>
            <w:tcW w:w="57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440" w:type="dxa"/>
            <w:vAlign w:val="bottom"/>
          </w:tcPr>
          <w:p>
            <w:pPr>
              <w:spacing w:after="0"/>
              <w:rPr>
                <w:sz w:val="20"/>
                <w:szCs w:val="20"/>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41"/>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w w:val="92"/>
              </w:rPr>
              <w:t>Cash paid for amounts included in the measurement of lease liabilities:</w:t>
            </w:r>
          </w:p>
        </w:tc>
        <w:tc>
          <w:tcPr>
            <w:tcW w:w="84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611</w:t>
            </w:r>
          </w:p>
        </w:tc>
        <w:tc>
          <w:tcPr>
            <w:tcW w:w="11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565</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1,808</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20"/>
                <w:szCs w:val="20"/>
                <w:color w:val="auto"/>
              </w:rPr>
            </w:pPr>
          </w:p>
        </w:tc>
      </w:tr>
      <w:tr>
        <w:trPr>
          <w:trHeight w:val="243"/>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ROU assets obtained in exchange for new lease liabilities:</w:t>
            </w:r>
          </w:p>
        </w:tc>
        <w:tc>
          <w:tcPr>
            <w:tcW w:w="840" w:type="dxa"/>
            <w:vAlign w:val="bottom"/>
            <w:tcBorders>
              <w:top w:val="single" w:sz="8" w:color="auto"/>
            </w:tcBorders>
            <w:shd w:val="clear" w:color="auto" w:fill="CFF0FC"/>
          </w:tcPr>
          <w:p>
            <w:pPr>
              <w:spacing w:after="0"/>
              <w:rPr>
                <w:sz w:val="21"/>
                <w:szCs w:val="21"/>
                <w:color w:val="auto"/>
              </w:rPr>
            </w:pPr>
          </w:p>
        </w:tc>
        <w:tc>
          <w:tcPr>
            <w:tcW w:w="44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0"/>
                <w:szCs w:val="20"/>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September 30, 2023</w:t>
            </w:r>
          </w:p>
        </w:tc>
        <w:tc>
          <w:tcPr>
            <w:tcW w:w="20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December 31, 2022</w:t>
            </w:r>
          </w:p>
        </w:tc>
      </w:tr>
      <w:tr>
        <w:trPr>
          <w:trHeight w:val="243"/>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Weighted-average remaining lease term (years):</w:t>
            </w:r>
          </w:p>
        </w:tc>
        <w:tc>
          <w:tcPr>
            <w:tcW w:w="2560" w:type="dxa"/>
            <w:vAlign w:val="bottom"/>
            <w:shd w:val="clear" w:color="auto" w:fill="CFF0FC"/>
          </w:tcPr>
          <w:p>
            <w:pPr>
              <w:spacing w:after="0"/>
              <w:rPr>
                <w:sz w:val="21"/>
                <w:szCs w:val="21"/>
                <w:color w:val="auto"/>
              </w:rPr>
            </w:pPr>
          </w:p>
        </w:tc>
        <w:tc>
          <w:tcPr>
            <w:tcW w:w="184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9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Weighted-average discount rate:</w:t>
            </w:r>
          </w:p>
        </w:tc>
        <w:tc>
          <w:tcPr>
            <w:tcW w:w="2560" w:type="dxa"/>
            <w:vAlign w:val="bottom"/>
            <w:shd w:val="clear" w:color="auto" w:fill="CFF0FC"/>
          </w:tcPr>
          <w:p>
            <w:pPr>
              <w:spacing w:after="0"/>
              <w:rPr>
                <w:sz w:val="21"/>
                <w:szCs w:val="21"/>
                <w:color w:val="auto"/>
              </w:rPr>
            </w:pPr>
          </w:p>
        </w:tc>
        <w:tc>
          <w:tcPr>
            <w:tcW w:w="184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9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4620" w:type="dxa"/>
            <w:vAlign w:val="bottom"/>
            <w:gridSpan w:val="3"/>
          </w:tcPr>
          <w:p>
            <w:pPr>
              <w:jc w:val="right"/>
              <w:ind w:right="60"/>
              <w:spacing w:after="0"/>
              <w:rPr>
                <w:sz w:val="20"/>
                <w:szCs w:val="20"/>
                <w:color w:val="auto"/>
              </w:rPr>
            </w:pPr>
            <w:r>
              <w:rPr>
                <w:rFonts w:ascii="Arial" w:cs="Arial" w:eastAsia="Arial" w:hAnsi="Arial"/>
                <w:sz w:val="18"/>
                <w:szCs w:val="18"/>
                <w:color w:val="auto"/>
              </w:rPr>
              <w:t>5.4 %</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5.4 %</w:t>
            </w:r>
          </w:p>
        </w:tc>
      </w:tr>
      <w:tr>
        <w:trPr>
          <w:trHeight w:val="648"/>
        </w:trPr>
        <w:tc>
          <w:tcPr>
            <w:tcW w:w="4620" w:type="dxa"/>
            <w:vAlign w:val="bottom"/>
          </w:tcPr>
          <w:p>
            <w:pPr>
              <w:spacing w:after="0"/>
              <w:rPr>
                <w:sz w:val="24"/>
                <w:szCs w:val="24"/>
                <w:color w:val="auto"/>
              </w:rPr>
            </w:pPr>
          </w:p>
        </w:tc>
        <w:tc>
          <w:tcPr>
            <w:tcW w:w="2560" w:type="dxa"/>
            <w:vAlign w:val="bottom"/>
          </w:tcPr>
          <w:p>
            <w:pPr>
              <w:jc w:val="right"/>
              <w:ind w:right="1370"/>
              <w:spacing w:after="0"/>
              <w:rPr>
                <w:sz w:val="20"/>
                <w:szCs w:val="20"/>
                <w:color w:val="auto"/>
              </w:rPr>
            </w:pPr>
            <w:r>
              <w:rPr>
                <w:rFonts w:ascii="Arial" w:cs="Arial" w:eastAsia="Arial" w:hAnsi="Arial"/>
                <w:sz w:val="18"/>
                <w:szCs w:val="18"/>
                <w:color w:val="auto"/>
              </w:rPr>
              <w:t>33</w:t>
            </w:r>
          </w:p>
        </w:tc>
        <w:tc>
          <w:tcPr>
            <w:tcW w:w="1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557"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Future minimum lease payments and related lease liabilities as of September 30, 2023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20" w:type="dxa"/>
            <w:vAlign w:val="bottom"/>
          </w:tcPr>
          <w:p>
            <w:pPr>
              <w:spacing w:after="0"/>
              <w:rPr>
                <w:sz w:val="17"/>
                <w:szCs w:val="17"/>
                <w:color w:val="auto"/>
              </w:rPr>
            </w:pPr>
          </w:p>
        </w:tc>
        <w:tc>
          <w:tcPr>
            <w:tcW w:w="2220" w:type="dxa"/>
            <w:vAlign w:val="bottom"/>
            <w:gridSpan w:val="3"/>
          </w:tcPr>
          <w:p>
            <w:pPr>
              <w:spacing w:after="0"/>
              <w:rPr>
                <w:sz w:val="20"/>
                <w:szCs w:val="20"/>
                <w:color w:val="auto"/>
              </w:rPr>
            </w:pPr>
            <w:r>
              <w:rPr>
                <w:rFonts w:ascii="Arial" w:cs="Arial" w:eastAsia="Arial" w:hAnsi="Arial"/>
                <w:sz w:val="18"/>
                <w:szCs w:val="18"/>
                <w:b w:val="1"/>
                <w:bCs w:val="1"/>
                <w:color w:val="auto"/>
                <w:w w:val="95"/>
              </w:rPr>
              <w:t>Operating Lease Payments</w:t>
            </w:r>
          </w:p>
        </w:tc>
      </w:tr>
      <w:tr>
        <w:trPr>
          <w:trHeight w:val="157"/>
        </w:trPr>
        <w:tc>
          <w:tcPr>
            <w:tcW w:w="9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80" w:type="dxa"/>
            <w:vAlign w:val="bottom"/>
          </w:tcPr>
          <w:p>
            <w:pPr>
              <w:jc w:val="right"/>
              <w:ind w:right="912"/>
              <w:spacing w:after="0"/>
              <w:rPr>
                <w:sz w:val="20"/>
                <w:szCs w:val="20"/>
                <w:color w:val="auto"/>
              </w:rPr>
            </w:pPr>
            <w:r>
              <w:rPr>
                <w:rFonts w:ascii="Arial" w:cs="Arial" w:eastAsia="Arial" w:hAnsi="Arial"/>
                <w:sz w:val="12"/>
                <w:szCs w:val="12"/>
                <w:b w:val="1"/>
                <w:bCs w:val="1"/>
                <w:color w:val="auto"/>
              </w:rPr>
              <w:t>(1)</w:t>
            </w:r>
          </w:p>
        </w:tc>
        <w:tc>
          <w:tcPr>
            <w:tcW w:w="100" w:type="dxa"/>
            <w:vAlign w:val="bottom"/>
          </w:tcPr>
          <w:p>
            <w:pPr>
              <w:spacing w:after="0"/>
              <w:rPr>
                <w:sz w:val="13"/>
                <w:szCs w:val="13"/>
                <w:color w:val="auto"/>
              </w:rPr>
            </w:pPr>
          </w:p>
        </w:tc>
      </w:tr>
      <w:tr>
        <w:trPr>
          <w:trHeight w:val="45"/>
        </w:trPr>
        <w:tc>
          <w:tcPr>
            <w:tcW w:w="90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37"/>
        </w:trPr>
        <w:tc>
          <w:tcPr>
            <w:tcW w:w="9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 (remaining 3 months)</w:t>
            </w:r>
          </w:p>
        </w:tc>
        <w:tc>
          <w:tcPr>
            <w:tcW w:w="5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FF0FC"/>
          </w:tcPr>
          <w:p>
            <w:pPr>
              <w:spacing w:after="0"/>
              <w:rPr>
                <w:sz w:val="20"/>
                <w:szCs w:val="20"/>
                <w:color w:val="auto"/>
              </w:rPr>
            </w:pPr>
          </w:p>
        </w:tc>
      </w:tr>
      <w:tr>
        <w:trPr>
          <w:trHeight w:val="237"/>
        </w:trPr>
        <w:tc>
          <w:tcPr>
            <w:tcW w:w="902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20"/>
                <w:szCs w:val="20"/>
                <w:color w:val="auto"/>
              </w:rPr>
            </w:pPr>
          </w:p>
        </w:tc>
      </w:tr>
      <w:tr>
        <w:trPr>
          <w:trHeight w:val="249"/>
        </w:trPr>
        <w:tc>
          <w:tcPr>
            <w:tcW w:w="9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1,975</w:t>
            </w:r>
          </w:p>
        </w:tc>
        <w:tc>
          <w:tcPr>
            <w:tcW w:w="100" w:type="dxa"/>
            <w:vAlign w:val="bottom"/>
            <w:shd w:val="clear" w:color="auto" w:fill="CFF0FC"/>
          </w:tcPr>
          <w:p>
            <w:pPr>
              <w:spacing w:after="0"/>
              <w:rPr>
                <w:sz w:val="21"/>
                <w:szCs w:val="21"/>
                <w:color w:val="auto"/>
              </w:rPr>
            </w:pPr>
          </w:p>
        </w:tc>
      </w:tr>
      <w:tr>
        <w:trPr>
          <w:trHeight w:val="237"/>
        </w:trPr>
        <w:tc>
          <w:tcPr>
            <w:tcW w:w="9020" w:type="dxa"/>
            <w:vAlign w:val="bottom"/>
          </w:tcPr>
          <w:p>
            <w:pPr>
              <w:ind w:left="20"/>
              <w:spacing w:after="0"/>
              <w:rPr>
                <w:sz w:val="20"/>
                <w:szCs w:val="20"/>
                <w:color w:val="auto"/>
              </w:rPr>
            </w:pPr>
            <w:r>
              <w:rPr>
                <w:rFonts w:ascii="Arial" w:cs="Arial" w:eastAsia="Arial" w:hAnsi="Arial"/>
                <w:sz w:val="18"/>
                <w:szCs w:val="18"/>
                <w:color w:val="auto"/>
              </w:rPr>
              <w:t>2026</w:t>
            </w:r>
          </w:p>
        </w:tc>
        <w:tc>
          <w:tcPr>
            <w:tcW w:w="5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0"/>
                <w:szCs w:val="20"/>
                <w:color w:val="auto"/>
              </w:rPr>
            </w:pPr>
          </w:p>
        </w:tc>
      </w:tr>
      <w:tr>
        <w:trPr>
          <w:trHeight w:val="249"/>
        </w:trPr>
        <w:tc>
          <w:tcPr>
            <w:tcW w:w="9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5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FF0FC"/>
          </w:tcPr>
          <w:p>
            <w:pPr>
              <w:spacing w:after="0"/>
              <w:rPr>
                <w:sz w:val="21"/>
                <w:szCs w:val="21"/>
                <w:color w:val="auto"/>
              </w:rPr>
            </w:pPr>
          </w:p>
        </w:tc>
      </w:tr>
      <w:tr>
        <w:trPr>
          <w:trHeight w:val="237"/>
        </w:trPr>
        <w:tc>
          <w:tcPr>
            <w:tcW w:w="90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20"/>
                <w:szCs w:val="20"/>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9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540" w:type="dxa"/>
            <w:vAlign w:val="bottom"/>
            <w:tcBorders>
              <w:top w:val="single" w:sz="8" w:color="auto"/>
              <w:bottom w:val="single" w:sz="8" w:color="auto"/>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902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54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(364 )</w:t>
            </w:r>
          </w:p>
        </w:tc>
      </w:tr>
      <w:tr>
        <w:trPr>
          <w:trHeight w:val="277"/>
        </w:trPr>
        <w:tc>
          <w:tcPr>
            <w:tcW w:w="9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Present value of lease liabilities:</w:t>
            </w:r>
          </w:p>
        </w:tc>
        <w:tc>
          <w:tcPr>
            <w:tcW w:w="5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0"/>
        </w:trPr>
        <w:tc>
          <w:tcPr>
            <w:tcW w:w="9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9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current obligations under leases (accrued liabilities)</w:t>
            </w:r>
          </w:p>
        </w:tc>
        <w:tc>
          <w:tcPr>
            <w:tcW w:w="54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902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20"/>
                <w:szCs w:val="20"/>
                <w:color w:val="auto"/>
              </w:rPr>
            </w:pPr>
          </w:p>
        </w:tc>
      </w:tr>
      <w:tr>
        <w:trPr>
          <w:trHeight w:val="20"/>
        </w:trPr>
        <w:tc>
          <w:tcPr>
            <w:tcW w:w="9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1714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1797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95" w:lineRule="exact"/>
        <w:rPr>
          <w:sz w:val="20"/>
          <w:szCs w:val="20"/>
          <w:color w:val="auto"/>
        </w:rPr>
      </w:pPr>
    </w:p>
    <w:p>
      <w:pPr>
        <w:ind w:right="180" w:firstLine="8"/>
        <w:spacing w:after="0" w:line="267" w:lineRule="auto"/>
        <w:tabs>
          <w:tab w:leader="none" w:pos="185"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Future minimum lease payments exclude short-term leases as well as payments to landlords for variable common area maintenance, insurance and real estate taxes.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and Other Contractual Obligations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ordinary course of business, the Company enters into contractual agreements with third parties that include non-cancelable payment obligations, for which it is liable in future periods. These arrangements primarily include unconditional purchase obligations to service providers. As of September 30, 2023, the Company’s total future unconditional purchase obligations were approximately $3.1 million, including $0.6 million due in the remainder of 2023, $1.4 million due in 2024 and the remaining $1.1 million due in 2025.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Prior to the Separation, Adeia Media LLC, a subsidiary of the Company (“Adeia Media”), and a subsidiary of Xperi Inc. (“Xperi Sub”) entered into an agreement (the “Specified Agreement”) with a third party pursuant to which Adeia Media guarantees the performance of Xperi Sub under the Specified Agreement, including its payment obligations to such third party. In connection with the Separation, Adeia Media and Xperi Sub entered into a separate cross business agreement (the “Cross Business Agreement”) effective as of October 1, 2022, under which Adeia Media agreed to make guarantee payments to Xperi Sub in amounts based on certain of its operating expenses and other minimum performance obligations under the Specified Agreement through 2031. Consequently, on October 1, 2022, the Company recognized a guarantee liability pursuant to ASC 460 “Guarantees” of $19.7 million, which represents the fair value of Adeia Media’s projected payments of such operating expenses during the term of the Cross Business Agreement. Subsequent changes to the carrying value of the guarantee are recognized as part of the Company’s results of operations. The maximum potential amount of future payments subject to the guarantee is approximately $7.5 million per annum between 2023 and 2031.</w:t>
      </w:r>
    </w:p>
    <w:p>
      <w:pPr>
        <w:spacing w:after="0" w:line="16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As of September 30, 2023 and December 31, 2022, the balance of the guarantee liability was $18.5 million and $20.5 million, respectively. During the three months and nine months ended September 30, 2023, the Company made guarantee payments of $0.6 million and $1.7 million, respectively. The Company recognized other income of $0.3 million during the nine months ended September 30, 2023 in the Condensed Consolidated Statement of Operations as a result of a change in the carrying value of the guarantee liability.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the normal course of business, the Company provides indemnifications of varying scopes and amounts to certain of its licensees, customers, and business partners against claims made by third parties arising from the use of the Company’s intellectual property, services or technologies. The Company cannot reasonably estimate the possible range of losses that may be incurred pursuant to its indemnification obligations, if any. Variables affecting any such assessment include, but are not limited to: the nature of the claim asserted; the relative merits of the claim; the financial ability of the party suing the indemnified party to engage in protracted litigation; the number of parties seeking indemnification; the nature and amount of damages claimed by the party suing the indemnified party; and the willingness of such party to engage in settlement negotiations. To date, no such claims have been filed against the Company and no liability has been recorded in the Company’s financial statements.</w:t>
      </w:r>
    </w:p>
    <w:p>
      <w:pPr>
        <w:spacing w:after="0" w:line="17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permitted under Delaware law, the Company has agreements whereby it indemnifies its officers and directors for certain events or occurrences while the officer or director is, or was, serving at the Company’s request in such capacity. The maximum potential amount of future payments the Company could be required to make under these indemnification agreements is unlimited; however, the Company believes, given the absence of any such payments in the Company’s history, and the estimated low probability of such payments in the future, that the estimated fair value of these indemnification agreements is immaterial. In addition, the Company has directors’ and officers’ liability insurance coverage that is intended to reduce its financial exposure and may enable the Company to recover any payments under the indemnification agreements, should they occur.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each reporting period, the Company evaluates whether or not a potential loss amount or a potential range of losses is probable and reasonably estimable under the provisions of the authoritative guidance that addresses accounting for contingencies.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June 23, 2017, Adeia Guides Inc. (formerly known as Rovi Guides, Inc.) and Adeia Media Solutions Inc. (formerly known as TiVo Solutions Inc.) (together, “Adeia Media”) filed a patent infringement complaint against Videotron Ltd. and Videotron G.P. (together, “Videotron”) in Toronto, Canada, alleging infringement of six patents (“Videotron 1”). On June 10, 2022, the Federal Court of Canada issued its decision in the case finding in favor of Videotron and its legacy illico platform. Specifically, the Court found invalid each of the asserted claims related to the four remaining patents involved in the case. In Canada, the prevailing party in patent litigation is entitled to reimbursement of certain of its costs and expenses. Accordingly, the Company accrued and paid $2.5 million for expense reimbursement during the year ended December 31, 2022. On September 12, 2022, Adeia Media filed a notice of appeal with the Federal Court of Appeal of Canada appealing the decision of the Federal Court of Canada. On January 30, 2023, Adeia Media filed its opening memorandum of fact and law. Videotron filed its memorandum of fact and law on April 17, 2023.</w:t>
      </w:r>
    </w:p>
    <w:p>
      <w:pPr>
        <w:spacing w:after="0" w:line="17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January 19, 2018, Adeia Media filed a patent infringement complaint against Bell Canada (and four of its affiliates) (collectively, “Bell”) in Toronto, Canada, alleging infringement of six patents (“Bell 1”). On February 2, 2018, Adeia Media filed a patent infringement complaint against Telus Corporation (and two of its affiliates) (collectively, “Telus”) in Toronto, Canada, alleging infringement of the same six patents (“Telus 1”). Bell 1and Telus 1 were heard together for purposes of pre-trial and trial proceedings. On October 7, 2022, the Federal Court of Canada issued its decision in the two cases finding in favor of Bell and Telus and their respective IPTV services, Bell Fibe TV and Telus Optik TV. Specifically, the Court found invalid each of the asserted claims of the four remaining patents involved in the case. In Canada, the prevailing party in patent litigation is entitled to reimbursement of certain of its costs and expenses. Accordingly, the Company paid $2.6 million for expense reimbursement in the second quarter of 2023. On November 7, 2022, Adeia Media filed a notice of appeal with the Federal Court of Appeal of Canada appealing the decision of the Federal Court of Canada. On June 2, 2023, Adeia Media filed its opening memorandum of fact and law. Bell and Telus filed a combined memorandum of fact and law on August 18, 2023. The Federal Court of Appeal of Canada has scheduled a hearing on the appeal for November 29, 2023.</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jc w:val="both"/>
        <w:ind w:right="540"/>
        <w:spacing w:after="0" w:line="311" w:lineRule="auto"/>
        <w:rPr>
          <w:sz w:val="20"/>
          <w:szCs w:val="20"/>
          <w:color w:val="auto"/>
        </w:rPr>
      </w:pPr>
      <w:r>
        <w:rPr>
          <w:rFonts w:ascii="Arial" w:cs="Arial" w:eastAsia="Arial" w:hAnsi="Arial"/>
          <w:sz w:val="16"/>
          <w:szCs w:val="16"/>
          <w:color w:val="auto"/>
        </w:rPr>
        <w:t>On October 2, 2023, Adeia Guides Inc., Adeia Media Solutions Inc., and Adeia Media Holdings LLC (collectively, “Adeia Media”) filed a complaint against Shaw Cablesystems G.P. and Shaw Satellite G.P. (together “Shaw”) in the United States District Court for the Southern District of New York, alleging breach of contract by Shaw for failure to pay royalties owed to Adeia Media under the license agreement between the parties.</w:t>
      </w:r>
    </w:p>
    <w:p>
      <w:pPr>
        <w:spacing w:after="0" w:line="149"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Company is unable to predict the final outcome of other lawsuits, including other patent infringement lawsuits in Canada, to which it is a party and therefore cannot determine the likelihood of loss nor estimate a range of possible losses. An adverse decision in any of these proceedings could significantly harm the Company's business and consolidated financial position, results of operations or cash flows.</w:t>
      </w:r>
    </w:p>
    <w:p>
      <w:pPr>
        <w:spacing w:after="0" w:line="16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and its subsidiaries are involved in litigation matters and claims in the normal course of business. In the past, the Company and its subsidiaries have litigated to enforce their respective patents, to enforce the terms of license agreements, to determine the validity and scope of the proprietary rights of others and to defend itself or its customers against claims of infringement or invalidity. The Company expects it or its subsidiaries will be involved in similar legal proceedings in the future, including proceedings regarding infringement of its patents, and proceedings to ensure proper and full payment of royalties by licensees under the terms of its license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AND GEOGRAPHIC INFORMATION</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Upon completion of the Separation, in the fourth quarter of 2022, the Company changed its organizational structure to operate and report in one segment: Intellectual Property (“IP”) Licensing. Reportable segments are identified based on the Company’s organizational structure and information reviewed by the Company’s chief operating decision maker (“CODM”) to evaluate performance and allocate resources. The Company’s Chief Executive Officer is also the CODM as defined by the authoritative guidance on segment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lists the geographic revenue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7"/>
              </w:rPr>
              <w:t>Three Months Ended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6"/>
          </w:tcPr>
          <w:p>
            <w:pPr>
              <w:jc w:val="center"/>
              <w:ind w:right="760"/>
              <w:spacing w:after="0"/>
              <w:rPr>
                <w:sz w:val="20"/>
                <w:szCs w:val="20"/>
                <w:color w:val="auto"/>
              </w:rPr>
            </w:pPr>
            <w:r>
              <w:rPr>
                <w:rFonts w:ascii="Arial" w:cs="Arial" w:eastAsia="Arial" w:hAnsi="Arial"/>
                <w:sz w:val="18"/>
                <w:szCs w:val="18"/>
                <w:b w:val="1"/>
                <w:bCs w:val="1"/>
                <w:color w:val="auto"/>
                <w:w w:val="91"/>
              </w:rPr>
              <w:t>Nine Months Ended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1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center"/>
              <w:ind w:right="760"/>
              <w:spacing w:after="0"/>
              <w:rPr>
                <w:sz w:val="20"/>
                <w:szCs w:val="20"/>
                <w:color w:val="auto"/>
              </w:rPr>
            </w:pPr>
            <w:r>
              <w:rPr>
                <w:rFonts w:ascii="Arial" w:cs="Arial" w:eastAsia="Arial" w:hAnsi="Arial"/>
                <w:sz w:val="18"/>
                <w:szCs w:val="18"/>
                <w:b w:val="1"/>
                <w:bCs w:val="1"/>
                <w:color w:val="auto"/>
                <w:w w:val="89"/>
              </w:rPr>
              <w:t>September 30,</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1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2023</w:t>
            </w:r>
          </w:p>
        </w:tc>
        <w:tc>
          <w:tcPr>
            <w:tcW w:w="7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w w:val="84"/>
              </w:rPr>
              <w:t>2022</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2023</w:t>
            </w:r>
          </w:p>
        </w:tc>
        <w:tc>
          <w:tcPr>
            <w:tcW w:w="7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8"/>
        </w:trPr>
        <w:tc>
          <w:tcPr>
            <w:tcW w:w="1920" w:type="dxa"/>
            <w:vAlign w:val="bottom"/>
          </w:tcPr>
          <w:p>
            <w:pPr>
              <w:ind w:left="20"/>
              <w:spacing w:after="0"/>
              <w:rPr>
                <w:sz w:val="20"/>
                <w:szCs w:val="20"/>
                <w:color w:val="auto"/>
              </w:rPr>
            </w:pPr>
            <w:r>
              <w:rPr>
                <w:rFonts w:ascii="Arial" w:cs="Arial" w:eastAsia="Arial" w:hAnsi="Arial"/>
                <w:sz w:val="18"/>
                <w:szCs w:val="18"/>
                <w:color w:val="auto"/>
              </w:rPr>
              <w:t>U.S. and Canada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77,740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79,946</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237,048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310,997</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49"/>
        </w:trPr>
        <w:tc>
          <w:tcPr>
            <w:tcW w:w="1920" w:type="dxa"/>
            <w:vAlign w:val="bottom"/>
          </w:tcPr>
          <w:p>
            <w:pPr>
              <w:ind w:left="20"/>
              <w:spacing w:after="0"/>
              <w:rPr>
                <w:sz w:val="20"/>
                <w:szCs w:val="20"/>
                <w:color w:val="auto"/>
              </w:rPr>
            </w:pPr>
            <w:r>
              <w:rPr>
                <w:rFonts w:ascii="Arial" w:cs="Arial" w:eastAsia="Arial" w:hAnsi="Arial"/>
                <w:sz w:val="18"/>
                <w:szCs w:val="18"/>
                <w:color w:val="auto"/>
              </w:rPr>
              <w:t>Asia</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21,434</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7,242</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57,417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18,661</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19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7"/>
              </w:rPr>
              <w:t>Europe and Middle East</w:t>
            </w: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w:t>
            </w:r>
          </w:p>
        </w:tc>
        <w:tc>
          <w:tcPr>
            <w:tcW w:w="1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6,156</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4,431</w:t>
            </w: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192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3"/>
          </w:tcPr>
          <w:p>
            <w:pPr>
              <w:jc w:val="right"/>
              <w:ind w:right="3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1,300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3"/>
          </w:tcPr>
          <w:p>
            <w:pPr>
              <w:jc w:val="right"/>
              <w:ind w:right="3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1,555</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37"/>
        </w:trPr>
        <w:tc>
          <w:tcPr>
            <w:tcW w:w="19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101,397</w:t>
            </w: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89,297</w:t>
            </w:r>
          </w:p>
        </w:tc>
        <w:tc>
          <w:tcPr>
            <w:tcW w:w="2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301,921</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335,644</w:t>
            </w:r>
          </w:p>
        </w:tc>
        <w:tc>
          <w:tcPr>
            <w:tcW w:w="22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1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543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82"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For the three months ended September 30, 2023 and 2022, there were four and two customers, respectively, that each accounted for 10% or more of total revenue. For the nine months ended September 30, 2023 and 2022, there were two and four customers, respectively, that each accounted for 10% or more of total revenue.</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7" w:right="27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The following table sets forth revenue generated from customers which comprise 10% or more of total revenue for the periods indicated:</w:t>
      </w:r>
    </w:p>
    <w:p>
      <w:pPr>
        <w:sectPr>
          <w:pgSz w:w="11900" w:h="16838" w:orient="portrait"/>
          <w:cols w:equalWidth="0" w:num="1">
            <w:col w:w="11300"/>
          </w:cols>
          <w:pgMar w:left="320" w:top="557"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Customer 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Customer B</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Customer 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Customer 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Customer 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Customer F</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 denotes less than 10% of total revenue.</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92"/>
              </w:rPr>
              <w:t>Three Months Ended</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91"/>
              </w:rPr>
              <w:t>Nine Months Ended</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8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8"/>
                <w:szCs w:val="18"/>
                <w:b w:val="1"/>
                <w:bCs w:val="1"/>
                <w:color w:val="auto"/>
                <w:w w:val="89"/>
              </w:rPr>
              <w:t>September 30,</w:t>
            </w: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right="31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9"/>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54"/>
        </w:trPr>
        <w:tc>
          <w:tcPr>
            <w:tcW w:w="82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17.0 %</w:t>
            </w:r>
          </w:p>
        </w:tc>
        <w:tc>
          <w:tcPr>
            <w:tcW w:w="900" w:type="dxa"/>
            <w:vAlign w:val="bottom"/>
          </w:tcPr>
          <w:p>
            <w:pPr>
              <w:spacing w:after="0"/>
              <w:rPr>
                <w:sz w:val="22"/>
                <w:szCs w:val="2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19.2 %</w:t>
            </w:r>
          </w:p>
        </w:tc>
        <w:tc>
          <w:tcPr>
            <w:tcW w:w="800" w:type="dxa"/>
            <w:vAlign w:val="bottom"/>
          </w:tcPr>
          <w:p>
            <w:pPr>
              <w:spacing w:after="0"/>
              <w:rPr>
                <w:sz w:val="22"/>
                <w:szCs w:val="2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17.1 %</w:t>
            </w:r>
          </w:p>
        </w:tc>
        <w:tc>
          <w:tcPr>
            <w:tcW w:w="90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6"/>
              </w:rPr>
              <w:t>15.4 %</w:t>
            </w:r>
          </w:p>
        </w:tc>
      </w:tr>
      <w:tr>
        <w:trPr>
          <w:trHeight w:val="270"/>
        </w:trPr>
        <w:tc>
          <w:tcPr>
            <w:tcW w:w="820" w:type="dxa"/>
            <w:vAlign w:val="bottom"/>
          </w:tcPr>
          <w:p>
            <w:pPr>
              <w:spacing w:after="0"/>
              <w:rPr>
                <w:sz w:val="23"/>
                <w:szCs w:val="2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16.6 %</w:t>
            </w:r>
          </w:p>
        </w:tc>
        <w:tc>
          <w:tcPr>
            <w:tcW w:w="9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r>
      <w:tr>
        <w:trPr>
          <w:trHeight w:val="270"/>
        </w:trPr>
        <w:tc>
          <w:tcPr>
            <w:tcW w:w="820" w:type="dxa"/>
            <w:vAlign w:val="bottom"/>
          </w:tcPr>
          <w:p>
            <w:pPr>
              <w:spacing w:after="0"/>
              <w:rPr>
                <w:sz w:val="23"/>
                <w:szCs w:val="2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10.7 %</w:t>
            </w:r>
          </w:p>
        </w:tc>
        <w:tc>
          <w:tcPr>
            <w:tcW w:w="9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r>
      <w:tr>
        <w:trPr>
          <w:trHeight w:val="270"/>
        </w:trPr>
        <w:tc>
          <w:tcPr>
            <w:tcW w:w="820" w:type="dxa"/>
            <w:vAlign w:val="bottom"/>
          </w:tcPr>
          <w:p>
            <w:pPr>
              <w:spacing w:after="0"/>
              <w:rPr>
                <w:sz w:val="23"/>
                <w:szCs w:val="2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10.5 %</w:t>
            </w:r>
          </w:p>
        </w:tc>
        <w:tc>
          <w:tcPr>
            <w:tcW w:w="900" w:type="dxa"/>
            <w:vAlign w:val="bottom"/>
          </w:tcPr>
          <w:p>
            <w:pPr>
              <w:spacing w:after="0"/>
              <w:rPr>
                <w:sz w:val="23"/>
                <w:szCs w:val="2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13.5 %</w:t>
            </w:r>
          </w:p>
        </w:tc>
        <w:tc>
          <w:tcPr>
            <w:tcW w:w="800" w:type="dxa"/>
            <w:vAlign w:val="bottom"/>
          </w:tcPr>
          <w:p>
            <w:pPr>
              <w:spacing w:after="0"/>
              <w:rPr>
                <w:sz w:val="23"/>
                <w:szCs w:val="2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10.9 %</w:t>
            </w:r>
          </w:p>
        </w:tc>
        <w:tc>
          <w:tcPr>
            <w:tcW w:w="90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6"/>
              </w:rPr>
              <w:t>10.6 %</w:t>
            </w:r>
          </w:p>
        </w:tc>
      </w:tr>
      <w:tr>
        <w:trPr>
          <w:trHeight w:val="270"/>
        </w:trPr>
        <w:tc>
          <w:tcPr>
            <w:tcW w:w="8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6"/>
              </w:rPr>
              <w:t>16.9 %</w:t>
            </w:r>
          </w:p>
        </w:tc>
      </w:tr>
      <w:tr>
        <w:trPr>
          <w:trHeight w:val="270"/>
        </w:trPr>
        <w:tc>
          <w:tcPr>
            <w:tcW w:w="8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6"/>
              </w:rPr>
              <w:t>10.1 %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-1019810</wp:posOffset>
            </wp:positionV>
            <wp:extent cx="7132320" cy="1714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-676910</wp:posOffset>
            </wp:positionV>
            <wp:extent cx="7132320" cy="1714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-334010</wp:posOffset>
            </wp:positionV>
            <wp:extent cx="7132320" cy="1714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99" w:lineRule="exact"/>
        <w:rPr>
          <w:sz w:val="20"/>
          <w:szCs w:val="20"/>
          <w:color w:val="auto"/>
        </w:rPr>
      </w:pPr>
    </w:p>
    <w:p>
      <w:pPr>
        <w:sectPr>
          <w:pgSz w:w="11900" w:h="16838" w:orient="portrait"/>
          <w:cols w:equalWidth="0" w:num="2">
            <w:col w:w="4680" w:space="720"/>
            <w:col w:w="5900"/>
          </w:cols>
          <w:pgMar w:left="320" w:top="557" w:right="279" w:bottom="1440" w:gutter="0" w:footer="0" w:header="0"/>
          <w:type w:val="continuous"/>
        </w:sectPr>
      </w:pPr>
    </w:p>
    <w:p>
      <w:pPr>
        <w:spacing w:after="0" w:line="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September 30, 2023, the Company had two customers representing 38% and 33% of aggregate accounts receivable, respectively. At December 31, 2022, the Company had two customers representing 36% and 29% of aggregate accounts receivable,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Declaration of Cash Dividends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October 25, 2023, the Board declared a cash dividend of $0.05 per share of common stock, payable on December 18, 2023 to the stockholders of record at the close of business on November 27, 2023.</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7" w:right="27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i w:val="1"/>
          <w:iCs w:val="1"/>
          <w:color w:val="auto"/>
        </w:rPr>
        <w:t>The following discussion is intended to promote understanding of the results of operations and financial condition and should be read in conjunction with our condensed consolidated financial statements and notes thereto, and with our audited financial statements and notes thereto for the year ended December 31, 2022 found in the Form 10-K filed by us on March 1, 2023 (the “Form 10-K”). This section of this Form 10-Q generally discusses quarter over quarter comparisons of 2023 against 2022. Except where otherwise indicated, the quarter over quarter comparisons and results of operations discussed herein present the results of Adeia Inc. after giving effect to the Separation described herein.</w:t>
      </w:r>
    </w:p>
    <w:p>
      <w:pPr>
        <w:spacing w:after="0" w:line="68"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This quarterly report on Form 10-Q (this “Quarterly Report”) contains forward-looking statements, which are subject to the safe harbor provisions created by the Private Securities Litigation Reform Act of 1995. In this context, forward-looking statements often address expected future business, financial performance and financial condition, and often contain words such as “expect,” “anticipate,” “intend,” “plan,” “believe,” “could,” “seek,” “see,” “will,” “may,” “would,” “might,” “potentially,” “estimate,” “continue,” “target,” similar expressions or the negatives of these words or other comparable terminology that convey uncertainty of future events or outcomes. All forward-looking statements by their nature address matters that involve risks and uncertainties, many of which are beyond our control, and are not guarantees of future results. These and other forward-looking statements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our ability to implement our business strategy; our ability to enter into new and renewal license agreements with customers on favorable terms; our ability to retain and hire key personnel; uncertainty as to the long-term value of our common stock; legislative, regulatory and economic developments affecting our business; general economic and market developments and conditions; our ability to grow and expand our patent portfolios; changes in technology and development of competing technology in the industries in which we operate; the evolving legal, regulatory and tax regimes under which we operate; unforeseen liabilities and expenses; risks associated with our indebtedness; unpredictability and severity of catastrophic events, including, but not limited to, acts of terrorism or outbreak of war or hostilities, [including Russia’s invasion of Ukraine], and natural disasters; our ability to achieve the intended benefits of, and our ability to recognize the anticipated tax treatment of, the recent spin-off of our product business; and the extent to which the COVID-19 pandemic continues to have an adverse impact on our business, results of operations, and financial condition will depend on future developments, including measures taken in response to the pandemic, which are highly uncertain and cannot be predicted.</w:t>
      </w:r>
    </w:p>
    <w:p>
      <w:pPr>
        <w:spacing w:after="0" w:line="8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Although forward-looking statements in this Quarterly Report reflect the good faith judgment of our management, such statements can only be based on facts and factors currently known by us. Consequently, forward-looking statements are inherently subject to risks, uncertainties, and changes in condition, significance, value and effect, including those discussed under the heading “Risk Factors” in documents we file from time to time with the Securities and Exchange Commission (the “SEC”), such as our annual reports on Form 10-K, our quarterly reports on Form 10-Q and our current reports on Form 8-K. Such risks, uncertainties and changes in condition, significance, value and effect could cause our actual results to differ materially from those expressed herein and in ways not readily foreseeable. Readers are urged not to place undue reliance on these forward-looking statements, which speak only as of the date of this Quarterly Report and are based on information currently and reasonably known to us. We undertake no obligation to revise or update any forward-looking statements in order to reflect any event or circumstance that may arise after the date of this Quarterly Report, other than as required by law. Readers are urged to carefully review and consider the various disclosures made in this Quarterly Report, which attempt to advise interested parties of the risks and factors that may affect our business, financial condition, results of operations and prospects.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On October 1, 2022, Adeia Inc. (formerly known as Xperi Holding Corporation) (“Adeia”, “we”) completed the previously announced separation (“the Separation”) of its product business into an independent, publicly-traded company, Xperi Inc. (“Xperi Inc.”). The Separation was structured as a spin-off, which was achieved through Adeia’s distribution of 100 percent of the outstanding shares of Xperi Inc.’s common stock to holders of Adeia’s common stock as of the close of business on the record date of September 21, 2022 (the “Record Date”). Each Adeia stockholder of record received four shares of Xperi Inc. common stock for every ten shares of Adeia common stock that it held on the Record Date. Following the Separation, Adeia retains no ownership interest in Xperi Inc., which is now listed under the ticker symbol “XPER” on the New York Stock Exchange. Effective at the open of business on October 3, 2022, Adeia’s shares of common stock, par value $0.001 per share, began trading on the Nasdaq Global Select Market under the new ticker symbol “ADEA”.</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ind w:right="40"/>
        <w:spacing w:after="0" w:line="254" w:lineRule="auto"/>
        <w:rPr>
          <w:sz w:val="20"/>
          <w:szCs w:val="20"/>
          <w:color w:val="auto"/>
        </w:rPr>
      </w:pPr>
      <w:r>
        <w:rPr>
          <w:rFonts w:ascii="Arial" w:cs="Arial" w:eastAsia="Arial" w:hAnsi="Arial"/>
          <w:sz w:val="18"/>
          <w:szCs w:val="18"/>
          <w:color w:val="auto"/>
        </w:rPr>
        <w:t>Following the Separation, we are a leading IP licensing platform in the consumer and entertainment space, with a diverse portfolio of media and semiconductor intellectual property and more than 10,500 patents and patent applications worldwide. In order to serve an increasingly connected world, we invent, develop, and license fundamental innovations that enhance billions of devices and shape the way millions of people explore and experience entertainment. Through our IP licensing business, we help enable extraordinary experiences at home and on the go for millions of consumers around the world, with IP that helps elevate content and improves how audiences connect with it in a way that is more intelligent, immersive and personal. Through providing the IP that helps to power smart devices, entertainment experiences and more, we have created a unified ecosystem that reaches highly-engaged consumers and uncovered new business opportunities.</w:t>
      </w:r>
    </w:p>
    <w:p>
      <w:pPr>
        <w:spacing w:after="0" w:line="19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Headquartered in Silicon Valley with more than 35 years of operating experience, we have approximately 130 employees, with substantially all of our employees located in the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Conditions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current macroeconomic environment, which has arisen in part from the effects of the COVID-19 pandemic, has had, and may continue to have, an adverse impact on our business. The impact to date has included periods of significant volatility in the markets we serve, in particular the broad consumer electronics market. The current macroeconomic environment has also caused challenges and delays in acquiring new customers and executing license renewals. These factors have negatively impacted our financial condition and results of operations, which may result in an impairment of our long-lived assets, including goodwill, and increased credit losses.</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Further, our operations and those of our customers have also been negatively impacted by certain trends arising out of the COVID-19 pandemic and macroeconomic conditions including labor market constraints, shortages of semiconductor components, decreased manufacturing capacities and delays in shipments, product development and product launches. Moreover, United States federal, state and foreign government policies have contributed to a rise of inflation that has increased, and may continue to increase, the cost of our operations and have had, and may continue to have, an adverse effect on demand for our customers’ products and services and in turn our licensing revenues, which has had and may continue to have an adverse effect on our financial performance.</w:t>
      </w:r>
    </w:p>
    <w:p>
      <w:pPr>
        <w:spacing w:after="0" w:line="19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Although a significant portion of our revenue is derived from fixed-fee and minimum-guarantee arrangements from large, well-capitalized customers, our per-unit and variable-fee based revenue will continue to be susceptible to market volatility, labor shortages, supply chain disruptions, microchip shortages and market downturns.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w:t>
      </w:r>
    </w:p>
    <w:p>
      <w:pPr>
        <w:spacing w:after="0" w:line="22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accounting requirements for reporting the separation of Xperi Inc. as a discontinued operation were met when the Separation was completed on October 1, 2022. Accordingly, the financial results of Xperi Inc. for the three and nine months ended September 30, 2022 are presented as net loss from discontinued operations, net of tax on the Condensed Consolidated Statements of Operations. Unless noted otherwise, the discussion of our results of operations pertain to continuing operations.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Additionally, the operating results from continuing operations for all periods presented and those prior to the Separation, include certain general corporate overhead costs that do not meet the requirements to be presented in discontinued operations, although such costs are not reflective of our on-going operations. Such general corporate overhead costs include labor and non-labor costs related to our corporate support functions (e.g., administration, human resources, finance, accounting, tax, information technology, corporate development and legal, among others) that historically provided support to Xperi Inc. prior to the Separation. In addition, discontinued operations excludes the historical intercompany balances and transactions between Adeia and Xperi Inc. that were eliminated in consolidation.</w:t>
      </w:r>
    </w:p>
    <w:p>
      <w:pPr>
        <w:spacing w:after="0" w:line="192"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In connection with the Separation, we incurred separation costs of $44.6 million from January 1, 2020 to September 30, 2023. Separation costs primarily consist of third-party advisory, consulting, legal and professional service, IT and employee bonus costs directly related to the Separation, as well as other items that are incremental and one-time in nature. Out of these costs, $28.6 million were incurred prior to the Separation and are included in net loss from discontinued operations, net of tax. The remaining separation costs of $16.0 million were incurred after the Separation and are reflected in continuing operations within operating expenses in our Condensed Consolidated Statement of Operations.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Upon completion of the Separation, in the fourth quarter of 2022, we changed our organizational structure to operate and report in one segment: IP Licensing. We believe that this structure reflects our current operational and financial management following the completion of the Separation and provides the best structure for us to focus on growth opportunities. Our Chief Executive Officer has been determined to be the Chief Operating Decision Maker (“CODM”) in consideration with the authoritative guidance on segment reporting.</w:t>
      </w:r>
    </w:p>
    <w:p>
      <w:pPr>
        <w:spacing w:after="0" w:line="18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primarily license our innovations to leading companies in the broader entertainment and semiconductor industries, and those companies developing new technologies that will help drive these industries forward. Licensing arrangements include access to one or more of our foundational patent portfolios and may also include access to some portions of our industry-leading technologies and know-how.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September 30, 2023:</w:t>
      </w:r>
    </w:p>
    <w:p>
      <w:pPr>
        <w:spacing w:after="0" w:line="117"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 was $101.4 million, an increase of 14% from $89.3 million in the same period in 2022</w:t>
      </w:r>
    </w:p>
    <w:p>
      <w:pPr>
        <w:spacing w:after="0" w:line="117"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Diluted earnings per share (EPS) from continuing operations was $0.21, an increase of 450% from diluted loss per share of $0.06 in the same period in 2022</w:t>
      </w:r>
    </w:p>
    <w:p>
      <w:pPr>
        <w:spacing w:after="0" w:line="62"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income from continuing operations was $24.2 million, an increase of 484% from net loss from continuing operations of $6.3 million in the same period in 2022</w:t>
      </w:r>
    </w:p>
    <w:p>
      <w:pPr>
        <w:spacing w:after="0" w:line="62"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made $15.1 million in principal payments towards our term loan, bringing the outstanding balance to $630.4 million as of September 30,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2023:</w:t>
      </w:r>
    </w:p>
    <w:p>
      <w:pPr>
        <w:spacing w:after="0" w:line="117"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 was $301.9 million, a decrease of 10% from $335.6 million in the same period in 2022</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Diluted earnings per share (EPS) from continuing operations was $0.48, a decrease of 22% from $0.61 in the same period in 2022</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income from continuing operations was $54.7 million, a decrease of 15% from $64.7 million in the same period in 2022</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flows from operations were $113.3 million, a decrease of 20% from $142.0 million in the same period in 2022</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made $118.9 million in principal payments towards our term loan, bringing the outstanding balance to $630.4 million as of September 30,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 xml:space="preserve">We derive the majority of our revenue from the licensing of our intellectual property (“IP”) rights to customers. For our revenue recognition policy, including descriptions of revenue-generating activities, refer to “Note 3 – </w:t>
      </w:r>
      <w:r>
        <w:rPr>
          <w:rFonts w:ascii="Arial" w:cs="Arial" w:eastAsia="Arial" w:hAnsi="Arial"/>
          <w:sz w:val="16"/>
          <w:szCs w:val="16"/>
          <w:i w:val="1"/>
          <w:iCs w:val="1"/>
          <w:color w:val="auto"/>
        </w:rPr>
        <w:t>Revenue</w:t>
      </w:r>
      <w:r>
        <w:rPr>
          <w:rFonts w:ascii="Arial" w:cs="Arial" w:eastAsia="Arial" w:hAnsi="Arial"/>
          <w:sz w:val="16"/>
          <w:szCs w:val="16"/>
          <w:color w:val="auto"/>
        </w:rPr>
        <w:t>” of the Notes to condensed consolidated financial statements.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The following table presents our operating results for the periods indicated as a percentage of revenue: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7"/>
          </w:tcPr>
          <w:p>
            <w:pPr>
              <w:ind w:left="480"/>
              <w:spacing w:after="0"/>
              <w:rPr>
                <w:sz w:val="20"/>
                <w:szCs w:val="20"/>
                <w:color w:val="auto"/>
              </w:rPr>
            </w:pPr>
            <w:r>
              <w:rPr>
                <w:rFonts w:ascii="Arial" w:cs="Arial" w:eastAsia="Arial" w:hAnsi="Arial"/>
                <w:sz w:val="18"/>
                <w:szCs w:val="18"/>
                <w:b w:val="1"/>
                <w:bCs w:val="1"/>
                <w:color w:val="auto"/>
                <w:w w:val="97"/>
              </w:rPr>
              <w:t>Three Months Ended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7"/>
          </w:tcPr>
          <w:p>
            <w:pPr>
              <w:ind w:left="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7"/>
          </w:tcPr>
          <w:p>
            <w:pPr>
              <w:ind w:left="74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7"/>
          </w:tcPr>
          <w:p>
            <w:pPr>
              <w:ind w:left="3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1440" w:type="dxa"/>
            <w:vAlign w:val="bottom"/>
            <w:tcBorders>
              <w:top w:val="single" w:sz="8" w:color="auto"/>
            </w:tcBorders>
            <w:gridSpan w:val="6"/>
          </w:tcPr>
          <w:p>
            <w:pPr>
              <w:jc w:val="right"/>
              <w:ind w:right="6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5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9"/>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3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95"/>
              </w:rPr>
              <w:t>Research and development</w:t>
            </w: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80" w:type="dxa"/>
            <w:vAlign w:val="bottom"/>
            <w:gridSpan w:val="5"/>
          </w:tcPr>
          <w:p>
            <w:pPr>
              <w:ind w:left="200"/>
              <w:spacing w:after="0"/>
              <w:rPr>
                <w:sz w:val="20"/>
                <w:szCs w:val="20"/>
                <w:color w:val="auto"/>
              </w:rPr>
            </w:pPr>
            <w:r>
              <w:rPr>
                <w:rFonts w:ascii="Arial" w:cs="Arial" w:eastAsia="Arial" w:hAnsi="Arial"/>
                <w:sz w:val="18"/>
                <w:szCs w:val="18"/>
                <w:color w:val="auto"/>
              </w:rPr>
              <w:t>Selling, general and administrative</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3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Amortization expense</w:t>
            </w: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20" w:type="dxa"/>
            <w:vAlign w:val="bottom"/>
            <w:gridSpan w:val="2"/>
          </w:tcPr>
          <w:p>
            <w:pPr>
              <w:ind w:left="200"/>
              <w:spacing w:after="0"/>
              <w:rPr>
                <w:sz w:val="20"/>
                <w:szCs w:val="20"/>
                <w:color w:val="auto"/>
              </w:rPr>
            </w:pPr>
            <w:r>
              <w:rPr>
                <w:rFonts w:ascii="Arial" w:cs="Arial" w:eastAsia="Arial" w:hAnsi="Arial"/>
                <w:sz w:val="18"/>
                <w:szCs w:val="18"/>
                <w:color w:val="auto"/>
              </w:rPr>
              <w:t>Litigation expense</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32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w w:val="94"/>
              </w:rPr>
              <w:t>Total operating expenses</w:t>
            </w:r>
          </w:p>
        </w:tc>
        <w:tc>
          <w:tcPr>
            <w:tcW w:w="8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4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80" w:type="dxa"/>
            <w:vAlign w:val="bottom"/>
            <w:gridSpan w:val="5"/>
          </w:tcPr>
          <w:p>
            <w:pPr>
              <w:ind w:left="20"/>
              <w:spacing w:after="0"/>
              <w:rPr>
                <w:sz w:val="20"/>
                <w:szCs w:val="20"/>
                <w:color w:val="auto"/>
              </w:rPr>
            </w:pPr>
            <w:r>
              <w:rPr>
                <w:rFonts w:ascii="Arial" w:cs="Arial" w:eastAsia="Arial" w:hAnsi="Arial"/>
                <w:sz w:val="18"/>
                <w:szCs w:val="18"/>
                <w:color w:val="auto"/>
                <w:w w:val="95"/>
              </w:rPr>
              <w:t>Operating income from continuing operations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60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(15 )</w:t>
            </w: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(14 )</w:t>
            </w:r>
          </w:p>
        </w:tc>
        <w:tc>
          <w:tcPr>
            <w:tcW w:w="30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(16 )</w:t>
            </w:r>
          </w:p>
        </w:tc>
        <w:tc>
          <w:tcPr>
            <w:tcW w:w="12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20" w:type="dxa"/>
            <w:vAlign w:val="bottom"/>
            <w:gridSpan w:val="2"/>
          </w:tcPr>
          <w:p>
            <w:pPr>
              <w:ind w:left="20"/>
              <w:spacing w:after="0"/>
              <w:rPr>
                <w:sz w:val="20"/>
                <w:szCs w:val="20"/>
                <w:color w:val="auto"/>
              </w:rPr>
            </w:pPr>
            <w:r>
              <w:rPr>
                <w:rFonts w:ascii="Arial" w:cs="Arial" w:eastAsia="Arial" w:hAnsi="Arial"/>
                <w:sz w:val="18"/>
                <w:szCs w:val="18"/>
                <w:color w:val="auto"/>
                <w:w w:val="90"/>
              </w:rPr>
              <w:t>Other income and expense, net</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gridSpan w:val="6"/>
            <w:shd w:val="clear" w:color="auto" w:fill="CFF0FC"/>
          </w:tcPr>
          <w:p>
            <w:pPr>
              <w:ind w:left="20"/>
              <w:spacing w:after="0"/>
              <w:rPr>
                <w:sz w:val="20"/>
                <w:szCs w:val="20"/>
                <w:color w:val="auto"/>
              </w:rPr>
            </w:pPr>
            <w:r>
              <w:rPr>
                <w:rFonts w:ascii="Arial" w:cs="Arial" w:eastAsia="Arial" w:hAnsi="Arial"/>
                <w:sz w:val="18"/>
                <w:szCs w:val="18"/>
                <w:color w:val="auto"/>
                <w:w w:val="95"/>
              </w:rPr>
              <w:t>Income from continuing operations before income taxes</w:t>
            </w: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80" w:type="dxa"/>
            <w:vAlign w:val="bottom"/>
            <w:gridSpan w:val="5"/>
          </w:tcPr>
          <w:p>
            <w:pPr>
              <w:ind w:left="20"/>
              <w:spacing w:after="0"/>
              <w:rPr>
                <w:sz w:val="20"/>
                <w:szCs w:val="20"/>
                <w:color w:val="auto"/>
              </w:rPr>
            </w:pPr>
            <w:r>
              <w:rPr>
                <w:rFonts w:ascii="Arial" w:cs="Arial" w:eastAsia="Arial" w:hAnsi="Arial"/>
                <w:sz w:val="18"/>
                <w:szCs w:val="18"/>
                <w:color w:val="auto"/>
                <w:w w:val="96"/>
              </w:rPr>
              <w:t>Net income (loss) from continuing operations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ind w:left="20"/>
              <w:spacing w:after="0"/>
              <w:rPr>
                <w:sz w:val="20"/>
                <w:szCs w:val="20"/>
                <w:color w:val="auto"/>
              </w:rPr>
            </w:pPr>
            <w:r>
              <w:rPr>
                <w:rFonts w:ascii="Arial" w:cs="Arial" w:eastAsia="Arial" w:hAnsi="Arial"/>
                <w:sz w:val="18"/>
                <w:szCs w:val="18"/>
                <w:color w:val="auto"/>
                <w:w w:val="81"/>
              </w:rPr>
              <w:t>)%</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480" w:type="dxa"/>
            <w:vAlign w:val="bottom"/>
            <w:gridSpan w:val="5"/>
            <w:vMerge w:val="restart"/>
          </w:tcPr>
          <w:p>
            <w:pPr>
              <w:spacing w:after="0"/>
              <w:rPr>
                <w:sz w:val="20"/>
                <w:szCs w:val="20"/>
                <w:color w:val="auto"/>
              </w:rPr>
            </w:pPr>
            <w:r>
              <w:rPr>
                <w:rFonts w:ascii="Arial" w:cs="Arial" w:eastAsia="Arial" w:hAnsi="Arial"/>
                <w:sz w:val="18"/>
                <w:szCs w:val="18"/>
                <w:i w:val="1"/>
                <w:iCs w:val="1"/>
                <w:color w:val="auto"/>
                <w:w w:val="88"/>
              </w:rPr>
              <w:t>Revenue (in thousands, except for percentages):</w:t>
            </w: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480" w:type="dxa"/>
            <w:vAlign w:val="bottom"/>
            <w:gridSpan w:val="5"/>
            <w:vMerge w:val="continue"/>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7"/>
          </w:tcPr>
          <w:p>
            <w:pPr>
              <w:ind w:left="160"/>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center"/>
              <w:ind w:right="15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Increase/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Increase/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ind w:left="8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120" w:type="dxa"/>
            <w:vAlign w:val="bottom"/>
          </w:tcPr>
          <w:p>
            <w:pPr>
              <w:spacing w:after="0"/>
              <w:rPr>
                <w:sz w:val="20"/>
                <w:szCs w:val="20"/>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 Change</w:t>
            </w:r>
          </w:p>
        </w:tc>
        <w:tc>
          <w:tcPr>
            <w:tcW w:w="1160" w:type="dxa"/>
            <w:vAlign w:val="bottom"/>
            <w:gridSpan w:val="4"/>
          </w:tcPr>
          <w:p>
            <w:pPr>
              <w:ind w:left="46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b w:val="1"/>
                <w:bCs w:val="1"/>
                <w:color w:val="auto"/>
                <w:w w:val="94"/>
              </w:rPr>
              <w:t>2022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120" w:type="dxa"/>
            <w:vAlign w:val="bottom"/>
          </w:tcPr>
          <w:p>
            <w:pPr>
              <w:spacing w:after="0"/>
              <w:rPr>
                <w:sz w:val="20"/>
                <w:szCs w:val="20"/>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2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0"/>
              </w:rPr>
              <w:t>$101,397</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$89,297</w:t>
            </w:r>
          </w:p>
        </w:tc>
        <w:tc>
          <w:tcPr>
            <w:tcW w:w="1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$12,100</w:t>
            </w:r>
          </w:p>
        </w:tc>
        <w:tc>
          <w:tcPr>
            <w:tcW w:w="1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gridSpan w:val="2"/>
            <w:shd w:val="clear" w:color="auto" w:fill="CFF0FC"/>
          </w:tcPr>
          <w:p>
            <w:pPr>
              <w:ind w:left="700"/>
              <w:spacing w:after="0"/>
              <w:rPr>
                <w:sz w:val="20"/>
                <w:szCs w:val="20"/>
                <w:color w:val="auto"/>
              </w:rPr>
            </w:pPr>
            <w:r>
              <w:rPr>
                <w:rFonts w:ascii="Arial" w:cs="Arial" w:eastAsia="Arial" w:hAnsi="Arial"/>
                <w:sz w:val="18"/>
                <w:szCs w:val="18"/>
                <w:color w:val="auto"/>
                <w:w w:val="88"/>
              </w:rPr>
              <w:t>14%</w:t>
            </w:r>
          </w:p>
        </w:tc>
        <w:tc>
          <w:tcPr>
            <w:tcW w:w="1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gridSpan w:val="3"/>
            <w:shd w:val="clear" w:color="auto" w:fill="CFF0FC"/>
          </w:tcPr>
          <w:p>
            <w:pPr>
              <w:ind w:left="340"/>
              <w:spacing w:after="0"/>
              <w:rPr>
                <w:sz w:val="20"/>
                <w:szCs w:val="20"/>
                <w:color w:val="auto"/>
              </w:rPr>
            </w:pPr>
            <w:r>
              <w:rPr>
                <w:rFonts w:ascii="Arial" w:cs="Arial" w:eastAsia="Arial" w:hAnsi="Arial"/>
                <w:sz w:val="18"/>
                <w:szCs w:val="18"/>
                <w:color w:val="auto"/>
                <w:w w:val="90"/>
              </w:rPr>
              <w:t>$301,921</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gridSpan w:val="3"/>
            <w:shd w:val="clear" w:color="auto" w:fill="CFF0FC"/>
          </w:tcPr>
          <w:p>
            <w:pPr>
              <w:ind w:left="180"/>
              <w:spacing w:after="0"/>
              <w:rPr>
                <w:sz w:val="20"/>
                <w:szCs w:val="20"/>
                <w:color w:val="auto"/>
              </w:rPr>
            </w:pPr>
            <w:r>
              <w:rPr>
                <w:rFonts w:ascii="Arial" w:cs="Arial" w:eastAsia="Arial" w:hAnsi="Arial"/>
                <w:sz w:val="18"/>
                <w:szCs w:val="18"/>
                <w:color w:val="auto"/>
                <w:w w:val="87"/>
              </w:rPr>
              <w:t>$335,644</w:t>
            </w:r>
          </w:p>
        </w:tc>
        <w:tc>
          <w:tcPr>
            <w:tcW w:w="1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gridSpan w:val="3"/>
            <w:shd w:val="clear" w:color="auto" w:fill="CFF0FC"/>
          </w:tcPr>
          <w:p>
            <w:pPr>
              <w:ind w:left="320"/>
              <w:spacing w:after="0"/>
              <w:rPr>
                <w:sz w:val="20"/>
                <w:szCs w:val="20"/>
                <w:color w:val="auto"/>
              </w:rPr>
            </w:pPr>
            <w:r>
              <w:rPr>
                <w:rFonts w:ascii="Arial" w:cs="Arial" w:eastAsia="Arial" w:hAnsi="Arial"/>
                <w:sz w:val="18"/>
                <w:szCs w:val="18"/>
                <w:color w:val="auto"/>
                <w:w w:val="90"/>
              </w:rPr>
              <w:t>$(33,723)</w:t>
            </w:r>
          </w:p>
        </w:tc>
        <w:tc>
          <w:tcPr>
            <w:tcW w:w="1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-3256915</wp:posOffset>
            </wp:positionV>
            <wp:extent cx="7132320" cy="1543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-2167890</wp:posOffset>
            </wp:positionV>
            <wp:extent cx="77470" cy="1631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-2167890</wp:posOffset>
            </wp:positionV>
            <wp:extent cx="68580" cy="1631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-2167890</wp:posOffset>
            </wp:positionV>
            <wp:extent cx="68580" cy="1631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1631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-1370965</wp:posOffset>
            </wp:positionV>
            <wp:extent cx="7132320" cy="1797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-8255</wp:posOffset>
            </wp:positionV>
            <wp:extent cx="7683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-8255</wp:posOffset>
            </wp:positionV>
            <wp:extent cx="7683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-8255</wp:posOffset>
            </wp:positionV>
            <wp:extent cx="7683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-8255</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-8255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both"/>
        <w:ind w:right="500"/>
        <w:spacing w:after="0" w:line="342" w:lineRule="auto"/>
        <w:rPr>
          <w:sz w:val="20"/>
          <w:szCs w:val="20"/>
          <w:color w:val="auto"/>
        </w:rPr>
      </w:pPr>
      <w:r>
        <w:rPr>
          <w:rFonts w:ascii="Arial" w:cs="Arial" w:eastAsia="Arial" w:hAnsi="Arial"/>
          <w:sz w:val="16"/>
          <w:szCs w:val="16"/>
          <w:color w:val="auto"/>
        </w:rPr>
        <w:t>The increase in revenue during the three months ended September 30, 2023, as compared to the same period in 2022, was primarily attributable to the execution of a long-term renewal contract with Samsung in the third quarter of 2023, covering our media portfolio as it pertains to its mobile devices.</w:t>
      </w:r>
    </w:p>
    <w:p>
      <w:pPr>
        <w:spacing w:after="0" w:line="12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decrease in revenue during the nine months ended September 30, 2023, as compared to the same period in 2022, was primarily attributable to the execution of a new, multi-year license agreement with Micron Technology in the first quarter of 2022, the execution of a long-term license agreement with a leading consumer electronics and OTT service provider in the second quarter of 2022, for which a meaningful portion of the total revenue was recognized in the respective quarters, and in part due to a decline in royalty revenue from certain Pay-TV customers. These declines were partially offset by the execution of two long-term license agreements with Kioxia and Western Digital in the first quarter of 2023 for which a portion of revenue was recognized up-front in such quarter and the execution of a long-term renewal contract with Samsung in the third quarter of 2023, covering our media portfolio as it pertains to its mobile devices.</w:t>
      </w:r>
    </w:p>
    <w:p>
      <w:pPr>
        <w:spacing w:after="0" w:line="195"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Recurring revenues for the three months ended September 30, 2023 and 2022 were $83.6 million and $86.5 million, respectively. The decrease of $2.9 million in recurring revenues during the three months ended September 30, 2023, as compared to the same period in 2022, was primarily attributable a decline in royalty revenue from certain Pay-TV customers.</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7" w:right="279" w:bottom="1440" w:gutter="0" w:footer="0" w:header="0"/>
        </w:sectPr>
      </w:pPr>
    </w:p>
    <w:bookmarkStart w:id="41" w:name="page42"/>
    <w:bookmarkEnd w:id="41"/>
    <w:p>
      <w:pPr>
        <w:ind w:right="40"/>
        <w:spacing w:after="0" w:line="257" w:lineRule="auto"/>
        <w:rPr>
          <w:sz w:val="20"/>
          <w:szCs w:val="20"/>
          <w:color w:val="auto"/>
        </w:rPr>
      </w:pPr>
      <w:r>
        <w:rPr>
          <w:rFonts w:ascii="Arial" w:cs="Arial" w:eastAsia="Arial" w:hAnsi="Arial"/>
          <w:sz w:val="18"/>
          <w:szCs w:val="18"/>
          <w:color w:val="auto"/>
        </w:rPr>
        <w:t>Non-recurring revenues for the three months ended September 30, 2023 and 2022 were $17.8 million and $2.8 million, respectively. The increase of $15.0 million in non-recurring revenues during the three months ended September 30, 2023, as compared to the same period in 2022, was primarily attributable to fees associated with a release for past infringement and revenue from periods prior to the execution of the long-term renewal of a license agreement with Samsung in the third quarter of 2023, revenue from the settlement of litigation and revenue from updated royalty reporting received from an existing customer relating to prior periods.</w:t>
      </w:r>
    </w:p>
    <w:p>
      <w:pPr>
        <w:spacing w:after="0" w:line="188"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Recurring revenues for the nine months ended September 30, 2023 and 2022 were $255.1 million and $267.4 million, respectively. The decrease of $12.3 million in recurring revenues during the nine months ended September 30, 2023, as compared to the same period in 2022, was primarily attributable to a decline in royalty revenue from certain Pay-TV customers.</w:t>
      </w:r>
    </w:p>
    <w:p>
      <w:pPr>
        <w:spacing w:after="0" w:line="18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Non-recurring revenues for the nine months ended September 30, 2023 and 2022 were $46.8 million and $68.2 million, respectively. The decrease of $21.4 million in non-recurring revenues during the nine months ended September 30, 2023, as compared to the same period in 2022, was primarily attributable to the execution of a new, multi-year license agreement with Micron Technology in the first quarter of 2022, the execution of a long-term license agreement with a leading consumer electronics and OTT service provider in the second quarter of 2022, partially offset by the execution of long-term license agreements with Kioxia and Western Digital, respectively, in the first quarter of 2023, the execution of the long-term renewal of a license agreement with Samsung in the third quarter of 2023, revenue from the settlement of litigation and revenue from updated royalty reporting received from an existing customer relating to prior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(in thousands, except for percentages):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Research and development expense (“R&amp;D expense”) consists primarily of employee-related costs, stock-based compensation expense, engineering consulting expenses associated with new IP development, as well as costs related to patent applications and examinations, reverse engineering, materials, supplies and an allocation of facilities costs. All R&amp;D expense is expensed as incurred. We believe that a significant level of R&amp;D expense will be required for us to remain competitive in the future.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3"/>
          </w:tcPr>
          <w:p>
            <w:pPr>
              <w:ind w:left="340"/>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Increase/</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40" w:type="dxa"/>
            <w:vAlign w:val="bottom"/>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5"/>
        </w:trPr>
        <w:tc>
          <w:tcPr>
            <w:tcW w:w="2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$13,768</w:t>
            </w:r>
          </w:p>
        </w:tc>
        <w:tc>
          <w:tcPr>
            <w:tcW w:w="120" w:type="dxa"/>
            <w:vAlign w:val="bottom"/>
            <w:vMerge w:val="restart"/>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$11,534</w:t>
            </w:r>
          </w:p>
        </w:tc>
        <w:tc>
          <w:tcPr>
            <w:tcW w:w="120" w:type="dxa"/>
            <w:vAlign w:val="bottom"/>
            <w:vMerge w:val="restart"/>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$2,234</w:t>
            </w:r>
          </w:p>
        </w:tc>
        <w:tc>
          <w:tcPr>
            <w:tcW w:w="120" w:type="dxa"/>
            <w:vAlign w:val="bottom"/>
            <w:vMerge w:val="restart"/>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vMerge w:val="restart"/>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$39,895</w:t>
            </w:r>
          </w:p>
        </w:tc>
        <w:tc>
          <w:tcPr>
            <w:tcW w:w="100" w:type="dxa"/>
            <w:vAlign w:val="bottom"/>
            <w:vMerge w:val="restart"/>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$32,194</w:t>
            </w:r>
          </w:p>
        </w:tc>
        <w:tc>
          <w:tcPr>
            <w:tcW w:w="100" w:type="dxa"/>
            <w:vAlign w:val="bottom"/>
            <w:vMerge w:val="restart"/>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$7,701</w:t>
            </w:r>
          </w:p>
        </w:tc>
        <w:tc>
          <w:tcPr>
            <w:tcW w:w="120" w:type="dxa"/>
            <w:vAlign w:val="bottom"/>
            <w:vMerge w:val="restart"/>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development</w:t>
            </w: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-8255</wp:posOffset>
            </wp:positionV>
            <wp:extent cx="7747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-8255</wp:posOffset>
            </wp:positionV>
            <wp:extent cx="7683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-8255</wp:posOffset>
            </wp:positionV>
            <wp:extent cx="7747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-8255</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-8255</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increase in R&amp;D expense during the three and nine months ended September 30, 2023, as compared to the same period in 2022, was primarily due to an increase in patent prosecution costs associated with an increase in patent filings, professional services costs and personnel costs as a result of increased headcount.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(in thousands, except for percentages):</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Selling, general and administrative (“SG&amp;A”) expenses consist primarily of compensation and related costs for sales and marketing personnel engaged in sales and licensee support, compensation and related costs for general management, information technology, finance personnel, corporate legal fees and expenses, facilities costs, stock-based compensation expense and professional services.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3"/>
          </w:tcPr>
          <w:p>
            <w:pPr>
              <w:ind w:left="340"/>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Increase/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Increase/</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6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5"/>
        </w:trPr>
        <w:tc>
          <w:tcPr>
            <w:tcW w:w="2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general and</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$21,921</w:t>
            </w:r>
          </w:p>
        </w:tc>
        <w:tc>
          <w:tcPr>
            <w:tcW w:w="120" w:type="dxa"/>
            <w:vAlign w:val="bottom"/>
            <w:vMerge w:val="restart"/>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$34,770</w:t>
            </w:r>
          </w:p>
        </w:tc>
        <w:tc>
          <w:tcPr>
            <w:tcW w:w="120" w:type="dxa"/>
            <w:vAlign w:val="bottom"/>
            <w:vMerge w:val="restart"/>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$(12,849)</w:t>
            </w:r>
          </w:p>
        </w:tc>
        <w:tc>
          <w:tcPr>
            <w:tcW w:w="120" w:type="dxa"/>
            <w:vAlign w:val="bottom"/>
            <w:vMerge w:val="restart"/>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20" w:type="dxa"/>
            <w:vAlign w:val="bottom"/>
            <w:vMerge w:val="restart"/>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$71,177</w:t>
            </w:r>
          </w:p>
        </w:tc>
        <w:tc>
          <w:tcPr>
            <w:tcW w:w="100" w:type="dxa"/>
            <w:vAlign w:val="bottom"/>
            <w:vMerge w:val="restart"/>
            <w:shd w:val="clear" w:color="auto" w:fill="CFF0FC"/>
          </w:tcPr>
          <w:p>
            <w:pPr>
              <w:spacing w:after="0"/>
              <w:rPr>
                <w:sz w:val="18"/>
                <w:szCs w:val="18"/>
                <w:color w:val="auto"/>
              </w:rPr>
            </w:pPr>
          </w:p>
        </w:tc>
        <w:tc>
          <w:tcPr>
            <w:tcW w:w="1040" w:type="dxa"/>
            <w:vAlign w:val="bottom"/>
            <w:vMerge w:val="restart"/>
            <w:shd w:val="clear" w:color="auto" w:fill="CFF0FC"/>
          </w:tcPr>
          <w:p>
            <w:pPr>
              <w:ind w:left="360"/>
              <w:spacing w:after="0"/>
              <w:rPr>
                <w:sz w:val="20"/>
                <w:szCs w:val="20"/>
                <w:color w:val="auto"/>
              </w:rPr>
            </w:pPr>
            <w:r>
              <w:rPr>
                <w:rFonts w:ascii="Arial" w:cs="Arial" w:eastAsia="Arial" w:hAnsi="Arial"/>
                <w:sz w:val="18"/>
                <w:szCs w:val="18"/>
                <w:color w:val="auto"/>
                <w:w w:val="87"/>
              </w:rPr>
              <w:t>$103,430</w:t>
            </w:r>
          </w:p>
        </w:tc>
        <w:tc>
          <w:tcPr>
            <w:tcW w:w="100" w:type="dxa"/>
            <w:vAlign w:val="bottom"/>
            <w:vMerge w:val="restart"/>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$(32,253)</w:t>
            </w:r>
          </w:p>
        </w:tc>
        <w:tc>
          <w:tcPr>
            <w:tcW w:w="120" w:type="dxa"/>
            <w:vAlign w:val="bottom"/>
            <w:vMerge w:val="restart"/>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2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administrative</w:t>
            </w: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41"/>
        </w:trPr>
        <w:tc>
          <w:tcPr>
            <w:tcW w:w="2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gridSpan w:val="2"/>
          </w:tcPr>
          <w:p>
            <w:pPr>
              <w:jc w:val="right"/>
              <w:ind w:right="8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-504825</wp:posOffset>
            </wp:positionV>
            <wp:extent cx="768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-504825</wp:posOffset>
            </wp:positionV>
            <wp:extent cx="768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-504825</wp:posOffset>
            </wp:positionV>
            <wp:extent cx="768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-504825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-504825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-504825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-504825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ind w:right="80"/>
        <w:spacing w:after="0" w:line="273" w:lineRule="auto"/>
        <w:rPr>
          <w:sz w:val="20"/>
          <w:szCs w:val="20"/>
          <w:color w:val="auto"/>
        </w:rPr>
      </w:pPr>
      <w:r>
        <w:rPr>
          <w:rFonts w:ascii="Arial" w:cs="Arial" w:eastAsia="Arial" w:hAnsi="Arial"/>
          <w:sz w:val="17"/>
          <w:szCs w:val="17"/>
          <w:color w:val="auto"/>
        </w:rPr>
        <w:t>The decrease in SG&amp;A expense during the three and nine months ended September 30, 2023, as compared to the same periods in 2022, was primarily due to a decrease in certain general corporate overhead costs incurred prior to the Separation that did not meet the requirements to be presented in discontinued operations. Such costs are not reflective of our on-going operations and include labor and non-labor costs related to our corporate support functions (e.g., administration, human resources, finance, accounting, tax, information technology, corporate development, legal, among others) that historically provided support to the former product business. The decrease was partially offset by an increase in advertising expense, professional services costs and personnel costs as a result of increased headcount.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 (in thousands, except for percentages):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3"/>
          </w:tcPr>
          <w:p>
            <w:pPr>
              <w:ind w:left="340"/>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1"/>
        </w:trPr>
        <w:tc>
          <w:tcPr>
            <w:tcW w:w="20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11"/>
        </w:trPr>
        <w:tc>
          <w:tcPr>
            <w:tcW w:w="2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Increase/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Increase/</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1"/>
        </w:trPr>
        <w:tc>
          <w:tcPr>
            <w:tcW w:w="206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16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1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 Change</w:t>
            </w:r>
          </w:p>
        </w:tc>
        <w:tc>
          <w:tcPr>
            <w:tcW w:w="116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140" w:type="dxa"/>
            <w:vAlign w:val="bottom"/>
            <w:gridSpan w:val="2"/>
          </w:tcPr>
          <w:p>
            <w:pPr>
              <w:ind w:left="44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1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 Change</w:t>
            </w:r>
          </w:p>
        </w:tc>
      </w:tr>
      <w:tr>
        <w:trPr>
          <w:trHeight w:val="237"/>
        </w:trPr>
        <w:tc>
          <w:tcPr>
            <w:tcW w:w="2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Amortization expense</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$23,386</w:t>
            </w:r>
          </w:p>
        </w:tc>
        <w:tc>
          <w:tcPr>
            <w:tcW w:w="1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$24,195</w:t>
            </w:r>
          </w:p>
        </w:tc>
        <w:tc>
          <w:tcPr>
            <w:tcW w:w="1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1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$70,725</w:t>
            </w:r>
          </w:p>
        </w:tc>
        <w:tc>
          <w:tcPr>
            <w:tcW w:w="1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$73,127</w:t>
            </w:r>
          </w:p>
        </w:tc>
        <w:tc>
          <w:tcPr>
            <w:tcW w:w="1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$(2,402)</w:t>
            </w:r>
          </w:p>
        </w:tc>
        <w:tc>
          <w:tcPr>
            <w:tcW w:w="1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-7620</wp:posOffset>
            </wp:positionV>
            <wp:extent cx="768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-7620</wp:posOffset>
            </wp:positionV>
            <wp:extent cx="768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768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decrease in amortization expense during the three and nine months ended September 30, 2023, as compared to the same period in 2022, was primarily due to certain intangible assets acquired in prior years, which became fully amortized during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Expense (in thousands, except for percentages):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3"/>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3"/>
          </w:tcPr>
          <w:p>
            <w:pPr>
              <w:ind w:left="340"/>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1"/>
        </w:trPr>
        <w:tc>
          <w:tcPr>
            <w:tcW w:w="20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11"/>
        </w:trPr>
        <w:tc>
          <w:tcPr>
            <w:tcW w:w="2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Increase/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Increase/</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1"/>
        </w:trPr>
        <w:tc>
          <w:tcPr>
            <w:tcW w:w="206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16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1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 Change</w:t>
            </w:r>
          </w:p>
        </w:tc>
        <w:tc>
          <w:tcPr>
            <w:tcW w:w="116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140" w:type="dxa"/>
            <w:vAlign w:val="bottom"/>
            <w:gridSpan w:val="2"/>
          </w:tcPr>
          <w:p>
            <w:pPr>
              <w:ind w:left="44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1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 Change</w:t>
            </w:r>
          </w:p>
        </w:tc>
      </w:tr>
      <w:tr>
        <w:trPr>
          <w:trHeight w:val="237"/>
        </w:trPr>
        <w:tc>
          <w:tcPr>
            <w:tcW w:w="2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Litigation expense</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$2,205</w:t>
            </w:r>
          </w:p>
        </w:tc>
        <w:tc>
          <w:tcPr>
            <w:tcW w:w="1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w w:val="87"/>
              </w:rPr>
              <w:t>$3,156</w:t>
            </w:r>
          </w:p>
        </w:tc>
        <w:tc>
          <w:tcPr>
            <w:tcW w:w="1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$7,161</w:t>
            </w:r>
          </w:p>
        </w:tc>
        <w:tc>
          <w:tcPr>
            <w:tcW w:w="1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$7,076</w:t>
            </w:r>
          </w:p>
        </w:tc>
        <w:tc>
          <w:tcPr>
            <w:tcW w:w="1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-7620</wp:posOffset>
            </wp:positionV>
            <wp:extent cx="768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-7620</wp:posOffset>
            </wp:positionV>
            <wp:extent cx="768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768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decrease in litigation expense during the three months ended September 30, 2023, as compared to the same period in 2022, was primarily due to a $2.5 million reserve recorded in the third quarter of 2022 for estimated expense reimbursement owed to the Bell and Telus as a result of the expected outcome of that litigation matter, partially offset by increased legal fees during 2023 as a result of increased case activity.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Litigation expense was relatively consistent for the nine months ended September 30, 2023 and September 30, 2022, respectively.</w:t>
      </w:r>
    </w:p>
    <w:p>
      <w:pPr>
        <w:spacing w:after="0" w:line="22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 xml:space="preserve">We expect that litigation expense will continue to be a significant portion of our operating expenses, as it is used to enforce and protect our IP and contract rights. Litigation expense may fluctuate between periods because of planned or ongoing litigation, as described in Part II, Item 1 – </w:t>
      </w:r>
      <w:r>
        <w:rPr>
          <w:rFonts w:ascii="Arial" w:cs="Arial" w:eastAsia="Arial" w:hAnsi="Arial"/>
          <w:sz w:val="16"/>
          <w:szCs w:val="16"/>
          <w:i w:val="1"/>
          <w:iCs w:val="1"/>
          <w:color w:val="auto"/>
        </w:rPr>
        <w:t>Legal Proceedings</w:t>
      </w:r>
      <w:r>
        <w:rPr>
          <w:rFonts w:ascii="Arial" w:cs="Arial" w:eastAsia="Arial" w:hAnsi="Arial"/>
          <w:sz w:val="16"/>
          <w:szCs w:val="16"/>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(in thousands, except for percentages):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3"/>
          </w:tcPr>
          <w:p>
            <w:pPr>
              <w:ind w:left="340"/>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1"/>
        </w:trPr>
        <w:tc>
          <w:tcPr>
            <w:tcW w:w="20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11"/>
        </w:trPr>
        <w:tc>
          <w:tcPr>
            <w:tcW w:w="2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Increase/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Increase/</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1"/>
        </w:trPr>
        <w:tc>
          <w:tcPr>
            <w:tcW w:w="206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16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1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 Change</w:t>
            </w:r>
          </w:p>
        </w:tc>
        <w:tc>
          <w:tcPr>
            <w:tcW w:w="116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140" w:type="dxa"/>
            <w:vAlign w:val="bottom"/>
            <w:gridSpan w:val="2"/>
          </w:tcPr>
          <w:p>
            <w:pPr>
              <w:ind w:left="44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1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 Change</w:t>
            </w:r>
          </w:p>
        </w:tc>
      </w:tr>
      <w:tr>
        <w:trPr>
          <w:trHeight w:val="237"/>
        </w:trPr>
        <w:tc>
          <w:tcPr>
            <w:tcW w:w="2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$15,659</w:t>
            </w:r>
          </w:p>
        </w:tc>
        <w:tc>
          <w:tcPr>
            <w:tcW w:w="1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$12,444</w:t>
            </w:r>
          </w:p>
        </w:tc>
        <w:tc>
          <w:tcPr>
            <w:tcW w:w="1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$3,215</w:t>
            </w:r>
          </w:p>
        </w:tc>
        <w:tc>
          <w:tcPr>
            <w:tcW w:w="1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$47,137</w:t>
            </w:r>
          </w:p>
        </w:tc>
        <w:tc>
          <w:tcPr>
            <w:tcW w:w="1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$30,313</w:t>
            </w:r>
          </w:p>
        </w:tc>
        <w:tc>
          <w:tcPr>
            <w:tcW w:w="1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$16,824</w:t>
            </w:r>
          </w:p>
        </w:tc>
        <w:tc>
          <w:tcPr>
            <w:tcW w:w="1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r>
      <w:tr>
        <w:trPr>
          <w:trHeight w:val="648"/>
        </w:trPr>
        <w:tc>
          <w:tcPr>
            <w:tcW w:w="2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gridSpan w:val="2"/>
          </w:tcPr>
          <w:p>
            <w:pPr>
              <w:jc w:val="right"/>
              <w:ind w:right="81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20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-505460</wp:posOffset>
            </wp:positionV>
            <wp:extent cx="7683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-505460</wp:posOffset>
            </wp:positionV>
            <wp:extent cx="7683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-505460</wp:posOffset>
            </wp:positionV>
            <wp:extent cx="7683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-505460</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-505460</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-505460</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-505460</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ind w:right="140"/>
        <w:spacing w:after="0" w:line="263" w:lineRule="auto"/>
        <w:rPr>
          <w:sz w:val="20"/>
          <w:szCs w:val="20"/>
          <w:color w:val="auto"/>
        </w:rPr>
      </w:pPr>
      <w:r>
        <w:rPr>
          <w:rFonts w:ascii="Arial" w:cs="Arial" w:eastAsia="Arial" w:hAnsi="Arial"/>
          <w:sz w:val="18"/>
          <w:szCs w:val="18"/>
          <w:color w:val="auto"/>
        </w:rPr>
        <w:t>The increase in interest expense during the three and nine months ended September 30, 2023, as compared to the same periods in 2022, was primarily due to increased interest rates on our variable interest rate debt due to the rising interest rate environment, partially offset by a lower debt balance and amortization of debt discount and issuance costs.</w:t>
      </w:r>
    </w:p>
    <w:p>
      <w:pPr>
        <w:spacing w:after="0" w:line="18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anticipate interest expense will continue to increase in the fourth quarter of 2023, when compared to the same period in 2022, as a result of the effect of rising interest rates on our existing variable-rate debt, partially offset by the lower debt balance and amortization of debt discount and issuance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and Expense, Net (in thousands, except for percentages):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3"/>
          </w:tcPr>
          <w:p>
            <w:pPr>
              <w:ind w:left="340"/>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Increase/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Increase/</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6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5"/>
        </w:trPr>
        <w:tc>
          <w:tcPr>
            <w:tcW w:w="2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and</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$1,486</w:t>
            </w:r>
          </w:p>
        </w:tc>
        <w:tc>
          <w:tcPr>
            <w:tcW w:w="120" w:type="dxa"/>
            <w:vAlign w:val="bottom"/>
            <w:vMerge w:val="restart"/>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120" w:type="dxa"/>
            <w:vAlign w:val="bottom"/>
            <w:vMerge w:val="restart"/>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120" w:type="dxa"/>
            <w:vAlign w:val="bottom"/>
            <w:vMerge w:val="restart"/>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20" w:type="dxa"/>
            <w:vAlign w:val="bottom"/>
            <w:vMerge w:val="restart"/>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$4,723</w:t>
            </w:r>
          </w:p>
        </w:tc>
        <w:tc>
          <w:tcPr>
            <w:tcW w:w="100" w:type="dxa"/>
            <w:vAlign w:val="bottom"/>
            <w:vMerge w:val="restart"/>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100" w:type="dxa"/>
            <w:vAlign w:val="bottom"/>
            <w:vMerge w:val="restart"/>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$3,095</w:t>
            </w:r>
          </w:p>
        </w:tc>
        <w:tc>
          <w:tcPr>
            <w:tcW w:w="120" w:type="dxa"/>
            <w:vAlign w:val="bottom"/>
            <w:vMerge w:val="restart"/>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2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expense, net</w:t>
            </w: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-7620</wp:posOffset>
            </wp:positionV>
            <wp:extent cx="768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-7620</wp:posOffset>
            </wp:positionV>
            <wp:extent cx="768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768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increase in other income and expense, net during the three and nine months ended September 30, 2023, as compared to the same periods in 2022, was primarily due to an increase in interest income from significant financing components from revenue contracts.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r>
              <w:rPr>
                <w:rFonts w:ascii="Arial" w:cs="Arial" w:eastAsia="Arial" w:hAnsi="Arial"/>
                <w:sz w:val="18"/>
                <w:szCs w:val="18"/>
                <w:i w:val="1"/>
                <w:iCs w:val="1"/>
                <w:color w:val="auto"/>
                <w:w w:val="92"/>
              </w:rPr>
              <w:t>Provision for Income Taxes</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3"/>
          </w:tcPr>
          <w:p>
            <w:pPr>
              <w:ind w:left="340"/>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Increase/</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40" w:type="dxa"/>
            <w:vAlign w:val="bottom"/>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5"/>
        </w:trPr>
        <w:tc>
          <w:tcPr>
            <w:tcW w:w="2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income</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$1,712</w:t>
            </w:r>
          </w:p>
        </w:tc>
        <w:tc>
          <w:tcPr>
            <w:tcW w:w="120" w:type="dxa"/>
            <w:vAlign w:val="bottom"/>
            <w:vMerge w:val="restart"/>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$10,401</w:t>
            </w:r>
          </w:p>
        </w:tc>
        <w:tc>
          <w:tcPr>
            <w:tcW w:w="120" w:type="dxa"/>
            <w:vAlign w:val="bottom"/>
            <w:vMerge w:val="restart"/>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$(8,689)</w:t>
            </w:r>
          </w:p>
        </w:tc>
        <w:tc>
          <w:tcPr>
            <w:tcW w:w="120" w:type="dxa"/>
            <w:vAlign w:val="bottom"/>
            <w:vMerge w:val="restart"/>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20" w:type="dxa"/>
            <w:vAlign w:val="bottom"/>
            <w:vMerge w:val="restart"/>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$15,877</w:t>
            </w:r>
          </w:p>
        </w:tc>
        <w:tc>
          <w:tcPr>
            <w:tcW w:w="100" w:type="dxa"/>
            <w:vAlign w:val="bottom"/>
            <w:vMerge w:val="restart"/>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$26,470</w:t>
            </w:r>
          </w:p>
        </w:tc>
        <w:tc>
          <w:tcPr>
            <w:tcW w:w="100" w:type="dxa"/>
            <w:vAlign w:val="bottom"/>
            <w:vMerge w:val="restart"/>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$(10,593)</w:t>
            </w:r>
          </w:p>
        </w:tc>
        <w:tc>
          <w:tcPr>
            <w:tcW w:w="120" w:type="dxa"/>
            <w:vAlign w:val="bottom"/>
            <w:vMerge w:val="restart"/>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taxes</w:t>
            </w: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-7620</wp:posOffset>
            </wp:positionV>
            <wp:extent cx="7747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-7620</wp:posOffset>
            </wp:positionV>
            <wp:extent cx="768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-7620</wp:posOffset>
            </wp:positionV>
            <wp:extent cx="7747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income tax provision and effective tax rate for interim periods are based on the estimated annual effective tax rate adjusted for discrete items during the period. For the three months ended September 30, 2023, we recorded an income tax expense of $1.7 million on pretax income of $25.9 million, and for the nine months ended September 30, 2023, we recorded an income tax expense of $15.9 million on pretax income of $70.5 million, which resulted in effective tax rates of 6.6% and 22.5%, respectively, for the three and nine months ended September 30, 2023.</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For the three months ended September 30, 2022, we recorded an income tax expense of $10.4 million on pretax income of $4.1 million, and for the nine months ended September 30, 2022, we recorded an income tax expense of $26.5 million on pretax income of $91.1 million, which resulted in effective tax rates of 256.3% and 29.0%, respectively, for the three and nine months ended September 30, 2022.</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effective tax rate varies from the 21% U.S. federal tax rate due to foreign withholding taxes, state income taxes, unrealized foreign exchange gain or loss from prior year South Korea withholding tax refund claims, and favorable state audit settlements. The decrease in income tax expense for the three and nine months ended September 30, 2023, as compared to the same period in the prior year was primarily due to a decrease in pretax income and favorable state audit settlements.</w:t>
      </w:r>
    </w:p>
    <w:p>
      <w:pPr>
        <w:spacing w:after="0" w:line="18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We periodically evaluate the realizability of our net deferred tax assets based on all available evidence, both positive and negative. After considering the evidence to assess the recoverability of our net deferred tax assets, we concluded that it was more-likely-than-not that we would realize our federal and certain state deferred tax assets.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Net Loss from Discontinued Operations, Net of Tax</w:t>
      </w:r>
    </w:p>
    <w:p>
      <w:pPr>
        <w:spacing w:after="0" w:line="22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Our results of operations for the three and nine months ended September 30, 2022 include three and nine months of Xperi Inc.’s operations, which are presented as net loss from discontinued operations, net of tax in the Condensed Consolidated Statement of Operations.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Xperi Inc.’s results of operations for the three and nine months ended September 30, 2022 were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5"/>
              </w:rPr>
              <w:t>Three Months Ended</w:t>
            </w:r>
          </w:p>
        </w:tc>
        <w:tc>
          <w:tcPr>
            <w:tcW w:w="180" w:type="dxa"/>
            <w:vAlign w:val="bottom"/>
          </w:tcPr>
          <w:p>
            <w:pPr>
              <w:spacing w:after="0"/>
              <w:rPr>
                <w:sz w:val="18"/>
                <w:szCs w:val="18"/>
                <w:color w:val="auto"/>
              </w:rPr>
            </w:pPr>
          </w:p>
        </w:tc>
        <w:tc>
          <w:tcPr>
            <w:tcW w:w="2020" w:type="dxa"/>
            <w:vAlign w:val="bottom"/>
            <w:gridSpan w:val="2"/>
          </w:tcPr>
          <w:p>
            <w:pPr>
              <w:jc w:val="right"/>
              <w:ind w:right="301"/>
              <w:spacing w:after="0"/>
              <w:rPr>
                <w:sz w:val="20"/>
                <w:szCs w:val="20"/>
                <w:color w:val="auto"/>
              </w:rPr>
            </w:pPr>
            <w:r>
              <w:rPr>
                <w:rFonts w:ascii="Arial" w:cs="Arial" w:eastAsia="Arial" w:hAnsi="Arial"/>
                <w:sz w:val="18"/>
                <w:szCs w:val="18"/>
                <w:b w:val="1"/>
                <w:bCs w:val="1"/>
                <w:color w:val="auto"/>
                <w:w w:val="96"/>
              </w:rPr>
              <w:t>Nine Months Ended</w:t>
            </w:r>
          </w:p>
        </w:tc>
      </w:tr>
      <w:tr>
        <w:trPr>
          <w:trHeight w:val="241"/>
        </w:trPr>
        <w:tc>
          <w:tcPr>
            <w:tcW w:w="6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w w:val="97"/>
              </w:rPr>
              <w:t>September 30, 2022</w:t>
            </w:r>
          </w:p>
        </w:tc>
        <w:tc>
          <w:tcPr>
            <w:tcW w:w="180" w:type="dxa"/>
            <w:vAlign w:val="bottom"/>
          </w:tcPr>
          <w:p>
            <w:pPr>
              <w:spacing w:after="0"/>
              <w:rPr>
                <w:sz w:val="20"/>
                <w:szCs w:val="20"/>
                <w:color w:val="auto"/>
              </w:rPr>
            </w:pPr>
          </w:p>
        </w:tc>
        <w:tc>
          <w:tcPr>
            <w:tcW w:w="2020" w:type="dxa"/>
            <w:vAlign w:val="bottom"/>
            <w:gridSpan w:val="2"/>
          </w:tcPr>
          <w:p>
            <w:pPr>
              <w:jc w:val="right"/>
              <w:ind w:right="321"/>
              <w:spacing w:after="0"/>
              <w:rPr>
                <w:sz w:val="20"/>
                <w:szCs w:val="20"/>
                <w:color w:val="auto"/>
              </w:rPr>
            </w:pPr>
            <w:r>
              <w:rPr>
                <w:rFonts w:ascii="Arial" w:cs="Arial" w:eastAsia="Arial" w:hAnsi="Arial"/>
                <w:sz w:val="18"/>
                <w:szCs w:val="18"/>
                <w:b w:val="1"/>
                <w:bCs w:val="1"/>
                <w:color w:val="auto"/>
                <w:w w:val="95"/>
              </w:rPr>
              <w:t>September 30, 2022</w:t>
            </w:r>
          </w:p>
        </w:tc>
      </w:tr>
      <w:tr>
        <w:trPr>
          <w:trHeight w:val="24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121,644</w:t>
            </w:r>
          </w:p>
        </w:tc>
        <w:tc>
          <w:tcPr>
            <w:tcW w:w="2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366,735</w:t>
            </w:r>
          </w:p>
        </w:tc>
        <w:tc>
          <w:tcPr>
            <w:tcW w:w="100" w:type="dxa"/>
            <w:vAlign w:val="bottom"/>
            <w:shd w:val="clear" w:color="auto" w:fill="CFF0FC"/>
          </w:tcPr>
          <w:p>
            <w:pPr>
              <w:spacing w:after="0"/>
              <w:rPr>
                <w:sz w:val="21"/>
                <w:szCs w:val="21"/>
                <w:color w:val="auto"/>
              </w:rPr>
            </w:pP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513,502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784,949</w:t>
            </w:r>
          </w:p>
        </w:tc>
        <w:tc>
          <w:tcPr>
            <w:tcW w:w="100" w:type="dxa"/>
            <w:vAlign w:val="bottom"/>
          </w:tcPr>
          <w:p>
            <w:pPr>
              <w:spacing w:after="0"/>
              <w:rPr>
                <w:sz w:val="20"/>
                <w:szCs w:val="20"/>
                <w:color w:val="auto"/>
              </w:rPr>
            </w:pPr>
          </w:p>
        </w:tc>
      </w:tr>
      <w:tr>
        <w:trPr>
          <w:trHeight w:val="249"/>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FF0FC"/>
          </w:tcPr>
          <w:p>
            <w:pPr>
              <w:spacing w:after="0"/>
              <w:rPr>
                <w:sz w:val="21"/>
                <w:szCs w:val="21"/>
                <w:color w:val="auto"/>
              </w:rPr>
            </w:pPr>
          </w:p>
        </w:tc>
        <w:tc>
          <w:tcPr>
            <w:tcW w:w="22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(391,858 )</w:t>
            </w:r>
          </w:p>
        </w:tc>
        <w:tc>
          <w:tcPr>
            <w:tcW w:w="18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(418,214 )</w:t>
            </w: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color w:val="auto"/>
              </w:rPr>
              <w:t>Other income and expense, net</w:t>
            </w:r>
          </w:p>
        </w:tc>
        <w:tc>
          <w:tcPr>
            <w:tcW w:w="180" w:type="dxa"/>
            <w:vAlign w:val="bottom"/>
          </w:tcPr>
          <w:p>
            <w:pPr>
              <w:spacing w:after="0"/>
              <w:rPr>
                <w:sz w:val="20"/>
                <w:szCs w:val="20"/>
                <w:color w:val="auto"/>
              </w:rPr>
            </w:pPr>
          </w:p>
        </w:tc>
        <w:tc>
          <w:tcPr>
            <w:tcW w:w="2200" w:type="dxa"/>
            <w:vAlign w:val="bottom"/>
            <w:gridSpan w:val="2"/>
          </w:tcPr>
          <w:p>
            <w:pPr>
              <w:jc w:val="right"/>
              <w:ind w:right="50"/>
              <w:spacing w:after="0"/>
              <w:rPr>
                <w:sz w:val="20"/>
                <w:szCs w:val="20"/>
                <w:color w:val="auto"/>
              </w:rPr>
            </w:pPr>
            <w:r>
              <w:rPr>
                <w:rFonts w:ascii="Arial" w:cs="Arial" w:eastAsia="Arial" w:hAnsi="Arial"/>
                <w:sz w:val="18"/>
                <w:szCs w:val="18"/>
                <w:color w:val="auto"/>
              </w:rPr>
              <w:t>(1,154 )</w:t>
            </w:r>
          </w:p>
        </w:tc>
        <w:tc>
          <w:tcPr>
            <w:tcW w:w="180" w:type="dxa"/>
            <w:vAlign w:val="bottom"/>
          </w:tcPr>
          <w:p>
            <w:pPr>
              <w:spacing w:after="0"/>
              <w:rPr>
                <w:sz w:val="20"/>
                <w:szCs w:val="20"/>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(698 )</w:t>
            </w:r>
          </w:p>
        </w:tc>
      </w:tr>
      <w:tr>
        <w:trPr>
          <w:trHeight w:val="249"/>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taxes</w:t>
            </w:r>
          </w:p>
        </w:tc>
        <w:tc>
          <w:tcPr>
            <w:tcW w:w="180" w:type="dxa"/>
            <w:vAlign w:val="bottom"/>
            <w:shd w:val="clear" w:color="auto" w:fill="CFF0FC"/>
          </w:tcPr>
          <w:p>
            <w:pPr>
              <w:spacing w:after="0"/>
              <w:rPr>
                <w:sz w:val="21"/>
                <w:szCs w:val="21"/>
                <w:color w:val="auto"/>
              </w:rPr>
            </w:pPr>
          </w:p>
        </w:tc>
        <w:tc>
          <w:tcPr>
            <w:tcW w:w="22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(393,012 )</w:t>
            </w:r>
          </w:p>
        </w:tc>
        <w:tc>
          <w:tcPr>
            <w:tcW w:w="18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(418,912 )</w:t>
            </w: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20"/>
                <w:szCs w:val="20"/>
                <w:color w:val="auto"/>
              </w:rPr>
            </w:pPr>
          </w:p>
        </w:tc>
        <w:tc>
          <w:tcPr>
            <w:tcW w:w="2200" w:type="dxa"/>
            <w:vAlign w:val="bottom"/>
            <w:gridSpan w:val="2"/>
          </w:tcPr>
          <w:p>
            <w:pPr>
              <w:jc w:val="right"/>
              <w:ind w:right="50"/>
              <w:spacing w:after="0"/>
              <w:rPr>
                <w:sz w:val="20"/>
                <w:szCs w:val="20"/>
                <w:color w:val="auto"/>
              </w:rPr>
            </w:pPr>
            <w:r>
              <w:rPr>
                <w:rFonts w:ascii="Arial" w:cs="Arial" w:eastAsia="Arial" w:hAnsi="Arial"/>
                <w:sz w:val="18"/>
                <w:szCs w:val="18"/>
                <w:color w:val="auto"/>
              </w:rPr>
              <w:t>(9,536 )</w:t>
            </w:r>
          </w:p>
        </w:tc>
        <w:tc>
          <w:tcPr>
            <w:tcW w:w="18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18,066</w:t>
            </w:r>
          </w:p>
        </w:tc>
        <w:tc>
          <w:tcPr>
            <w:tcW w:w="100" w:type="dxa"/>
            <w:vAlign w:val="bottom"/>
          </w:tcPr>
          <w:p>
            <w:pPr>
              <w:spacing w:after="0"/>
              <w:rPr>
                <w:sz w:val="20"/>
                <w:szCs w:val="20"/>
                <w:color w:val="auto"/>
              </w:rPr>
            </w:pPr>
          </w:p>
        </w:tc>
      </w:tr>
      <w:tr>
        <w:trPr>
          <w:trHeight w:val="249"/>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from discontinued operations, net of tax</w:t>
            </w:r>
          </w:p>
        </w:tc>
        <w:tc>
          <w:tcPr>
            <w:tcW w:w="180" w:type="dxa"/>
            <w:vAlign w:val="bottom"/>
            <w:shd w:val="clear" w:color="auto" w:fill="CFF0FC"/>
          </w:tcPr>
          <w:p>
            <w:pPr>
              <w:spacing w:after="0"/>
              <w:rPr>
                <w:sz w:val="21"/>
                <w:szCs w:val="21"/>
                <w:color w:val="auto"/>
              </w:rPr>
            </w:pPr>
          </w:p>
        </w:tc>
        <w:tc>
          <w:tcPr>
            <w:tcW w:w="22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(383,476 )</w:t>
            </w:r>
          </w:p>
        </w:tc>
        <w:tc>
          <w:tcPr>
            <w:tcW w:w="18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(436,978 )</w:t>
            </w: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color w:val="auto"/>
              </w:rPr>
              <w:t>Less: net loss attributable to noncontrolling interest</w:t>
            </w:r>
          </w:p>
        </w:tc>
        <w:tc>
          <w:tcPr>
            <w:tcW w:w="180" w:type="dxa"/>
            <w:vAlign w:val="bottom"/>
          </w:tcPr>
          <w:p>
            <w:pPr>
              <w:spacing w:after="0"/>
              <w:rPr>
                <w:sz w:val="20"/>
                <w:szCs w:val="20"/>
                <w:color w:val="auto"/>
              </w:rPr>
            </w:pPr>
          </w:p>
        </w:tc>
        <w:tc>
          <w:tcPr>
            <w:tcW w:w="2200" w:type="dxa"/>
            <w:vAlign w:val="bottom"/>
            <w:gridSpan w:val="2"/>
          </w:tcPr>
          <w:p>
            <w:pPr>
              <w:jc w:val="right"/>
              <w:ind w:right="50"/>
              <w:spacing w:after="0"/>
              <w:rPr>
                <w:sz w:val="20"/>
                <w:szCs w:val="20"/>
                <w:color w:val="auto"/>
              </w:rPr>
            </w:pPr>
            <w:r>
              <w:rPr>
                <w:rFonts w:ascii="Arial" w:cs="Arial" w:eastAsia="Arial" w:hAnsi="Arial"/>
                <w:sz w:val="18"/>
                <w:szCs w:val="18"/>
                <w:color w:val="auto"/>
              </w:rPr>
              <w:t>(890 )</w:t>
            </w:r>
          </w:p>
        </w:tc>
        <w:tc>
          <w:tcPr>
            <w:tcW w:w="180" w:type="dxa"/>
            <w:vAlign w:val="bottom"/>
          </w:tcPr>
          <w:p>
            <w:pPr>
              <w:spacing w:after="0"/>
              <w:rPr>
                <w:sz w:val="20"/>
                <w:szCs w:val="20"/>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(2,706 )</w:t>
            </w:r>
          </w:p>
        </w:tc>
      </w:tr>
      <w:tr>
        <w:trPr>
          <w:trHeight w:val="276"/>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attributable to discontinued operations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(382,586</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(434,272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-25400</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following table presents selected financial information related to our liquidity and significant sources and uses of cash, cash equivalents and short-term investments for the nine months ended September 30, 2023 and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As of</w:t>
            </w:r>
          </w:p>
        </w:tc>
        <w:tc>
          <w:tcPr>
            <w:tcW w:w="1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5"/>
              </w:rPr>
              <w:t>September 30, 2023</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December 31, 2022</w:t>
            </w:r>
          </w:p>
        </w:tc>
        <w:tc>
          <w:tcPr>
            <w:tcW w:w="100" w:type="dxa"/>
            <w:vAlign w:val="bottom"/>
          </w:tcPr>
          <w:p>
            <w:pPr>
              <w:spacing w:after="0"/>
              <w:rPr>
                <w:sz w:val="20"/>
                <w:szCs w:val="20"/>
                <w:color w:val="auto"/>
              </w:rPr>
            </w:pPr>
          </w:p>
        </w:tc>
      </w:tr>
      <w:tr>
        <w:trPr>
          <w:trHeight w:val="241"/>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51,855</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114,555</w:t>
            </w:r>
          </w:p>
        </w:tc>
        <w:tc>
          <w:tcPr>
            <w:tcW w:w="100" w:type="dxa"/>
            <w:vAlign w:val="bottom"/>
            <w:shd w:val="clear" w:color="auto" w:fill="CFF0FC"/>
          </w:tcPr>
          <w:p>
            <w:pPr>
              <w:spacing w:after="0"/>
              <w:rPr>
                <w:sz w:val="20"/>
                <w:szCs w:val="20"/>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30,245</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76"/>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cash, cash equivalents and short-term investments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82,100</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114,555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-24765</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100" w:type="dxa"/>
            <w:vAlign w:val="bottom"/>
            <w:gridSpan w:val="5"/>
          </w:tcPr>
          <w:p>
            <w:pPr>
              <w:ind w:left="400"/>
              <w:spacing w:after="0"/>
              <w:rPr>
                <w:sz w:val="20"/>
                <w:szCs w:val="20"/>
                <w:color w:val="auto"/>
              </w:rPr>
            </w:pPr>
            <w:r>
              <w:rPr>
                <w:rFonts w:ascii="Arial" w:cs="Arial" w:eastAsia="Arial" w:hAnsi="Arial"/>
                <w:sz w:val="18"/>
                <w:szCs w:val="18"/>
                <w:b w:val="1"/>
                <w:bCs w:val="1"/>
                <w:color w:val="auto"/>
              </w:rPr>
              <w:t>Nine Months Ended September 30,</w:t>
            </w:r>
          </w:p>
        </w:tc>
      </w:tr>
      <w:tr>
        <w:trPr>
          <w:trHeight w:val="237"/>
        </w:trPr>
        <w:tc>
          <w:tcPr>
            <w:tcW w:w="6640" w:type="dxa"/>
            <w:vAlign w:val="bottom"/>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64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Net cash from operating activities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113,315</w:t>
            </w:r>
          </w:p>
        </w:tc>
        <w:tc>
          <w:tcPr>
            <w:tcW w:w="2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142,042</w:t>
            </w:r>
          </w:p>
        </w:tc>
        <w:tc>
          <w:tcPr>
            <w:tcW w:w="100" w:type="dxa"/>
            <w:vAlign w:val="bottom"/>
          </w:tcPr>
          <w:p>
            <w:pPr>
              <w:spacing w:after="0"/>
              <w:rPr>
                <w:sz w:val="20"/>
                <w:szCs w:val="20"/>
                <w:color w:val="auto"/>
              </w:rPr>
            </w:pPr>
          </w:p>
        </w:tc>
      </w:tr>
      <w:tr>
        <w:trPr>
          <w:trHeight w:val="24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from investing activities</w:t>
            </w:r>
          </w:p>
        </w:tc>
        <w:tc>
          <w:tcPr>
            <w:tcW w:w="5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(31,829 )</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(4,313 )</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Net cash from financing activities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(144,186 )</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(64,339 )</w:t>
            </w:r>
          </w:p>
        </w:tc>
      </w:tr>
    </w:tbl>
    <w:p>
      <w:pPr>
        <w:spacing w:after="0" w:line="21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primary sources of liquidity and capital resources are our operating cash flows. Cash, cash equivalents and short-term investments were $82.1 million at September 30, 2023, a decrease of $32.5 million from $114.6 million at December 31, 2022. This decrease resulted primarily from $118.9 million in repayment of our indebtedness, $16.0 million in dividends paid, $33.6 million in purchases of short-term investments, $10.5 million in repurchases of common stock for tax withholdings on equity awards, and $1.9 million of capital expenditures, partially offset by $113.3 million of cash generated from operations, $3.8 million in proceeds from maturities of investments, and $1.2 million in proceeds from the issuance of common stock under our employee stock grant programs and employee stock purchase plans.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ind w:right="180"/>
        <w:spacing w:after="0" w:line="272" w:lineRule="auto"/>
        <w:rPr>
          <w:sz w:val="20"/>
          <w:szCs w:val="20"/>
          <w:color w:val="auto"/>
        </w:rPr>
      </w:pPr>
      <w:r>
        <w:rPr>
          <w:rFonts w:ascii="Arial" w:cs="Arial" w:eastAsia="Arial" w:hAnsi="Arial"/>
          <w:sz w:val="17"/>
          <w:szCs w:val="17"/>
          <w:color w:val="auto"/>
        </w:rPr>
        <w:t>The primary objectives of our investment activities are to preserve principal and to maintain liquidity, while at the same time capturing a market rate of return. To achieve these objectives, we maintain a diversified portfolio of securities including money market funds and debt securities such as corporate bonds and notes, municipal bonds and notes, commercial paper, treasury and agency notes and bills and certificates of deposit. Our marketable debt securities are classified as available-for-sale (“AFS”) with credit losses recognized as a credit loss expense and non-credit related unrealized gains and losses, net of tax, recorded in accumulated other comprehensive income or loss. The gross realized gains and losses on sales of marketable debt securities were immaterial during the three and nine months ended September 30, 2023 and 2022. Unrealized losses on AFS debt securities were immaterial as of September 30, 2023 and December 31, 2022.</w:t>
      </w:r>
    </w:p>
    <w:p>
      <w:pPr>
        <w:spacing w:after="0" w:line="17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For information about our material cash requirements,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in Part II, Item 7 of our Annual Report on Form 10-K for the year ended December 31, 2022. Other than the principal payment of $118.9 million made by us under the Refinanced Term B Loans during the nine months ended September 30, 2023, our cash requirements have not changed materially since December 31, 2022.</w:t>
      </w:r>
    </w:p>
    <w:p>
      <w:pPr>
        <w:spacing w:after="0" w:line="18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We expect to continue to make additional payments on our existing debt from cash generated from operations. In addition to our cash requirements, we have returned cash to stockholders through both quarterly dividend payments and repurchases of our common stock under our stock repurchase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Quarterly Dividends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September 2023, we paid quarterly cash dividends of $0.05 per share of common stock. In October 2023, our board of directors (the “Board”) authorized payment of a quarterly cash dividend of $0.05 per share, to be paid in December 2023.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Plan</w:t>
      </w:r>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On June 12, 2020, our Board terminated a prior stock repurchase program and approved a new stock repurchase plan (the “Plan”), which provides for the repurchase of up to $150.0 million of our common stock dependent on market conditions, share price and other factors. No expiration has been specified for this Plan. On April 22, 2021, our Board authorized an additional $100.0 million of purchases under the Plan. The stock repurchases may be made from time to time, through solicited or unsolicited transactions in the open market, in privately negotiated transactions, or pursuant to a Rule 10b5-1 plan. Since the inception of the Plan, and through September 30, 2023, we have repurchased an aggregate of approximately 10.0 million shares of common stock at a total cost of $172.2 million at an average price of $17.24. As of September 30, 2023, the total remaining amount available for repurchase under the Plan was $77.8 million. We may continue to execute authorized repurchases from time to time under the Plan. The amount and timing of any repurchases under the Plan depend on a number of factors, including, but not limited to, the trading price, volume and availability of our common shares. There is no guarantee that such repurchases under the Plan will enhance the value of our common stock.</w:t>
      </w:r>
    </w:p>
    <w:p>
      <w:pPr>
        <w:spacing w:after="0" w:line="5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believe that based on current levels of operations and anticipated growth, our cash from operations, together with cash and cash equivalents currently available, will be sufficient to satisfy our currently anticipated cash requirements through at least the next 12 months and thereafter for the foreseeable future. Poor financial results, unanticipated expenses, unanticipated acquisitions of technologies or businesses, or unanticipated strategic investments could give rise to additional financing requirements sooner than we expect. There can be no assurance that equity or debt financing will be available when needed or, if available, that such financing will be on terms satisfactory to us. The sale of additional equity securities could result in dilution to our stockholders. The incurrence of indebtedness could result in increased debt service obligations and may include covenants that would restrict our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cash flows are presented on a consolidated basis and therefore, also include $182.9 million of cash and cash equivalents included as current assets of discontinued operations in the condensed consolidated balance sheet as of September 30, 2022. Cash flows provided by operations were $113.3 million for the nine months ended September 30, 2023, primarily due to our net income of $54.7 million being adjusted for non-cash items of amortization of intangible assets of $70.7 million, amortization of debt issuance costs of $3.3 million and stock-based compensation expense of $13.1 million. These increases were partially offset by $29.6 million in changes in operating assets and liabilities including payment during the period of employee bonuses earned in 2022.</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p>
      <w:pPr>
        <w:ind w:right="20"/>
        <w:spacing w:after="0" w:line="279" w:lineRule="auto"/>
        <w:rPr>
          <w:sz w:val="20"/>
          <w:szCs w:val="20"/>
          <w:color w:val="auto"/>
        </w:rPr>
      </w:pPr>
      <w:r>
        <w:rPr>
          <w:rFonts w:ascii="Arial" w:cs="Arial" w:eastAsia="Arial" w:hAnsi="Arial"/>
          <w:sz w:val="17"/>
          <w:szCs w:val="17"/>
          <w:color w:val="auto"/>
        </w:rPr>
        <w:t>Cash flows provided by operations were $142.0 million for the nine months ended September 30, 2022, primarily due to our net loss of $372.3 million being further adjusted for non-cash items of depreciation of $16.8 million, amortization of intangible assets of $119.3 million, goodwill impairment charges of $354.0 million, and stock-based compensation expense of $49.3 million. These increases were partially offset by $27.5 million in changes in operating assets and liabilities including payment during the first quarter of employee bonuses earned in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Net cash used in investing activities was $31.8 million for the nine months ended September 30, 2023, primarily related to purchases of short-term investments of $33.6 million, capital expenditures of $1.9 million and proceeds from maturities of investments of $3.8 million.</w:t>
      </w:r>
    </w:p>
    <w:p>
      <w:pPr>
        <w:spacing w:after="0" w:line="14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Net cash used in investing activities was $4.3 million for the nine months ended September 30, 2022, primarily related to maturities and sales of securities of $63.4 million, partially offset by net cash paid for the Vewd Acquisition of $50.5 million, purchases of short-term investments of $4.5 million and capital expenditures of $12.6 million. The sales of securities included activity in late June in anticipation of the Vewd Acquisition which closed on July 1,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Our capital expenditures for property and equipment consist primarily of purchases of computer hardware and software, information systems, and production and test equipment. During the nine months ended September 30, 2023 and 2022, we spent $1.9 million and $12.6 million on capital expenditures, respectively. These expenditures are expected to be financed with cash from operations, existing cash and cash equivalents and short-term investments. There can be no assurance that current expectations will be realized, and plans are subject to change upon further review of our capital expenditure needs.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Net cash used in financing activities was $144.2 million for the nine months ended September 30, 2023 due to $118.9 million in repayment of indebtedness, $16.0 million in dividends paid, $10.5 million in repurchases of common stock for tax withholdings on equity awards, partially offset by $1.1 million in proceeds from the issuance of common stock under our employee stock grant programs and employee stock purchase plans.</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used in financing activities was $64.3 million for the nine months ended September 30, 2022 primarily due to $30.4 million in repayment of indebtedness, $15.6 million in dividends paid, $17.3 million in repurchases of common stock, and $15.3 million in repurchases of common stock for tax withholdings on equity awards, partially offset by $14.3 million in proceeds due to the issuance of common stock under our employee stock grant programs and employee stock purchase plans.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June 8, 2021, we amended (the “Amendment”) that certain Credit Agreement dated June 1, 2020 by and among us, the lenders party thereto and Bank of America, N.A., as administrative agent and collateral agent (the “2020 Credit Agreement”). The 2020 Credit Agreement initially provided for a five-year senior secured term B loan facility in an aggregate principal amount of $1,050 million (the “2020 Term B Loan Facility”). In connection with the Amendment, we made a voluntary prepayment of $50.6 million of the term loan outstanding under the 2020 Credit Agreement using cash on hand. The Amendment provided for, among other things, (i) a new tranche of term loans (the “Refinanced Term B Loans”) in an aggregate principal amount of $810.0 million, (ii) a reduction of the interest rate margin applicable to such loans to (x) in the case of base rate loans, 2.50% per annum and (y) in the case of Eurodollar loans, LIBOR plus a margin of 3.50% per annum, (iii) a prepayment premium of 1.00% in connection with any repricing transaction with respect to the Refinanced Term B Loans within six months of the closing date of the Amendment, (iv) an extension of the maturity to June 8, 2028, and (v) certain additional amendments, including amendments to provide us with additional flexibility under the covenant governing restricted payments. We commenced repaying quarterly installments under the Refinanced Term B Loans in the third quarter of 2021.</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ind w:right="60"/>
        <w:spacing w:after="0" w:line="277" w:lineRule="auto"/>
        <w:rPr>
          <w:sz w:val="20"/>
          <w:szCs w:val="20"/>
          <w:color w:val="auto"/>
        </w:rPr>
      </w:pPr>
      <w:r>
        <w:rPr>
          <w:rFonts w:ascii="Arial" w:cs="Arial" w:eastAsia="Arial" w:hAnsi="Arial"/>
          <w:sz w:val="18"/>
          <w:szCs w:val="18"/>
          <w:color w:val="auto"/>
        </w:rPr>
        <w:t>On May 30, 2023, we amended the 2020 Credit Agreement to replace the reference to LIBOR as the base rate with the reference to the Secured Overnight Financing Rate “SOFR” as administered by the Federal Reserve Bank of New York.</w:t>
      </w:r>
    </w:p>
    <w:p>
      <w:pPr>
        <w:spacing w:after="0" w:line="17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At September 30, 2023, $630.4 million was outstanding under the Refinanced Term B Loans with an interest rate, including amortization of debt discount and issuance costs of $16.6 million. Interest is payable monthly. Under the existing loan agreements, we have future minimum principal payments for our debt of $10.1 million for the remainder of 2023 and $40.5 million in each year from 2024 through 2027, with the remaining principal balance of $458.3 million due in 2028. After the Separation, we own the debt under the Refinanced B Term Loans. Additionally, we paid $73.5 million during the nine months ended September 30, 2023, based on certain leverage ratios and our excess cash flow generated during the year ended December 31, 2022. The payments under the excess cash flow provisions were made earlier than required under the 2020 Credit Agreement. We are obligated to continue to pay a portion of excess cash flows on an annual basis. The Refinanced Term B Loans contain customary covenants, and as of September 30, 2023, we were in full compliance with such covenants.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During the nine months ended September 30, 2023, there were no significant changes in our critical accounting policies and estimates. See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of Notes to the Condensed Consolidated Financial Statements for additional detail. For a discussion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critical accounting policies and estimates, see Part II, Item 7 –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 our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See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of the Notes to Condensed Consolidated Financial Statements for a full description of recent accounting pronouncements including the respective expected dates of adoption.</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For a discussion of our market risk, see Part II, Item 7A –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xml:space="preserve"> in our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Attached as exhibits to this Form 10-Q are certifications of Adeia Inc.’s Chief Executive Officer and Chief Financial Officer, which are required in accordance with Rule 13a-14 of the Exchange Act. This “Controls and Procedures” section includes information concerning the controls and controls evaluation referred to in the certifications and it should be read in conjunction with the certifications for a more complete understanding of the topics presented.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filed or submitted pursuant to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as of the end of the period covered by this report (the evaluation date). Based on this evaluation, our Chief Executive Officer and Chief Financial Officer concluded as of the evaluation date that our disclosure controls and procedures were effective to provide reasonable assurance that the information relating to Adeia Inc., including our consolidated subsidiaries, required to be disclosed in our SEC reports (i) is recorded, processed, summarized and reported within the time periods specified in SEC rules and forms, and (ii) is accumulated and communicated to Adeia Inc.’s management, including our Chief Executive Officer and Chief Financial Officer, as appropriate, to allow timely decisions regarding required disclosure.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of the Exchange Act, during the last fiscal quarter covered by this Quarterly Report on Form 10-Q that materially affected or are reasonably likely to materially affect our internal control over financial reporting.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9" w:name="page50"/>
    <w:bookmarkEnd w:id="49"/>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normal course of our business, we are involved in legal proceedings. In the past, we have litigated to enforce our patents and other intellectual property (“IP”) rights, to enforce the terms of license agreements and to defend ourselves against claims of invalidity. We expect to continue to be involved in similar legal proceedings in the future, including proceedings regarding infringement of our patents and proceedings to ensure proper and full payment of royalties by licensees under the terms of our license agreements.</w:t>
      </w:r>
    </w:p>
    <w:p>
      <w:pPr>
        <w:spacing w:after="0" w:line="18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cannot predict the outcome of any of the proceedings described below, other than to the extent such proceedings have concluded. An adverse decision in any of these proceedings could significantly harm our business and our consolidated financial position, results of operations, and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Infringement Litigation</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ordinary course of our IP licensing business, we are required to engage in litigation to protect our IP from infringement. While litigation is never our preference, and we prefer to reach mutually agreeable commercial licensing arrangements with third parties, it is sometimes a necessary step to effectively protect our investment in our IP. As a result of these lawsuits, defendants have often filed Inter Partes Review (“IPR”) petitions with the U.S. Patent and Trademark Office’s Patent Trial and Appeal Board (and other similar post-grant proceedings outside of the U.S.) seeking to invalidate one or more of our patents. We are currently engaged in multiple lawsuits with several third parties.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Videotron Patent Infringement Litigation</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June 23, 2017, Adeia Guides Inc. (formerly known as Rovi Guides, Inc.) and Adeia Media Solutions Inc. (formerly known as TiVo Solutions Inc.) (together, “Adeia Media”) filed a patent infringement complaint against Videotron Ltd. and Videotron G.P. (together, “Videotron”) in Toronto, Canada, alleging infringement of six patents (“Videotron 1”). On June 10, 2022, the Federal Court of Canada issued its decision in the case finding in favor of Videotron and its legacy “illico” platform. Specifically, the Court found invalid each of the asserted claims related to the four remaining patents involved in the case. In Canada, the prevailing party in patent litigation is entitled to reimbursement of certain of its costs and expenses. Accordingly, we paid $2.5 million for expense reimbursement in the fourth quarter of 2022. On September 12, 2022, Adeia Media filed a notice of appeal with the Federal Court of Appeal of Canada appealing the decision of the Federal Court of Canada. On January 30, 2023, Adeia Media filed its opening memorandum of fact and law. Videotron filed its memorandum of fact and law on April 17, 2023. The Federal Court of Appeal of Canada has scheduled a hearing on the appeal for November 28, 2023.</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May 21, 2021, Adeia Media filed a patent infringement complaint against Videotron in Toronto, Canada, alleging infringement of four patents (“Videotron 2”). On July 21, 2021, the Federal Court of Canada held a case management conference in Videotron 2, shortly before which Videotron filed a motion to strike various portions of the statement of claim. On March 22, 2022, the Court issued an order on Videotron’s motion to strike, dismissing the motion in its entirety. On April 1, 2022, Videotron filed an appeal of the Court’s order dismissing Videotron’s motion to strike. On June 30, 2022, the Court of Appeal issued its decision in Videotron’s appeal in which it ruled in Adeia Media’s favor and dismissed Videotron’s appeal. Discovery in the case began in August 2022. The trial is scheduled to start on January 13, 2025.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Bell and Telus Patent Infringement Litigation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January 19, 2018, Adeia Media filed a patent infringement complaint against Bell Canada (and four of its affiliates) (collectively, “Bell”) in Toronto, Canada, alleging infringement of six patents (“Bell 1”). On February 2, 2018, Adeia Media filed a patent infringement complaint against Telus Corporation (and two of its affiliates) (collectively, “Telus”) in Toronto, Canada, alleging infringement of the same six patents (“Telus 1”). Bell 1and Telus 1 were heard together for purposes of pre-trial and trial proceedings. On October 7, 2022, the Federal Court of Canada issued its decision in the two cases finding in favor of Bell and Telus and their respective IPTV services,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0" w:name="page51"/>
    <w:bookmarkEnd w:id="50"/>
    <w:p>
      <w:pPr>
        <w:ind w:right="220"/>
        <w:spacing w:after="0" w:line="255" w:lineRule="auto"/>
        <w:rPr>
          <w:sz w:val="20"/>
          <w:szCs w:val="20"/>
          <w:color w:val="auto"/>
        </w:rPr>
      </w:pPr>
      <w:r>
        <w:rPr>
          <w:rFonts w:ascii="Arial" w:cs="Arial" w:eastAsia="Arial" w:hAnsi="Arial"/>
          <w:sz w:val="18"/>
          <w:szCs w:val="18"/>
          <w:color w:val="auto"/>
        </w:rPr>
        <w:t>Bell Fibe TV and Telus Optik TV. Specifically, the Court found invalid each of the asserted claims of the four remaining patents involved in the case. In Canada, the prevailing party in patent litigation is entitled to reimbursement of certain of its costs and expenses. Accordingly, we paid $2.6 million for expense reimbursement in the second quarter of 2023. On November 7, 2022, Adeia Media filed a notice of appeal with the Federal Court of Appeal of Canada appealing the decision of the Federal Court of Canada. On June 2, 2023, Adeia Media filed its opening memorandum of fact and law. Bell and Telus filed a combined memorandum of fact and law on August 18, 2023. The Federal Court of Appeal of Canada has scheduled a hearing on the appeal for November 29, 2023.</w:t>
      </w:r>
    </w:p>
    <w:p>
      <w:pPr>
        <w:spacing w:after="0" w:line="19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July 27, 2021, Adeia Media filed a patent infringement complaint against Bell Canada and four of its affiliates, Telefonaktiebolaget L M Ericsson, Ericsson Canada Inc., and MK Systems USA Inc. and MK Mediatech Canada Inc. (collectively, “Defendants”) in Toronto, Canada, alleging infringement of four patents (“Bell 2”). The Defendants filed a motion to strike various portions of the statement of claim in Bell 2. On March 22, 2022, the Court issued an order on Defendants’ motion to strike, dismissing-in-part and granting-in-part. On April 1, 2022, the Defendants filed a Notice of Motion to Appeal the Court’s order on Defendants’ motion to strike. On June 30, 2022, the Court of Appeal issued its decision in Defendants' appeal in which it ruled in Adeia Media's favor and dismissed Defendants’ appeal. On September 30, 2022, Defendants filed a motion for bifurcation, asking the Federal Court of Canada to bifurcate the case into two phases: a first phase related to liability and injunction and second phase addressing damages if liability is found. The Court held a hearing on the motion for bifurcation on December 12, 2022. On February 15, 2023, the Court issued an order granting the motion for bifurcation in which the Court bifurcated the liability and injunction phase from the damages quantification phase of the case. Discovery in the case began in November 2022. The trial is scheduled to start on April 28, 2025.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NVIDIA Patent Infringement Litigation</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May 8, 2019, Adeia Semiconductor Technologies LLC (formerly known as Invensas Corporation) and Adeia Semiconductor Advanced Technologies, Inc. (formerly known as Tessera Advanced Technologies, Inc.) (together, "Adeia Semiconductor") filed a complaint against NVIDIA Corporation (“NVIDIA”) in the United States District Court for the District of Delaware, alleging infringement of five patents, and requesting, among other things, that NVIDIA be ordered to pay compensatory damages in an amount no less than a reasonable royalty. NVIDIA answered the complaint on July 1, 2019, and subsequently moved to transfer the case to the United States District Court for the Northern District of California. The Court denied NVIDIA’s motion to transfer on September 17, 2019.</w:t>
      </w:r>
    </w:p>
    <w:p>
      <w:pPr>
        <w:spacing w:after="0" w:line="19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September 2020, the Patent Trial and Appeal Board (“PTAB”) instituted IPRs of several patents-in-suit. The parties stipulated to an order staying the litigation pending resolution of the IPR proceedings and to dismissal of claims relating to two patents. As a result, there are three patents-in-suit remaining. One patent has no IPRs pending against it and two patents are subject to IPRs. On June 9, 2021, the PTAB held oral arguments in the IPRs. On September 1, 2021, the PTAB issued final written decisions in the IPRs in which it found all challenged claims of the two patents invalid. On November 1, 2021, Adeia Semiconductor filed appeals of each of the IPR decisions with the United States Court of Appeals for the Federal Circuit. On March 22, 2023, the Federal Circuit affirmed the PTAB’s final written decision in both IPRs. The parties reached a settlement and all remaining claims were dismissed pursuant to a joint stipulation of dismissal filed by the parties on September 11, 2023.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Shaw Breach of Contract Litigation</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October 2, 2023, Adeia Guides Inc., Adeia Media Solutions Inc., and Adeia Media Holdings LLC (collectively, “Adeia Media”) filed a complaint against Shaw Cablesystems G.P. and Shaw Satellite G.P. (together “Shaw”) in the United States District Court for the Southern District of New York, alleging breach of contract by Shaw for failure to pay royalties owed to Adeia Media under the license agreement between the parties. No dates have been set.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There were no material changes to the risk factors previously disclosed in Part 1, Item 1A. of our Annual Report on Form 10-K for the year ended December 31, 2022, which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three months ended September 30, 2023, there were no Rule 10b5-1 plans or non-Rule 10b5-1 trading arrangements adopted, modified or terminated by any director or officer of the Company.</w:t>
      </w:r>
    </w:p>
    <w:p>
      <w:pPr>
        <w:spacing w:after="0" w:line="17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337" w:right="8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6. 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1008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85"/>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10080" w:type="dxa"/>
            <w:vAlign w:val="bottom"/>
            <w:tcBorders>
              <w:bottom w:val="single" w:sz="8" w:color="auto"/>
            </w:tcBorders>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Arial" w:cs="Arial" w:eastAsia="Arial" w:hAnsi="Arial"/>
                <w:sz w:val="18"/>
                <w:szCs w:val="18"/>
                <w:color w:val="0000FF"/>
              </w:rPr>
              <w:t>Certification of the Chief Executive Officer pursuant to Rule 13a-14(a) of the Securities Exchange Act of 1934</w:t>
            </w:r>
          </w:p>
        </w:tc>
        <w:tc>
          <w:tcPr>
            <w:tcW w:w="0" w:type="dxa"/>
            <w:vAlign w:val="bottom"/>
          </w:tcPr>
          <w:p>
            <w:pPr>
              <w:spacing w:after="0"/>
              <w:rPr>
                <w:sz w:val="1"/>
                <w:szCs w:val="1"/>
                <w:color w:val="auto"/>
              </w:rPr>
            </w:pPr>
          </w:p>
        </w:tc>
      </w:tr>
      <w:tr>
        <w:trPr>
          <w:trHeight w:val="372"/>
        </w:trPr>
        <w:tc>
          <w:tcPr>
            <w:tcW w:w="102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79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1"/>
              </w:rPr>
              <w:t>Certification of the Chief Financial Officer pursuant to Rule 13a-14(a) of the Securities Exchange Act of 1934</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0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2"/>
              </w:rPr>
              <w:t>Certification of the Chief Executive Officer and Chief Financial Officer pursuant to Rule 13a-14(b) of the Securities Exchange Act of 1934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6"/>
          </w:tcPr>
          <w:p>
            <w:pPr>
              <w:spacing w:after="0" w:line="196" w:lineRule="exact"/>
              <w:rPr>
                <w:sz w:val="20"/>
                <w:szCs w:val="20"/>
                <w:color w:val="auto"/>
              </w:rPr>
            </w:pPr>
            <w:r>
              <w:rPr>
                <w:rFonts w:ascii="Arial" w:cs="Arial" w:eastAsia="Arial" w:hAnsi="Arial"/>
                <w:sz w:val="18"/>
                <w:szCs w:val="18"/>
                <w:color w:val="0000FF"/>
              </w:rPr>
              <w:t>and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180" w:type="dxa"/>
            <w:vAlign w:val="bottom"/>
            <w:tcBorders>
              <w:right w:val="single" w:sz="8" w:color="0000EE"/>
            </w:tcBorders>
            <w:shd w:val="clear" w:color="auto" w:fill="0000FF"/>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2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80" w:type="dxa"/>
            <w:vAlign w:val="bottom"/>
            <w:gridSpan w:val="6"/>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92"/>
        </w:trPr>
        <w:tc>
          <w:tcPr>
            <w:tcW w:w="102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92"/>
        </w:trPr>
        <w:tc>
          <w:tcPr>
            <w:tcW w:w="102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92"/>
        </w:trPr>
        <w:tc>
          <w:tcPr>
            <w:tcW w:w="102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2"/>
        </w:trPr>
        <w:tc>
          <w:tcPr>
            <w:tcW w:w="102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91"/>
        </w:trPr>
        <w:tc>
          <w:tcPr>
            <w:tcW w:w="102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540" w:right="3560" w:hanging="5519"/>
        <w:spacing w:after="0" w:line="794" w:lineRule="auto"/>
        <w:tabs>
          <w:tab w:leader="none" w:pos="1161"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6, 2023</w:t>
      </w:r>
    </w:p>
    <w:p>
      <w:pPr>
        <w:spacing w:after="0" w:line="23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ADEIA INC.</w:t>
      </w:r>
    </w:p>
    <w:p>
      <w:pPr>
        <w:spacing w:after="0" w:line="306" w:lineRule="exact"/>
        <w:rPr>
          <w:sz w:val="20"/>
          <w:szCs w:val="20"/>
          <w:color w:val="auto"/>
        </w:rPr>
      </w:pPr>
    </w:p>
    <w:p>
      <w:pPr>
        <w:ind w:left="614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Keith A.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23495</wp:posOffset>
            </wp:positionV>
            <wp:extent cx="288036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Keith A. Jones</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Paul E. Davis, certify that:</w:t>
      </w:r>
    </w:p>
    <w:p>
      <w:pPr>
        <w:spacing w:after="0" w:line="171"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Adeia Inc.;</w:t>
      </w:r>
    </w:p>
    <w:p>
      <w:pPr>
        <w:spacing w:after="0" w:line="171"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760" w:right="120" w:hanging="3"/>
        <w:spacing w:after="0" w:line="263" w:lineRule="auto"/>
        <w:tabs>
          <w:tab w:leader="none" w:pos="94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760" w:right="520" w:hanging="3"/>
        <w:spacing w:after="0" w:line="263" w:lineRule="auto"/>
        <w:tabs>
          <w:tab w:leader="none" w:pos="9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760" w:right="620" w:hanging="3"/>
        <w:spacing w:after="0" w:line="342" w:lineRule="auto"/>
        <w:tabs>
          <w:tab w:leader="none" w:pos="945"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760" w:right="120" w:hanging="3"/>
        <w:spacing w:after="0" w:line="263" w:lineRule="auto"/>
        <w:tabs>
          <w:tab w:leader="none" w:pos="9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60" w:right="40" w:hanging="3"/>
        <w:spacing w:after="0" w:line="277" w:lineRule="auto"/>
        <w:tabs>
          <w:tab w:leader="none" w:pos="94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60" w:right="540" w:hanging="3"/>
        <w:spacing w:after="0" w:line="277" w:lineRule="auto"/>
        <w:tabs>
          <w:tab w:leader="none" w:pos="9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Date: November 6, 2023</w:t>
      </w:r>
      <w:r>
        <w:rPr>
          <w:sz w:val="20"/>
          <w:szCs w:val="20"/>
          <w:color w:val="auto"/>
        </w:rPr>
        <w:tab/>
      </w:r>
      <w:r>
        <w:rPr>
          <w:rFonts w:ascii="Arial" w:cs="Arial" w:eastAsia="Arial" w:hAnsi="Arial"/>
          <w:sz w:val="16"/>
          <w:szCs w:val="16"/>
          <w:color w:val="auto"/>
        </w:rPr>
        <w:t>/s/ Paul 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86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Paul E. Davis</w:t>
      </w:r>
    </w:p>
    <w:p>
      <w:pPr>
        <w:spacing w:after="0" w:line="3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Keith A. Jones, certify that:</w:t>
      </w:r>
    </w:p>
    <w:p>
      <w:pPr>
        <w:spacing w:after="0" w:line="171"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Adeia Inc.;</w:t>
      </w:r>
    </w:p>
    <w:p>
      <w:pPr>
        <w:spacing w:after="0" w:line="171"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760" w:right="120" w:hanging="3"/>
        <w:spacing w:after="0" w:line="263" w:lineRule="auto"/>
        <w:tabs>
          <w:tab w:leader="none" w:pos="94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760" w:right="520" w:hanging="3"/>
        <w:spacing w:after="0" w:line="263" w:lineRule="auto"/>
        <w:tabs>
          <w:tab w:leader="none" w:pos="9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760" w:right="620" w:hanging="3"/>
        <w:spacing w:after="0" w:line="342" w:lineRule="auto"/>
        <w:tabs>
          <w:tab w:leader="none" w:pos="945"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760" w:right="120" w:hanging="3"/>
        <w:spacing w:after="0" w:line="263" w:lineRule="auto"/>
        <w:tabs>
          <w:tab w:leader="none" w:pos="9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60" w:right="40" w:hanging="3"/>
        <w:spacing w:after="0" w:line="277" w:lineRule="auto"/>
        <w:tabs>
          <w:tab w:leader="none" w:pos="94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60" w:right="540" w:hanging="3"/>
        <w:spacing w:after="0" w:line="277" w:lineRule="auto"/>
        <w:tabs>
          <w:tab w:leader="none" w:pos="9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Date: November 6, 2023</w:t>
      </w:r>
      <w:r>
        <w:rPr>
          <w:sz w:val="20"/>
          <w:szCs w:val="20"/>
          <w:color w:val="auto"/>
        </w:rPr>
        <w:tab/>
      </w:r>
      <w:r>
        <w:rPr>
          <w:rFonts w:ascii="Arial" w:cs="Arial" w:eastAsia="Arial" w:hAnsi="Arial"/>
          <w:sz w:val="16"/>
          <w:szCs w:val="16"/>
          <w:color w:val="auto"/>
        </w:rPr>
        <w:t>/s/ Keith A.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86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Keith A. Jones</w:t>
      </w:r>
    </w:p>
    <w:p>
      <w:pPr>
        <w:spacing w:after="0" w:line="3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18 U.S.C. SECTION 1350</w:t>
      </w:r>
    </w:p>
    <w:p>
      <w:pPr>
        <w:spacing w:after="0" w:line="157" w:lineRule="exact"/>
        <w:rPr>
          <w:sz w:val="20"/>
          <w:szCs w:val="20"/>
          <w:color w:val="auto"/>
        </w:rPr>
      </w:pPr>
    </w:p>
    <w:p>
      <w:pPr>
        <w:jc w:val="both"/>
        <w:ind w:right="60" w:firstLine="749"/>
        <w:spacing w:after="0" w:line="259" w:lineRule="auto"/>
        <w:rPr>
          <w:sz w:val="20"/>
          <w:szCs w:val="20"/>
          <w:color w:val="auto"/>
        </w:rPr>
      </w:pPr>
      <w:r>
        <w:rPr>
          <w:rFonts w:ascii="Arial" w:cs="Arial" w:eastAsia="Arial" w:hAnsi="Arial"/>
          <w:sz w:val="18"/>
          <w:szCs w:val="18"/>
          <w:color w:val="auto"/>
        </w:rPr>
        <w:t>In connection with the Quarterly Report of Adeia Inc., a Delaware corporation (the “Company”), on Form 10-Q for the period ended September 30, 2023 as filed with the Securities and Exchange Commission (the “Report”), I, Paul E. Davis, Chief Executive Officer and President, certify, pursuant to Rule 13a-14(b) of the Securities Exchange Act of 1934 and 18 U.S.C. § 1350, as adopted pursuant to § 906 of the Sarbanes-Oxley Act of 2002, that to my knowledge:</w:t>
      </w:r>
    </w:p>
    <w:p>
      <w:pPr>
        <w:spacing w:after="0" w:line="133" w:lineRule="exact"/>
        <w:rPr>
          <w:sz w:val="20"/>
          <w:szCs w:val="20"/>
          <w:color w:val="auto"/>
        </w:rPr>
      </w:pPr>
    </w:p>
    <w:p>
      <w:pPr>
        <w:ind w:left="1020" w:hanging="263"/>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82" w:lineRule="exact"/>
        <w:rPr>
          <w:rFonts w:ascii="Arial" w:cs="Arial" w:eastAsia="Arial" w:hAnsi="Arial"/>
          <w:sz w:val="17"/>
          <w:szCs w:val="17"/>
          <w:color w:val="auto"/>
        </w:rPr>
      </w:pPr>
    </w:p>
    <w:p>
      <w:pPr>
        <w:ind w:left="1020" w:hanging="263"/>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Paul 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4607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Paul E. Davis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and President</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6, 2023</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18 U.S.C. SECTION 1350</w:t>
      </w:r>
    </w:p>
    <w:p>
      <w:pPr>
        <w:spacing w:after="0" w:line="157"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auto"/>
        </w:rPr>
        <w:t>In connection with the Quarterly Report of Adeia Inc., a Delaware corporation (the “Company”), on Form 10-Q for the period ended September 30, 2023 as filed with the Securities and Exchange Commission (the “Report”), I, Keith A. Jones, Chief Financial Officer of the Company, certify, pursuant to Rule 13a-14(b) of the Securities Exchange Act of 1934 and 18 U.S.C. § 1350, as adopted pursuant to § 906 of the Sarbanes-Oxley Act of 2002, that to my knowledge:</w:t>
      </w:r>
    </w:p>
    <w:p>
      <w:pPr>
        <w:spacing w:after="0" w:line="133" w:lineRule="exact"/>
        <w:rPr>
          <w:sz w:val="20"/>
          <w:szCs w:val="20"/>
          <w:color w:val="auto"/>
        </w:rPr>
      </w:pPr>
    </w:p>
    <w:p>
      <w:pPr>
        <w:ind w:left="1020" w:hanging="263"/>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82" w:lineRule="exact"/>
        <w:rPr>
          <w:rFonts w:ascii="Arial" w:cs="Arial" w:eastAsia="Arial" w:hAnsi="Arial"/>
          <w:sz w:val="17"/>
          <w:szCs w:val="17"/>
          <w:color w:val="auto"/>
        </w:rPr>
      </w:pPr>
    </w:p>
    <w:p>
      <w:pPr>
        <w:ind w:left="1020" w:hanging="263"/>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Keith A.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4607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Keith A. Jones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6, 2023</w:t>
      </w:r>
    </w:p>
    <w:p>
      <w:pPr>
        <w:spacing w:after="0" w:line="239" w:lineRule="exact"/>
        <w:rPr>
          <w:sz w:val="20"/>
          <w:szCs w:val="20"/>
          <w:color w:val="auto"/>
        </w:rPr>
      </w:pPr>
    </w:p>
    <w:p>
      <w:pPr>
        <w:ind w:right="180" w:firstLine="749"/>
        <w:spacing w:after="0" w:line="342" w:lineRule="auto"/>
        <w:rPr>
          <w:sz w:val="20"/>
          <w:szCs w:val="20"/>
          <w:color w:val="auto"/>
        </w:rPr>
      </w:pPr>
      <w:r>
        <w:rPr>
          <w:rFonts w:ascii="Arial" w:cs="Arial" w:eastAsia="Arial" w:hAnsi="Arial"/>
          <w:sz w:val="16"/>
          <w:szCs w:val="16"/>
          <w:i w:val="1"/>
          <w:iCs w:val="1"/>
          <w:color w:val="auto"/>
        </w:rPr>
        <w:t>A signed original of this written statement required by Rule 13a-14(b) of the Securities Exchange Act of 1934 and 18 U.S.C. Section 1350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280670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7" w:name="page58"/>
    <w:bookmarkEnd w:id="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04"/>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2023-11-06T15:25:03Z</dcterms:created>
  <dcterms:modified xsi:type="dcterms:W3CDTF">2023-11-06T15:25:03Z</dcterms:modified>
</cp:coreProperties>
</file>