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ea-20260630.htm"/>
      <w:bookmarkStart w:id="1" w:name="ksadea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6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Commission File Number: 001-39304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638" w:type="dxa"/>
        <w:jc w:val="left"/>
        <w:tblInd w:w="0" w:type="dxa"/>
        <w:tblLayout w:type="fixed"/>
        <w:tblCellMar>
          <w:top w:w="28" w:type="dxa"/>
          <w:left w:w="28" w:type="dxa"/>
          <w:bottom w:w="28" w:type="dxa"/>
          <w:right w:w="28" w:type="dxa"/>
        </w:tblCellMar>
      </w:tblPr>
      <w:tblGrid>
        <w:gridCol w:w="3931"/>
        <w:gridCol w:w="146"/>
        <w:gridCol w:w="156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84-4734590</w:t>
            </w:r>
          </w:p>
        </w:tc>
      </w:tr>
      <w:tr>
        <w:trPr/>
        <w:tc>
          <w:tcPr>
            <w:tcW w:w="3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3025 Orchard Parkway, San Jose,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95134</w:t>
            </w:r>
          </w:p>
        </w:tc>
      </w:tr>
      <w:tr>
        <w:trPr/>
        <w:tc>
          <w:tcPr>
            <w:tcW w:w="3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(408) 473-2500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38" w:type="dxa"/>
        <w:jc w:val="left"/>
        <w:tblInd w:w="0" w:type="dxa"/>
        <w:tblLayout w:type="fixed"/>
        <w:tblCellMar>
          <w:top w:w="28" w:type="dxa"/>
          <w:left w:w="28" w:type="dxa"/>
          <w:bottom w:w="28" w:type="dxa"/>
          <w:right w:w="28" w:type="dxa"/>
        </w:tblCellMar>
      </w:tblPr>
      <w:tblGrid>
        <w:gridCol w:w="3271"/>
        <w:gridCol w:w="886"/>
        <w:gridCol w:w="3481"/>
      </w:tblGrid>
      <w:tr>
        <w:trPr/>
        <w:tc>
          <w:tcPr>
            <w:tcW w:w="327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88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8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ADEA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of shares outstanding of the registrant’s common stock as of July 24, 2026 was 110,280,150.</w:t>
      </w:r>
    </w:p>
    <w:p>
      <w:pPr>
        <w:pStyle w:val="TextBody"/>
        <w:pBdr>
          <w:bottom w:val="double" w:sz="6" w:space="1" w:color="000000"/>
        </w:pBdr>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8512"/>
        <w:gridCol w:w="146"/>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1">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Income –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mprehensive_income">
              <w:r>
                <w:rPr>
                  <w:rStyle w:val="InternetLink"/>
                  <w:rFonts w:ascii="Times New Roman" w:hAnsi="Times New Roman"/>
                  <w:color w:val="0000FF"/>
                  <w:sz w:val="20"/>
                  <w:u w:val="single"/>
                </w:rPr>
                <w:t>Condensed Consolidated Statements of Comprehensive Income –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stmt_equity">
              <w:r>
                <w:rPr>
                  <w:rStyle w:val="InternetLink"/>
                  <w:rFonts w:ascii="Times New Roman" w:hAnsi="Times New Roman"/>
                  <w:color w:val="000080"/>
                  <w:sz w:val="20"/>
                  <w:u w:val="single"/>
                </w:rPr>
                <w:t>Condensed Consolidated Statements of Equity –</w:t>
              </w:r>
            </w:hyperlink>
            <w:r>
              <w:rPr>
                <w:rFonts w:ascii="Times New Roman" w:hAnsi="Times New Roman"/>
                <w:color w:val="0000FF"/>
                <w:sz w:val="20"/>
                <w:u w:val="single"/>
              </w:rPr>
              <w:t> Three and Six Months Ended June 30, 2026 and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3_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4_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5_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12" w:type="dxa"/>
            <w:tcBorders/>
            <w:tcMar>
              <w:top w:w="0" w:type="dxa"/>
              <w:left w:w="0" w:type="dxa"/>
              <w:bottom w:w="0" w:type="dxa"/>
              <w:right w:w="0" w:type="dxa"/>
            </w:tcMar>
            <w:vAlign w:val="center"/>
          </w:tcPr>
          <w:p>
            <w:pPr>
              <w:pStyle w:val="TableContents"/>
              <w:bidi w:val="0"/>
              <w:spacing w:before="0" w:after="283"/>
              <w:jc w:val="left"/>
              <w:rPr/>
            </w:pPr>
            <w:hyperlink w:anchor="item_6_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3" w:name="item1"/>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4" w:name="condensed_consolidated_statements_operat"/>
      <w:bookmarkEnd w:id="4"/>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per share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bookmarkStart w:id="5" w:name="comprehensive_incom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5204"/>
        <w:gridCol w:w="146"/>
        <w:gridCol w:w="211"/>
        <w:gridCol w:w="676"/>
        <w:gridCol w:w="166"/>
        <w:gridCol w:w="146"/>
        <w:gridCol w:w="211"/>
        <w:gridCol w:w="676"/>
        <w:gridCol w:w="146"/>
        <w:gridCol w:w="146"/>
        <w:gridCol w:w="211"/>
        <w:gridCol w:w="676"/>
        <w:gridCol w:w="166"/>
        <w:gridCol w:w="146"/>
        <w:gridCol w:w="211"/>
        <w:gridCol w:w="676"/>
        <w:gridCol w:w="391"/>
      </w:tblGrid>
      <w:tr>
        <w:trPr/>
        <w:tc>
          <w:tcPr>
            <w:tcW w:w="5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par value)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633"/>
        <w:gridCol w:w="146"/>
        <w:gridCol w:w="211"/>
        <w:gridCol w:w="931"/>
        <w:gridCol w:w="166"/>
        <w:gridCol w:w="146"/>
        <w:gridCol w:w="217"/>
        <w:gridCol w:w="962"/>
        <w:gridCol w:w="793"/>
      </w:tblGrid>
      <w:tr>
        <w:trPr/>
        <w:tc>
          <w:tcPr>
            <w:tcW w:w="6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$713 </w:t>
              <w:br/>
              <w:t>and $713,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contracts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303,958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303,456</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79,778</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49,975</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558,762</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(2026: authorized 15,000 shares; 2025: authorized 15,000 shares and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(2026: authorized 350,000 shares, issued 131,537 shares, outstanding 110,262 shares; 2025: authorized 350,000 shares, issued 127,923 shares, outstanding 108,999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685,992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(2026: 21,274 shares; 2025: 18,924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(297,778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480,541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bookmarkStart w:id="7" w:name="cash_flows"/>
      <w:bookmarkEnd w:id="7"/>
      <w:r>
        <w:rPr>
          <w:rFonts w:ascii="Times New Roman" w:hAnsi="Times New Roman"/>
          <w:b/>
          <w:color w:val="000000"/>
          <w:sz w:val="20"/>
        </w:rPr>
        <w:t>CONDENSED CONSOLIDATED STATEMENTS OF CASH</w:t>
      </w:r>
      <w:r>
        <w:rPr>
          <w:rFonts w:ascii="Times New Roman" w:hAnsi="Times New Roman"/>
          <w:color w:val="000000"/>
          <w:sz w:val="20"/>
        </w:rPr>
        <w:t xml:space="preserve"> </w:t>
      </w:r>
      <w:r>
        <w:rPr>
          <w:rFonts w:ascii="Times New Roman" w:hAnsi="Times New Roman"/>
          <w:b/>
          <w:color w:val="000000"/>
          <w:sz w:val="20"/>
        </w:rPr>
        <w:t>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238"/>
        <w:gridCol w:w="146"/>
        <w:gridCol w:w="265"/>
        <w:gridCol w:w="984"/>
        <w:gridCol w:w="166"/>
        <w:gridCol w:w="146"/>
        <w:gridCol w:w="277"/>
        <w:gridCol w:w="969"/>
        <w:gridCol w:w="1014"/>
      </w:tblGrid>
      <w:tr>
        <w:trPr/>
        <w:tc>
          <w:tcPr>
            <w:tcW w:w="6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16,944</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(12,989</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debt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program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 for tax withholdings on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84,247</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17,722</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13,599</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assets received in lieu of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8" w:name="stmt_equity"/>
      <w:bookmarkEnd w:id="8"/>
      <w:r>
        <w:rPr>
          <w:rFonts w:ascii="Times New Roman" w:hAnsi="Times New Roman"/>
          <w:b/>
          <w:color w:val="000000"/>
          <w:sz w:val="20"/>
        </w:rPr>
        <w:t>CONDENSED 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945"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36"/>
        <w:gridCol w:w="455"/>
        <w:gridCol w:w="146"/>
        <w:gridCol w:w="146"/>
        <w:gridCol w:w="196"/>
        <w:gridCol w:w="691"/>
        <w:gridCol w:w="146"/>
        <w:gridCol w:w="146"/>
        <w:gridCol w:w="146"/>
        <w:gridCol w:w="601"/>
        <w:gridCol w:w="146"/>
        <w:gridCol w:w="146"/>
        <w:gridCol w:w="196"/>
        <w:gridCol w:w="751"/>
        <w:gridCol w:w="166"/>
        <w:gridCol w:w="146"/>
        <w:gridCol w:w="377"/>
        <w:gridCol w:w="839"/>
        <w:gridCol w:w="166"/>
        <w:gridCol w:w="146"/>
        <w:gridCol w:w="196"/>
        <w:gridCol w:w="691"/>
        <w:gridCol w:w="166"/>
        <w:gridCol w:w="146"/>
        <w:gridCol w:w="238"/>
        <w:gridCol w:w="843"/>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466,567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on common stock ($0.05</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net of shares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related to net share settlement of restricted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477,187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on common stock ($0.05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477,187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915" w:type="dxa"/>
        <w:jc w:val="left"/>
        <w:tblInd w:w="0" w:type="dxa"/>
        <w:tblLayout w:type="fixed"/>
        <w:tblCellMar>
          <w:top w:w="28" w:type="dxa"/>
          <w:left w:w="28" w:type="dxa"/>
          <w:bottom w:w="28" w:type="dxa"/>
          <w:right w:w="28" w:type="dxa"/>
        </w:tblCellMar>
      </w:tblPr>
      <w:tblGrid>
        <w:gridCol w:w="1171"/>
        <w:gridCol w:w="146"/>
        <w:gridCol w:w="146"/>
        <w:gridCol w:w="691"/>
        <w:gridCol w:w="166"/>
        <w:gridCol w:w="146"/>
        <w:gridCol w:w="236"/>
        <w:gridCol w:w="455"/>
        <w:gridCol w:w="146"/>
        <w:gridCol w:w="146"/>
        <w:gridCol w:w="196"/>
        <w:gridCol w:w="691"/>
        <w:gridCol w:w="146"/>
        <w:gridCol w:w="146"/>
        <w:gridCol w:w="146"/>
        <w:gridCol w:w="601"/>
        <w:gridCol w:w="146"/>
        <w:gridCol w:w="146"/>
        <w:gridCol w:w="196"/>
        <w:gridCol w:w="751"/>
        <w:gridCol w:w="166"/>
        <w:gridCol w:w="146"/>
        <w:gridCol w:w="439"/>
        <w:gridCol w:w="777"/>
        <w:gridCol w:w="166"/>
        <w:gridCol w:w="146"/>
        <w:gridCol w:w="196"/>
        <w:gridCol w:w="661"/>
        <w:gridCol w:w="166"/>
        <w:gridCol w:w="146"/>
        <w:gridCol w:w="238"/>
        <w:gridCol w:w="843"/>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April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389,470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on common stock ($0.05</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net of shares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related to net share settlement of restricted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Company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396,571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on common stock ($0.05</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net of shares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Withholding taxes related to net share settlement of restricted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9" w:name="notes_to_condensed"/>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THE COMPANY AND 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Adeia Inc. (the “Company”), a Delaware corporation, is one of the industry’s largest intellectual property (“IP”) licensing platforms, with a diverse portfolio of media and semiconductor IP consisting of over 14,250 patents and patent applications worldwide.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2025 have been derived from the Company’s annual audited Consolidated Financial Statements included in its Annual Report on Form 10-K for the year ended December 31, 2025, filed on February 26, 2026 (the “Form 10-K”). These Condensed Consolidated Financial Statements should be read in conjunction with the annual audited Consolidated Financial Statements and notes thereto included in the Form 10-K as of and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consolidated financial statements include the accounts of Adeia Inc. and its wholly-owned subsidiaries.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and six months ended June 30, 2026 are not necessarily indicative of the results that may be expected for the full year ending December 31, 2026 or any future period and the Company makes no representations related thereto.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fiscal year ends on December 31 and employs a calendar month-end reporting period for its quarterly reporting. The Company operates under one reportable segment,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prior fiscal year balances have been reclassified to conform to the current fiscal year presentation.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significant changes in the Company’s significant accounting policies during the three and six months ended June 30, 2026, as compared to the significant accounting policies described in the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determining standalone selling price used to allocate consideration in a contract with multiple performance obligations, estimating the fair value of noncash consideration, estimating variable consideration relating to potential future price adjustments as a result of legal contract disputes, estimating quarterly royalties prior to receiving the royalty reports from the licensee, measurement of the fair value of acquired intangible assets,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condensed consolidated financial statements as soon as they become known.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Condensed Consolidated Financial Statements. See “Note 15 – </w:t>
      </w:r>
      <w:r>
        <w:rPr>
          <w:rFonts w:ascii="Times New Roman" w:hAnsi="Times New Roman"/>
          <w:i/>
          <w:color w:val="000000"/>
          <w:sz w:val="20"/>
        </w:rPr>
        <w:t>Segment Information</w:t>
      </w:r>
      <w:r>
        <w:rPr>
          <w:rFonts w:ascii="Times New Roman" w:hAnsi="Times New Roman"/>
          <w:color w:val="000000"/>
          <w:sz w:val="20"/>
        </w:rPr>
        <w:t xml:space="preserve">” for further detail.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In the fourth quarter of 2025, the Company adopted ASU 2023-09 on a retrospective basis, and the adoption did not have a material impact to the Company’s Condensed Consolidated Financial Statements.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 </w:t>
      </w:r>
    </w:p>
    <w:p>
      <w:pPr>
        <w:pStyle w:val="TextBody"/>
        <w:bidi w:val="0"/>
        <w:spacing w:before="120" w:after="283"/>
        <w:jc w:val="left"/>
        <w:rPr>
          <w:rFonts w:ascii="Times New Roman" w:hAnsi="Times New Roman"/>
          <w:sz w:val="20"/>
        </w:rPr>
      </w:pPr>
      <w:r>
        <w:rPr>
          <w:rFonts w:ascii="Times New Roman" w:hAnsi="Times New Roman"/>
          <w:b/>
          <w:color w:val="000000"/>
          <w:sz w:val="20"/>
        </w:rPr>
        <w:t>NOTE 3 –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taxes are withheld by the Company’s licensee, revenue is recognized gross of withholding taxes that are remitted directly by the licensee to a local tax authority.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based on their relative standalone selling prices.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certain contracts with customers, the Company receives noncash consideration in the form of patents, and the fair value of those assets is included in the transaction price for revenue recognition purposes. The Company measures fair value at contract inception using one of, or a combination of, an analysis of comparable market transactions (the market approach), and/or an analysis of the costs that would be required to develop and maintain a comparable set of patents (the cost approach).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 of variable consideration is estimated by considering all available information (historical, current, and forecast) and is updated as additional information becomes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estimate of variable consideration is included in the transaction price to the extent it is probable that a significant reversal of cumulative revenue recognized will not occur when the uncertainty associated with the variable consideration is resolved.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Description of Revenue-Generating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IP License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variable-based Media IP or Semiconductor IP royalty licensing, (ii) fixed-fee Media IP licensing, and (iii) fixed-fee or minimum guarantee Semiconductor IP licensing. </w:t>
      </w:r>
    </w:p>
    <w:p>
      <w:pPr>
        <w:pStyle w:val="TextBody"/>
        <w:bidi w:val="0"/>
        <w:spacing w:before="240" w:after="283"/>
        <w:jc w:val="left"/>
        <w:rPr>
          <w:rFonts w:ascii="Times New Roman" w:hAnsi="Times New Roman"/>
          <w:sz w:val="20"/>
        </w:rPr>
      </w:pPr>
      <w:r>
        <w:rPr>
          <w:rFonts w:ascii="Times New Roman" w:hAnsi="Times New Roman"/>
          <w:b/>
          <w:i/>
          <w:color w:val="000000"/>
          <w:sz w:val="20"/>
        </w:rPr>
        <w:t>Variable-based Media IP or Semiconductor IP royalty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from variable based contracts based on the customer’s sale or usage of the IP during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pStyle w:val="TextBody"/>
        <w:bidi w:val="0"/>
        <w:spacing w:before="240" w:after="283"/>
        <w:jc w:val="left"/>
        <w:rPr>
          <w:rFonts w:ascii="Times New Roman" w:hAnsi="Times New Roman"/>
          <w:sz w:val="20"/>
        </w:rPr>
      </w:pPr>
      <w:r>
        <w:rPr>
          <w:rFonts w:ascii="Times New Roman" w:hAnsi="Times New Roman"/>
          <w:b/>
          <w:i/>
          <w:color w:val="000000"/>
          <w:sz w:val="20"/>
        </w:rPr>
        <w:t>Fixed-fee Media IP licensing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Fixed-fee or minimum guarantee Semiconductor IP licensing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occasion, 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IP license contracts with multiple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Determination of standalone selling price requires significant management judgment.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Practical Expedients and Exemptions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to not perform an evaluation of whether a contract includes a significant financing component when the timing of revenue recognition differs from the timing of cash collection by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to expense costs to obtain a contract with a customer as incurred as a component of selling, general and administrative expenses when the amortization period would have been one year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potential future price adjustments, or (iii) when variable consideration is allocated entirely to a wholly unsatisfied performance obligation; or to a wholly unsatisfied promise to transfer a distinct good or service that forms part of a single performance obligation.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Details</w:t>
      </w:r>
    </w:p>
    <w:p>
      <w:pPr>
        <w:pStyle w:val="TextBody"/>
        <w:bidi w:val="0"/>
        <w:spacing w:before="240" w:after="283"/>
        <w:jc w:val="left"/>
        <w:rPr>
          <w:rFonts w:ascii="Times New Roman" w:hAnsi="Times New Roman"/>
          <w:sz w:val="20"/>
        </w:rPr>
      </w:pPr>
      <w:r>
        <w:rPr>
          <w:rFonts w:ascii="Times New Roman" w:hAnsi="Times New Roman"/>
          <w:i/>
          <w:color w:val="000000"/>
          <w:sz w:val="20"/>
        </w:rPr>
        <w:t>Revenue Disaggregation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hAnsi="Times New Roman"/>
          <w:i/>
          <w:color w:val="000000"/>
          <w:sz w:val="20"/>
        </w:rPr>
        <w:t>Segment Information</w:t>
      </w:r>
      <w:r>
        <w:rPr>
          <w:rFonts w:ascii="Times New Roman" w:hAnsi="Times New Roman"/>
          <w:color w:val="000000"/>
          <w:sz w:val="20"/>
        </w:rPr>
        <w:t xml:space="preserve">”). This information includes revenue recognized from contracts with customers and revenue from other sources, including sales-based or usage-based royalty revenues and fees associated with releases for past infringement. </w:t>
      </w:r>
    </w:p>
    <w:p>
      <w:pPr>
        <w:pStyle w:val="TextBody"/>
        <w:bidi w:val="0"/>
        <w:spacing w:before="240" w:after="283"/>
        <w:jc w:val="left"/>
        <w:rPr>
          <w:rFonts w:ascii="Times New Roman" w:hAnsi="Times New Roman"/>
          <w:sz w:val="20"/>
        </w:rPr>
      </w:pPr>
      <w:r>
        <w:rPr>
          <w:rFonts w:ascii="Times New Roman" w:hAnsi="Times New Roman"/>
          <w:b/>
          <w:color w:val="000000"/>
          <w:sz w:val="20"/>
        </w:rPr>
        <w:t>Recurring and non-recurring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variable based Media IP or Semiconductor IP royalty license agreements, revenue associated with sales-based or usage-based royalties in exchange for a license of IP, which are recognized in the period such subsequent sales or usage occurs.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disaggregated by recurring and non-recurring nature was as follows (in thousands):</w:t>
      </w:r>
    </w:p>
    <w:p>
      <w:pPr>
        <w:pStyle w:val="TextBody"/>
        <w:bidi w:val="0"/>
        <w:jc w:val="left"/>
        <w:rPr/>
      </w:pPr>
      <w:r>
        <w:rPr/>
        <w:t> </w:t>
      </w:r>
    </w:p>
    <w:tbl>
      <w:tblPr>
        <w:tblW w:w="7122" w:type="dxa"/>
        <w:jc w:val="left"/>
        <w:tblInd w:w="0" w:type="dxa"/>
        <w:tblLayout w:type="fixed"/>
        <w:tblCellMar>
          <w:top w:w="28" w:type="dxa"/>
          <w:left w:w="28" w:type="dxa"/>
          <w:bottom w:w="28" w:type="dxa"/>
          <w:right w:w="28" w:type="dxa"/>
        </w:tblCellMar>
      </w:tblPr>
      <w:tblGrid>
        <w:gridCol w:w="1951"/>
        <w:gridCol w:w="146"/>
        <w:gridCol w:w="211"/>
        <w:gridCol w:w="676"/>
        <w:gridCol w:w="146"/>
        <w:gridCol w:w="146"/>
        <w:gridCol w:w="211"/>
        <w:gridCol w:w="676"/>
        <w:gridCol w:w="146"/>
        <w:gridCol w:w="146"/>
        <w:gridCol w:w="211"/>
        <w:gridCol w:w="781"/>
        <w:gridCol w:w="146"/>
        <w:gridCol w:w="146"/>
        <w:gridCol w:w="211"/>
        <w:gridCol w:w="781"/>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by market vertical</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 disaggregated by market vertical was as follows (in thousands):</w:t>
      </w:r>
    </w:p>
    <w:tbl>
      <w:tblPr>
        <w:tblW w:w="6617" w:type="dxa"/>
        <w:jc w:val="left"/>
        <w:tblInd w:w="0" w:type="dxa"/>
        <w:tblLayout w:type="fixed"/>
        <w:tblCellMar>
          <w:top w:w="28" w:type="dxa"/>
          <w:left w:w="28" w:type="dxa"/>
          <w:bottom w:w="28" w:type="dxa"/>
          <w:right w:w="28" w:type="dxa"/>
        </w:tblCellMar>
      </w:tblPr>
      <w:tblGrid>
        <w:gridCol w:w="1446"/>
        <w:gridCol w:w="146"/>
        <w:gridCol w:w="211"/>
        <w:gridCol w:w="676"/>
        <w:gridCol w:w="146"/>
        <w:gridCol w:w="146"/>
        <w:gridCol w:w="211"/>
        <w:gridCol w:w="676"/>
        <w:gridCol w:w="146"/>
        <w:gridCol w:w="146"/>
        <w:gridCol w:w="211"/>
        <w:gridCol w:w="781"/>
        <w:gridCol w:w="146"/>
        <w:gridCol w:w="146"/>
        <w:gridCol w:w="211"/>
        <w:gridCol w:w="781"/>
        <w:gridCol w:w="391"/>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Semiconductor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Contract assets were recorded in the Condensed Consolidated Balance Sheets as follows (in thousands):</w:t>
      </w:r>
    </w:p>
    <w:tbl>
      <w:tblPr>
        <w:tblW w:w="7305" w:type="dxa"/>
        <w:jc w:val="left"/>
        <w:tblInd w:w="0" w:type="dxa"/>
        <w:tblLayout w:type="fixed"/>
        <w:tblCellMar>
          <w:top w:w="28" w:type="dxa"/>
          <w:left w:w="28" w:type="dxa"/>
          <w:bottom w:w="28" w:type="dxa"/>
          <w:right w:w="28" w:type="dxa"/>
        </w:tblCellMar>
      </w:tblPr>
      <w:tblGrid>
        <w:gridCol w:w="3376"/>
        <w:gridCol w:w="146"/>
        <w:gridCol w:w="271"/>
        <w:gridCol w:w="1004"/>
        <w:gridCol w:w="146"/>
        <w:gridCol w:w="146"/>
        <w:gridCol w:w="367"/>
        <w:gridCol w:w="1358"/>
        <w:gridCol w:w="4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181,736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comprised of deferred revenue related to multi-period licensing arrangements for which the Company is paid in advance, while the underlying performance obligation is satisfied at a future date or over time.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allowance for credit losses at June 30, 2026 and December 31, 2025 was $0.7 million and is presented as part of accounts receivable, net in the Condensed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additional revenue and contract disclosures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49"/>
        <w:gridCol w:w="146"/>
        <w:gridCol w:w="211"/>
        <w:gridCol w:w="676"/>
        <w:gridCol w:w="146"/>
        <w:gridCol w:w="146"/>
        <w:gridCol w:w="211"/>
        <w:gridCol w:w="571"/>
        <w:gridCol w:w="146"/>
        <w:gridCol w:w="146"/>
        <w:gridCol w:w="211"/>
        <w:gridCol w:w="676"/>
        <w:gridCol w:w="146"/>
        <w:gridCol w:w="146"/>
        <w:gridCol w:w="211"/>
        <w:gridCol w:w="676"/>
        <w:gridCol w:w="391"/>
      </w:tblGrid>
      <w:tr>
        <w:trPr/>
        <w:tc>
          <w:tcPr>
            <w:tcW w:w="5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Performance obligations satisfied in previous periods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and six months ended June 30, 2026 and 2025 and expects to record revenue from the prospective license in future periods.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Remaining revenue under contracts with performance obligations represents the aggregate amount of the transaction price allocated to the performance obligations that are unsatisfied (or partially unsatisfied) under certain of the Company’s fixed fee arrangements.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Revenue related to remaining performance obligations from contracts greater than one year in length is shown below (in thousands):</w:t>
      </w:r>
    </w:p>
    <w:tbl>
      <w:tblPr>
        <w:tblW w:w="8703" w:type="dxa"/>
        <w:jc w:val="left"/>
        <w:tblInd w:w="0" w:type="dxa"/>
        <w:tblLayout w:type="fixed"/>
        <w:tblCellMar>
          <w:top w:w="28" w:type="dxa"/>
          <w:left w:w="28" w:type="dxa"/>
          <w:bottom w:w="28" w:type="dxa"/>
          <w:right w:w="28" w:type="dxa"/>
        </w:tblCellMar>
      </w:tblPr>
      <w:tblGrid>
        <w:gridCol w:w="6691"/>
        <w:gridCol w:w="146"/>
        <w:gridCol w:w="271"/>
        <w:gridCol w:w="1004"/>
        <w:gridCol w:w="5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 of </w:t>
              <w:b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performance obligations expected to be satisfied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4 – COMPOSITION OF CERTAIN FINANCIAL STATEMENT CAPTIONS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current assets consisted of the following (in thousands): </w:t>
      </w:r>
    </w:p>
    <w:p>
      <w:pPr>
        <w:pStyle w:val="TextBody"/>
        <w:bidi w:val="0"/>
        <w:jc w:val="left"/>
        <w:rPr/>
      </w:pPr>
      <w:r>
        <w:rPr/>
        <w:t> </w:t>
      </w:r>
    </w:p>
    <w:tbl>
      <w:tblPr>
        <w:tblW w:w="5975" w:type="dxa"/>
        <w:jc w:val="left"/>
        <w:tblInd w:w="0" w:type="dxa"/>
        <w:tblLayout w:type="fixed"/>
        <w:tblCellMar>
          <w:top w:w="28" w:type="dxa"/>
          <w:left w:w="28" w:type="dxa"/>
          <w:bottom w:w="28" w:type="dxa"/>
          <w:right w:w="28" w:type="dxa"/>
        </w:tblCellMar>
      </w:tblPr>
      <w:tblGrid>
        <w:gridCol w:w="2246"/>
        <w:gridCol w:w="146"/>
        <w:gridCol w:w="303"/>
        <w:gridCol w:w="972"/>
        <w:gridCol w:w="146"/>
        <w:gridCol w:w="146"/>
        <w:gridCol w:w="465"/>
        <w:gridCol w:w="1260"/>
        <w:gridCol w:w="291"/>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925" w:type="dxa"/>
        <w:jc w:val="left"/>
        <w:tblInd w:w="0" w:type="dxa"/>
        <w:tblLayout w:type="fixed"/>
        <w:tblCellMar>
          <w:top w:w="28" w:type="dxa"/>
          <w:left w:w="28" w:type="dxa"/>
          <w:bottom w:w="28" w:type="dxa"/>
          <w:right w:w="28" w:type="dxa"/>
        </w:tblCellMar>
      </w:tblPr>
      <w:tblGrid>
        <w:gridCol w:w="4156"/>
        <w:gridCol w:w="146"/>
        <w:gridCol w:w="284"/>
        <w:gridCol w:w="991"/>
        <w:gridCol w:w="166"/>
        <w:gridCol w:w="146"/>
        <w:gridCol w:w="384"/>
        <w:gridCol w:w="1341"/>
        <w:gridCol w:w="3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long-term assets consisted of the following (in thousands):</w:t>
      </w:r>
    </w:p>
    <w:p>
      <w:pPr>
        <w:pStyle w:val="TextBody"/>
        <w:bidi w:val="0"/>
        <w:spacing w:before="40" w:after="283"/>
        <w:jc w:val="left"/>
        <w:rPr/>
      </w:pPr>
      <w:r>
        <w:rPr/>
        <w:t> </w:t>
      </w:r>
    </w:p>
    <w:tbl>
      <w:tblPr>
        <w:tblW w:w="6220" w:type="dxa"/>
        <w:jc w:val="left"/>
        <w:tblInd w:w="0" w:type="dxa"/>
        <w:tblLayout w:type="fixed"/>
        <w:tblCellMar>
          <w:top w:w="28" w:type="dxa"/>
          <w:left w:w="28" w:type="dxa"/>
          <w:bottom w:w="28" w:type="dxa"/>
          <w:right w:w="28" w:type="dxa"/>
        </w:tblCellMar>
      </w:tblPr>
      <w:tblGrid>
        <w:gridCol w:w="2491"/>
        <w:gridCol w:w="146"/>
        <w:gridCol w:w="303"/>
        <w:gridCol w:w="972"/>
        <w:gridCol w:w="146"/>
        <w:gridCol w:w="146"/>
        <w:gridCol w:w="409"/>
        <w:gridCol w:w="1316"/>
        <w:gridCol w:w="2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3691"/>
        <w:gridCol w:w="146"/>
        <w:gridCol w:w="303"/>
        <w:gridCol w:w="972"/>
        <w:gridCol w:w="146"/>
        <w:gridCol w:w="146"/>
        <w:gridCol w:w="409"/>
        <w:gridCol w:w="1316"/>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Current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14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long-term liabilities consisted of the following (in thousands): </w:t>
      </w:r>
    </w:p>
    <w:p>
      <w:pPr>
        <w:pStyle w:val="TextBody"/>
        <w:bidi w:val="0"/>
        <w:jc w:val="left"/>
        <w:rPr/>
      </w:pPr>
      <w:r>
        <w:rPr/>
        <w:t> </w:t>
      </w:r>
    </w:p>
    <w:tbl>
      <w:tblPr>
        <w:tblW w:w="6510" w:type="dxa"/>
        <w:jc w:val="left"/>
        <w:tblInd w:w="0" w:type="dxa"/>
        <w:tblLayout w:type="fixed"/>
        <w:tblCellMar>
          <w:top w:w="28" w:type="dxa"/>
          <w:left w:w="28" w:type="dxa"/>
          <w:bottom w:w="28" w:type="dxa"/>
          <w:right w:w="28" w:type="dxa"/>
        </w:tblCellMar>
      </w:tblPr>
      <w:tblGrid>
        <w:gridCol w:w="2881"/>
        <w:gridCol w:w="146"/>
        <w:gridCol w:w="303"/>
        <w:gridCol w:w="972"/>
        <w:gridCol w:w="146"/>
        <w:gridCol w:w="146"/>
        <w:gridCol w:w="409"/>
        <w:gridCol w:w="131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portion of guarantee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Refer to “Note 14 – </w:t>
      </w:r>
      <w:r>
        <w:rPr>
          <w:rFonts w:ascii="Times New Roman" w:hAnsi="Times New Roman"/>
          <w:i/>
          <w:color w:val="000000"/>
          <w:sz w:val="20"/>
        </w:rPr>
        <w:t>Commitments and Contingencies”</w:t>
      </w:r>
      <w:r>
        <w:rPr>
          <w:rFonts w:ascii="Times New Roman" w:hAnsi="Times New Roman"/>
          <w:color w:val="000000"/>
          <w:sz w:val="20"/>
        </w:rPr>
        <w:t xml:space="preserve"> for further detail on the nature of the guarantee.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Condensed Consolidated Statements of Income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Income.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summary of marketable securities at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92"/>
        <w:gridCol w:w="644"/>
        <w:gridCol w:w="146"/>
        <w:gridCol w:w="146"/>
        <w:gridCol w:w="315"/>
        <w:gridCol w:w="721"/>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57,316</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64,733</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64,733</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72"/>
        <w:gridCol w:w="146"/>
        <w:gridCol w:w="211"/>
        <w:gridCol w:w="676"/>
        <w:gridCol w:w="146"/>
        <w:gridCol w:w="146"/>
        <w:gridCol w:w="345"/>
        <w:gridCol w:w="691"/>
        <w:gridCol w:w="146"/>
        <w:gridCol w:w="146"/>
        <w:gridCol w:w="372"/>
        <w:gridCol w:w="664"/>
        <w:gridCol w:w="166"/>
        <w:gridCol w:w="146"/>
        <w:gridCol w:w="675"/>
        <w:gridCol w:w="1111"/>
        <w:gridCol w:w="146"/>
        <w:gridCol w:w="146"/>
        <w:gridCol w:w="228"/>
        <w:gridCol w:w="733"/>
        <w:gridCol w:w="693"/>
      </w:tblGrid>
      <w:tr>
        <w:trPr/>
        <w:tc>
          <w:tcPr>
            <w:tcW w:w="2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w:t>
              <w:br/>
              <w:t>Values</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 and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and agency notes and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and December 31, 2025, the Company had $137.1 million and $136.7 million, respectively, in cash, cash equivalents and marketable securities. A significant portion of these amounts was held in marketable securities, as shown above. The remaining balances of $72.3 million and $72.9 million at June 30, 2026 and December 31, 2025, respectively, were cash held in operating accounts not included in the tables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Debt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gross realized gains and losses on sales of marketable debt securities were immaterial during the three and six months ended June 30, 2026 and 2025. Unrealized gains and losses on AFS debt securities were immaterial as of June 30, 2026 and December 31, 2025.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 expense related to its AFS debt securities during the three and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marketable debt securities by contractual maturity at June 30, 2026 is shown below (in thousands). Actual maturities may differ from contractual maturities because issuers may have the right to call or prepay obligations without call or prepayment penalties.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784" w:type="dxa"/>
        <w:jc w:val="left"/>
        <w:tblInd w:w="0" w:type="dxa"/>
        <w:tblLayout w:type="fixed"/>
        <w:tblCellMar>
          <w:top w:w="28" w:type="dxa"/>
          <w:left w:w="28" w:type="dxa"/>
          <w:bottom w:w="28" w:type="dxa"/>
          <w:right w:w="28" w:type="dxa"/>
        </w:tblCellMar>
      </w:tblPr>
      <w:tblGrid>
        <w:gridCol w:w="2131"/>
        <w:gridCol w:w="146"/>
        <w:gridCol w:w="249"/>
        <w:gridCol w:w="801"/>
        <w:gridCol w:w="146"/>
        <w:gridCol w:w="242"/>
        <w:gridCol w:w="778"/>
        <w:gridCol w:w="2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two to three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
        <w:gridCol w:w="9611"/>
      </w:tblGrid>
      <w:tr>
        <w:trPr/>
        <w:tc>
          <w:tcPr>
            <w:tcW w:w="594" w:type="dxa"/>
            <w:tcBorders/>
            <w:vAlign w:val="center"/>
          </w:tcPr>
          <w:p>
            <w:pPr>
              <w:pStyle w:val="TableContents"/>
              <w:bidi w:val="0"/>
              <w:spacing w:before="0" w:after="283"/>
              <w:jc w:val="left"/>
              <w:rPr>
                <w:sz w:val="4"/>
                <w:szCs w:val="4"/>
              </w:rPr>
            </w:pPr>
            <w:r>
              <w:rPr>
                <w:sz w:val="4"/>
                <w:szCs w:val="4"/>
              </w:rPr>
            </w:r>
          </w:p>
        </w:tc>
        <w:tc>
          <w:tcPr>
            <w:tcW w:w="9611" w:type="dxa"/>
            <w:tcBorders/>
            <w:vAlign w:val="center"/>
          </w:tcPr>
          <w:p>
            <w:pPr>
              <w:pStyle w:val="TableContents"/>
              <w:bidi w:val="0"/>
              <w:spacing w:before="0" w:after="283"/>
              <w:jc w:val="left"/>
              <w:rPr>
                <w:sz w:val="4"/>
                <w:szCs w:val="4"/>
              </w:rPr>
            </w:pPr>
            <w:r>
              <w:rPr>
                <w:sz w:val="4"/>
                <w:szCs w:val="4"/>
              </w:rPr>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1</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2</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market-based inputs or unobservable inputs that are corroborated by market data.</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Level 3</w:t>
            </w:r>
          </w:p>
        </w:tc>
        <w:tc>
          <w:tcPr>
            <w:tcW w:w="9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2025 and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sets forth the fair value, and classification within the hierarchy, of the Company’s assets required to be measured at fair value on a recurring basis as of June 30, 2026 (in thousands):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3"/>
        <w:gridCol w:w="146"/>
        <w:gridCol w:w="216"/>
        <w:gridCol w:w="695"/>
        <w:gridCol w:w="146"/>
        <w:gridCol w:w="146"/>
        <w:gridCol w:w="402"/>
        <w:gridCol w:w="807"/>
        <w:gridCol w:w="146"/>
        <w:gridCol w:w="146"/>
        <w:gridCol w:w="232"/>
        <w:gridCol w:w="744"/>
        <w:gridCol w:w="146"/>
        <w:gridCol w:w="146"/>
        <w:gridCol w:w="443"/>
        <w:gridCol w:w="728"/>
        <w:gridCol w:w="593"/>
      </w:tblGrid>
      <w:tr>
        <w:trPr/>
        <w:tc>
          <w:tcPr>
            <w:tcW w:w="4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 -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 and notes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 -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and agency notes and bills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sets forth the fair value, and classification within the hierarchy, of the Company’s assets required to be measured at fair value on a recurring basis as of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3"/>
        <w:gridCol w:w="146"/>
        <w:gridCol w:w="216"/>
        <w:gridCol w:w="695"/>
        <w:gridCol w:w="146"/>
        <w:gridCol w:w="146"/>
        <w:gridCol w:w="402"/>
        <w:gridCol w:w="807"/>
        <w:gridCol w:w="146"/>
        <w:gridCol w:w="146"/>
        <w:gridCol w:w="232"/>
        <w:gridCol w:w="744"/>
        <w:gridCol w:w="146"/>
        <w:gridCol w:w="146"/>
        <w:gridCol w:w="443"/>
        <w:gridCol w:w="728"/>
        <w:gridCol w:w="593"/>
      </w:tblGrid>
      <w:tr>
        <w:trPr/>
        <w:tc>
          <w:tcPr>
            <w:tcW w:w="4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w:t>
              <w:br/>
              <w:t>Prices in</w:t>
              <w:br/>
              <w:t>Active 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 -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bonds and notes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 -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Treasury and agency notes and bills -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Instruments Not Recorded at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long-term debt is carried at amortized cost and is measured at fair value on a quarterly basis for disclosure purposes. The fair value of the Company’s long-term debt approximates its carrying value as of each of the periods described below. The carrying amounts and estimated fair values are as follows (in thousands): </w:t>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1936"/>
        <w:gridCol w:w="146"/>
        <w:gridCol w:w="211"/>
        <w:gridCol w:w="781"/>
        <w:gridCol w:w="146"/>
        <w:gridCol w:w="146"/>
        <w:gridCol w:w="217"/>
        <w:gridCol w:w="803"/>
        <w:gridCol w:w="146"/>
        <w:gridCol w:w="146"/>
        <w:gridCol w:w="211"/>
        <w:gridCol w:w="781"/>
        <w:gridCol w:w="146"/>
        <w:gridCol w:w="146"/>
        <w:gridCol w:w="217"/>
        <w:gridCol w:w="803"/>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debt, net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Carrying amounts of long-term debt are net of unamortized debt discount and issuance costs of $6.5 million and $8.3 million as of June 30, 2026 and December 31, 2025, respectively. See “Note 8 – </w:t>
      </w:r>
      <w:r>
        <w:rPr>
          <w:rFonts w:ascii="Times New Roman" w:hAnsi="Times New Roman"/>
          <w:i/>
          <w:color w:val="000000"/>
          <w:sz w:val="20"/>
        </w:rPr>
        <w:t>Debt</w:t>
      </w:r>
      <w:r>
        <w:rPr>
          <w:rFonts w:ascii="Times New Roman" w:hAnsi="Times New Roman"/>
          <w:color w:val="000000"/>
          <w:sz w:val="20"/>
        </w:rPr>
        <w:t>” for additional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reported at fair value in the Condensed Consolidated Balance Sheets, the Company’s debt would be classified within Level 2 of the fair value hierarchy. The fair value of the debt was estimated based on the quoted market prices for the same or similar issues.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Non-Recurring Fair Value Measurements</w:t>
      </w:r>
    </w:p>
    <w:p>
      <w:pPr>
        <w:pStyle w:val="TextBody"/>
        <w:bidi w:val="0"/>
        <w:spacing w:before="240" w:after="283"/>
        <w:jc w:val="left"/>
        <w:rPr>
          <w:rFonts w:ascii="Times New Roman" w:hAnsi="Times New Roman"/>
          <w:sz w:val="20"/>
        </w:rPr>
      </w:pPr>
      <w:r>
        <w:rPr>
          <w:rFonts w:ascii="Times New Roman" w:hAnsi="Times New Roman"/>
          <w:i/>
          <w:color w:val="000000"/>
          <w:sz w:val="20"/>
        </w:rPr>
        <w:t>Patents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received patent assets with an aggregate fair value of $2.0 million as noncash consideration under certain license agreements. For noncash consideration received during the quarter ended June 30, 2026, the Company determined the fair value of the patent assets at contract inception using both the market approach — estimating the value of the acquired assets by a way of comparison with other comparable transactions, and the cost approach — estimating the value of the acquired assets based on the cost the Company would incur to create a comparable set of assets through its own research and development (“R&amp;D”) and patent prosecution efforts.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Noncash consideration received in the form of patent assets is recorded as an intangible asset and included in the transaction price for revenue recognition purposes. See “Note 3 – </w:t>
      </w:r>
      <w:r>
        <w:rPr>
          <w:rFonts w:ascii="Times New Roman" w:hAnsi="Times New Roman"/>
          <w:i/>
          <w:color w:val="000000"/>
          <w:sz w:val="20"/>
        </w:rPr>
        <w:t>Revenue</w:t>
      </w:r>
      <w:r>
        <w:rPr>
          <w:rFonts w:ascii="Times New Roman" w:hAnsi="Times New Roman"/>
          <w:color w:val="000000"/>
          <w:sz w:val="20"/>
        </w:rPr>
        <w:t xml:space="preserve">” for a detailed discussion on revenue and revenue recognition. The estimated fair value of the patent assets represents a Level 3 fair value measurement, and the value of the patent assets is amortized as a noncash expense over the patents’ estimated useful lives. For impairment related fair value measurements, see “Note 7 – </w:t>
      </w:r>
      <w:r>
        <w:rPr>
          <w:rFonts w:ascii="Times New Roman" w:hAnsi="Times New Roman"/>
          <w:i/>
          <w:color w:val="000000"/>
          <w:sz w:val="20"/>
        </w:rPr>
        <w:t>Goodwill And Identified Intangible Assets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receive noncash consideration during the three and six months ended June 30,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 GOODWILL AND IDENTIFIED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goodwill at June 30, 2026 and December 31, 2025 was $313.7 million. There were no changes to the carrying value of goodwill from January 1 through June 30, 2026.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and six months ended June 30, 2026 and 2025.</w:t>
      </w:r>
    </w:p>
    <w:p>
      <w:pPr>
        <w:pStyle w:val="TextBody"/>
        <w:bidi w:val="0"/>
        <w:jc w:val="left"/>
        <w:rPr/>
      </w:pPr>
      <w:r>
        <w:rPr/>
        <w:t> </w:t>
      </w:r>
    </w:p>
    <w:p>
      <w:pPr>
        <w:pStyle w:val="TextBody"/>
        <w:bidi w:val="0"/>
        <w:spacing w:before="120" w:after="200"/>
        <w:jc w:val="left"/>
        <w:rPr>
          <w:rFonts w:ascii="Times New Roman" w:hAnsi="Times New Roman"/>
          <w:i/>
          <w:color w:val="000000"/>
          <w:sz w:val="20"/>
        </w:rPr>
      </w:pPr>
      <w:r>
        <w:rPr>
          <w:rFonts w:ascii="Times New Roman" w:hAnsi="Times New Roman"/>
          <w:i/>
          <w:color w:val="000000"/>
          <w:sz w:val="20"/>
        </w:rPr>
        <w:t>Identified Intangible Assets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Identified 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1386"/>
        <w:gridCol w:w="146"/>
        <w:gridCol w:w="736"/>
        <w:gridCol w:w="146"/>
        <w:gridCol w:w="196"/>
        <w:gridCol w:w="691"/>
        <w:gridCol w:w="146"/>
        <w:gridCol w:w="146"/>
        <w:gridCol w:w="233"/>
        <w:gridCol w:w="893"/>
        <w:gridCol w:w="166"/>
        <w:gridCol w:w="146"/>
        <w:gridCol w:w="196"/>
        <w:gridCol w:w="691"/>
        <w:gridCol w:w="146"/>
        <w:gridCol w:w="146"/>
        <w:gridCol w:w="196"/>
        <w:gridCol w:w="691"/>
        <w:gridCol w:w="146"/>
        <w:gridCol w:w="146"/>
        <w:gridCol w:w="233"/>
        <w:gridCol w:w="893"/>
        <w:gridCol w:w="166"/>
        <w:gridCol w:w="146"/>
        <w:gridCol w:w="196"/>
        <w:gridCol w:w="691"/>
        <w:gridCol w:w="491"/>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Assets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Acquired patents / core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303,456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Customer contracts and related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Existing technology / content database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Trademarks/trade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933,866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303,456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estimated future amortization expense of total finite-lived intangible assets was as follows (in thousands):</w:t>
      </w:r>
    </w:p>
    <w:p>
      <w:pPr>
        <w:pStyle w:val="TextBody"/>
        <w:bidi w:val="0"/>
        <w:jc w:val="left"/>
        <w:rPr/>
      </w:pPr>
      <w:r>
        <w:rPr/>
        <w:t> </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288,399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outstanding amounts of debt were as follows (in thousands): </w:t>
      </w:r>
    </w:p>
    <w:p>
      <w:pPr>
        <w:pStyle w:val="TextBody"/>
        <w:bidi w:val="0"/>
        <w:jc w:val="left"/>
        <w:rPr/>
      </w:pPr>
      <w:r>
        <w:rPr/>
        <w:t> </w:t>
      </w:r>
    </w:p>
    <w:tbl>
      <w:tblPr>
        <w:tblW w:w="8810" w:type="dxa"/>
        <w:jc w:val="left"/>
        <w:tblInd w:w="0" w:type="dxa"/>
        <w:tblLayout w:type="fixed"/>
        <w:tblCellMar>
          <w:top w:w="28" w:type="dxa"/>
          <w:left w:w="28" w:type="dxa"/>
          <w:bottom w:w="28" w:type="dxa"/>
          <w:right w:w="28" w:type="dxa"/>
        </w:tblCellMar>
      </w:tblPr>
      <w:tblGrid>
        <w:gridCol w:w="5041"/>
        <w:gridCol w:w="146"/>
        <w:gridCol w:w="271"/>
        <w:gridCol w:w="1004"/>
        <w:gridCol w:w="166"/>
        <w:gridCol w:w="146"/>
        <w:gridCol w:w="367"/>
        <w:gridCol w:w="1358"/>
        <w:gridCol w:w="3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426,728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net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long-term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 Loan 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2020 Credit Agreement dated June 1, 2020 (the “2020 Credit Agreement”), provides for a senior secured term loan B facility (the “Term Loan B”) with maturity on June 8,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the Company entered into Amendment No. 3 (“Amendment No. 3”) to the 2020 Credit Agreement, which provided for a repricing of the entire outstanding aggregate principal amount of $561.1 million. Amendment No. 3 also reduced the interest margins (50 basis points) from SOFR plus a margin of 3.50% per annum to SOFR plus a margin of 3.00% per annum or base rate plus a margin of 2.00% per annum. In addition, Amendment No. 3 lowered the excess cash flow mandatory payment thresholds and credit spread adjustment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the Company entered into Amendment No. 4 (“Amendment No. 4”) to the 2020 Credit Agreement, which provided for a repricing of the outstanding aggregate principal amount of $487.1 million. Amendment No. 4 further reduced the interest margins (50 basis points) to SOFR plus a margin of 2.50% per annum or base rate plus a margin of 1.50%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obligations under the 2020 Credit Agreement, as amended, continue to be guaranteed by the Company’s wholly-owned material domestic subsidiaries (collectively, the “Guarantors”) and continue to be secured by a lien on substantially all assets of the Company and the Guarantors.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Credit Agreement, as amended, contains customary events of default, representations, warranties, and affirmative and negative covenants. It also requires the Company to maintain a total net leverage ratio of no greater than 3.00x to access a basket for restricted payments (including dividends and share repurchases). As of June 30, 2026, the Company was in compliance with all requirements under the 2020 Credit Agreement,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the Company made during the year ended December 31, 2025, no excess cash flow payments are required for 2026.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 xml:space="preserve">Interest Expense and Expected Principal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2026, the Company had $392.6 million in total debt outstanding. There were also $6.5 million of unamortized debt discount and issuance costs recorded as a reduction from the carrying amount of the debt. The interest rate on the Term Loan B as of June 30, 2026, including the amortization of debt discount and issuance costs, was 7.1% and interest is payable monthly.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future minimum principal payments for long-term debt, excluding any additional principal payment required by the excess cash flow provision, are summarized as follows (in thousands):</w:t>
      </w:r>
    </w:p>
    <w:p>
      <w:pPr>
        <w:pStyle w:val="TextBody"/>
        <w:bidi w:val="0"/>
        <w:jc w:val="left"/>
        <w:rPr/>
      </w:pPr>
      <w:r>
        <w:rPr/>
        <w:t> </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356,020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NOTE 9 – NET INCOME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net income per share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4"/>
        <w:gridCol w:w="146"/>
        <w:gridCol w:w="211"/>
        <w:gridCol w:w="781"/>
        <w:gridCol w:w="146"/>
        <w:gridCol w:w="146"/>
        <w:gridCol w:w="211"/>
        <w:gridCol w:w="781"/>
        <w:gridCol w:w="146"/>
        <w:gridCol w:w="146"/>
        <w:gridCol w:w="211"/>
        <w:gridCol w:w="781"/>
        <w:gridCol w:w="146"/>
        <w:gridCol w:w="146"/>
        <w:gridCol w:w="211"/>
        <w:gridCol w:w="781"/>
        <w:gridCol w:w="491"/>
      </w:tblGrid>
      <w:tr>
        <w:trPr/>
        <w:tc>
          <w:tcPr>
            <w:tcW w:w="4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restricted stock awards and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 Effect of dilutive securities associated with employee stock purchase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shares – dilutive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employee stock-based awards,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per share is computed using the weighted average number of shares of common stock outstanding during the period, excluding any unvested restricted stock awards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awards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2020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Company’s 2024 Annual Stockholders Meeting on May 9, 2024, the Company’s stockholders approved an amendment and restatement of the 2020 EIP (the “A&amp;R 2020 EIP”), which provided for (i) an increase of the number of shares reserved for issuance by 8,900,000 shares of common stock (from an initial share reserve of 16,800,000 shares of common stock under the prior 2020 EIP to 25,700,000 shares of common stock under the amended and restated 2020 EIP) and (ii) the removal of the “fungible share ratio” for future awards, such that all equity awards granted on or after May 9, 2024 will count on a one-to-one basis against the number of shares authorized for issuance under the 2020 A&amp;R EIP (whereas each share granted pursuant to “full value” awards (i.e. stock awards, restricted stock awards, restricted stock units, performance awards and dividend equivalents) prior to May 9, 2024 are counted against shares available for issuance on a 1.5 to 1 ratio). At the Company’s 2026 Annual Stockholders Meeting on May 7, 2026, the Company’s stockholders approved an amendment to the A&amp;R 2020 EIP to increase the number of shares reserved for issuance by an additional 10,700,000 shares of common stock (for a total share reserve of 36,400,000). As of June 30, 2026, there were approximately 12.8 million shares reserved for future grants under the A&amp;R 2020 EIP, as amended.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A&amp;R 2020 EIP, as amended,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Assumed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The Company has no stock options outstanding under the Assumed Plans as of June 30, 2026 or December 31, 2025, respectively. Awards of restricted stock and restricted stock units assumed from the Assumed Plans are generally subject to a four year vesting period. The Company has not issued any awards under these plans since the 2020 EIP was amended in 2022.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with respect to outstanding restricted stock awards (including both time-based vesting and performance-based vesting) as of June 30, 2026 is as follows (in thousands, except per share amounts):</w:t>
      </w:r>
    </w:p>
    <w:p>
      <w:pPr>
        <w:pStyle w:val="TextBody"/>
        <w:bidi w:val="0"/>
        <w:jc w:val="left"/>
        <w:rPr/>
      </w:pPr>
      <w:r>
        <w:rPr/>
        <w:t> </w:t>
      </w:r>
    </w:p>
    <w:tbl>
      <w:tblPr>
        <w:tblW w:w="8249" w:type="dxa"/>
        <w:jc w:val="left"/>
        <w:tblInd w:w="0" w:type="dxa"/>
        <w:tblLayout w:type="fixed"/>
        <w:tblCellMar>
          <w:top w:w="28" w:type="dxa"/>
          <w:left w:w="28" w:type="dxa"/>
          <w:bottom w:w="28" w:type="dxa"/>
          <w:right w:w="28" w:type="dxa"/>
        </w:tblCellMar>
      </w:tblPr>
      <w:tblGrid>
        <w:gridCol w:w="2686"/>
        <w:gridCol w:w="146"/>
        <w:gridCol w:w="222"/>
        <w:gridCol w:w="963"/>
        <w:gridCol w:w="166"/>
        <w:gridCol w:w="146"/>
        <w:gridCol w:w="222"/>
        <w:gridCol w:w="963"/>
        <w:gridCol w:w="166"/>
        <w:gridCol w:w="146"/>
        <w:gridCol w:w="177"/>
        <w:gridCol w:w="768"/>
        <w:gridCol w:w="166"/>
        <w:gridCol w:w="146"/>
        <w:gridCol w:w="262"/>
        <w:gridCol w:w="713"/>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br/>
              <w:t>Subject to</w:t>
              <w:br/>
              <w:t>Time-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br/>
              <w:t>Subject to</w:t>
              <w:br/>
              <w:t>Performance-</w:t>
              <w:br/>
              <w:t>based Vesting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canceled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2020 Employee Stock Purchase Plan (the “2020 ESPP”) provides eligible employees with the opportunity to acquire an ownership interest in the Company. The 2020 ESPP is implemented through consecutive overlapping 24-month offering periods, each of which is comprised of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there were 4.6 million shares reserved for grant under the Company’s 2020 ESPP.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of the Company’s common stock are entitled to receive dividends if and when declared by the Company’s Board of Directors. For the periods ended June 30, 2026 and 2025, dividends declared were $0.05 per common share,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capacity to pay dividends in the future depends on many factors, including the Company’s financial condition, results of operations, capital requirements, capital structure, industry practice and other business conditions that the Board of Directors considers relevant.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Repurchase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the Company’s Board of Directors approved an increase to the existing share repurchase authorization of up to a total of $200.0 million. During the three months ended June 30, 2026, the Company repurchased a total of approximately 0.4 million shares of common stock, at an average price of $28.36 per share for a total cost of $10.0 million. During the six months ended June 30, 2026, the Company repurchased a total of approximately 0.8 million shares of common stock, at an average price of $25.06 per share for a total cost of $20.0 million. During the six months ended June 30, 2025, the Company repurchased a total of approximately 0.8 million shares of common stock, at an average price of $13.19 per share for a total cost of $10.0 million. These repurchases occurred during the three months ended March 31, 2025 and no repurchases were made during the three months ended June 30, 2025. The shares repurchased are recorded as treasury stock and are accounted for under the cost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expiration date has been specified for this plan. As of June 30, 2026, the total remaining amount available for repurchase under this plan was $140.0 million. The Company may execute authorized repurchases from time to time under the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 STOCK-BASED COMPENSATION EXPENSE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effect of recording stock-based compensation expense for the three and six months ended June 30, 2026 and 2025 is as follows (in thousands): </w:t>
      </w:r>
    </w:p>
    <w:tbl>
      <w:tblPr>
        <w:tblW w:w="8107"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571"/>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00"/>
        <w:jc w:val="left"/>
        <w:rPr>
          <w:rFonts w:ascii="Times New Roman" w:hAnsi="Times New Roman"/>
          <w:color w:val="000000"/>
          <w:sz w:val="20"/>
        </w:rPr>
      </w:pPr>
      <w:r>
        <w:rPr>
          <w:rFonts w:ascii="Times New Roman" w:hAnsi="Times New Roman"/>
          <w:color w:val="000000"/>
          <w:sz w:val="20"/>
        </w:rPr>
        <w:t>The Company uses a Monte Carlo simulation to determine the grant date fair value of performance stock awards subject to market conditions, or market-based PSUs. The following assumptions were used to value the performance stock awards subject to market conditions granted during the six months ended June 30, 2026 and 2025:</w:t>
      </w:r>
    </w:p>
    <w:tbl>
      <w:tblPr>
        <w:tblW w:w="4772" w:type="dxa"/>
        <w:jc w:val="left"/>
        <w:tblInd w:w="0" w:type="dxa"/>
        <w:tblLayout w:type="fixed"/>
        <w:tblCellMar>
          <w:top w:w="28" w:type="dxa"/>
          <w:left w:w="28" w:type="dxa"/>
          <w:bottom w:w="28" w:type="dxa"/>
          <w:right w:w="28" w:type="dxa"/>
        </w:tblCellMar>
      </w:tblPr>
      <w:tblGrid>
        <w:gridCol w:w="1946"/>
        <w:gridCol w:w="146"/>
        <w:gridCol w:w="1406"/>
        <w:gridCol w:w="246"/>
        <w:gridCol w:w="146"/>
        <w:gridCol w:w="466"/>
        <w:gridCol w:w="416"/>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1.9 - 2.8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3.3% - 3.5%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 - 1.3%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48.9% - 50.6%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sz w:val="20"/>
        </w:rPr>
      </w:pPr>
      <w:r>
        <w:rPr>
          <w:rFonts w:ascii="Times New Roman" w:hAnsi="Times New Roman"/>
          <w:color w:val="000000"/>
          <w:sz w:val="20"/>
        </w:rPr>
        <w:t xml:space="preserve">Grants under the 2020 ESPP occur in June and December, as discussed in “Note 10 – </w:t>
      </w:r>
      <w:r>
        <w:rPr>
          <w:rFonts w:ascii="Times New Roman" w:hAnsi="Times New Roman"/>
          <w:i/>
          <w:color w:val="000000"/>
          <w:sz w:val="20"/>
        </w:rPr>
        <w:t>Stockholders’ Equity</w:t>
      </w:r>
      <w:r>
        <w:rPr>
          <w:rFonts w:ascii="Times New Roman" w:hAnsi="Times New Roman"/>
          <w:color w:val="000000"/>
          <w:sz w:val="20"/>
        </w:rPr>
        <w:t xml:space="preserve">”. The following assumptions were used to value the shares for these grants. </w:t>
      </w:r>
    </w:p>
    <w:tbl>
      <w:tblPr>
        <w:tblW w:w="4349" w:type="dxa"/>
        <w:jc w:val="left"/>
        <w:tblInd w:w="0" w:type="dxa"/>
        <w:tblLayout w:type="fixed"/>
        <w:tblCellMar>
          <w:top w:w="28" w:type="dxa"/>
          <w:left w:w="28" w:type="dxa"/>
          <w:bottom w:w="28" w:type="dxa"/>
          <w:right w:w="28" w:type="dxa"/>
        </w:tblCellMar>
      </w:tblPr>
      <w:tblGrid>
        <w:gridCol w:w="1946"/>
        <w:gridCol w:w="146"/>
        <w:gridCol w:w="146"/>
        <w:gridCol w:w="466"/>
        <w:gridCol w:w="371"/>
        <w:gridCol w:w="246"/>
        <w:gridCol w:w="146"/>
        <w:gridCol w:w="466"/>
        <w:gridCol w:w="416"/>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income tax provision and effective tax rate for interim periods are based on its estimated annual effective tax rate adjusted for discrete items during the period. For the three and six months ended June 30, 2026, the Company recorded income tax expense of $1.6 million and $6.8 million, respectively. For the three and six months ended June 30, 2025, the Company recorded income tax benefits of $9.1 million and $7.0 million, respectively. The effective tax rate varies from the 21% U.S. federal tax rate primarily due to tax benefits related to stock-based compensation. The increase in income tax expense for the three and six months ended June 30, 2026, as compared to the same period in the prior year was primarily due to an increase in pretax income. </w:t>
      </w:r>
    </w:p>
    <w:p>
      <w:pPr>
        <w:pStyle w:val="TextBody"/>
        <w:bidi w:val="0"/>
        <w:spacing w:before="240" w:after="283"/>
        <w:jc w:val="left"/>
        <w:rPr>
          <w:rFonts w:ascii="Times New Roman" w:hAnsi="Times New Roman"/>
          <w:sz w:val="20"/>
        </w:rPr>
      </w:pPr>
      <w:r>
        <w:rPr>
          <w:rFonts w:ascii="Times New Roman" w:hAnsi="Times New Roman"/>
          <w:b/>
          <w:color w:val="000000"/>
          <w:sz w:val="20"/>
        </w:rPr>
        <w:t>NOTE 13 –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office and research facilities, and office equipment under operating leases which expire through 2032. The Company’s leases have remaining lease terms of two to six years, some of which may include options to extend the leases for five years or longer, and some of which may include options to terminate the leases within the next five years or less. Leases with an initial term of 12 months or less are not recorded on the Condensed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components of operating lease costs were as follows (in thousands):</w:t>
      </w:r>
    </w:p>
    <w:tbl>
      <w:tblPr>
        <w:tblW w:w="6565" w:type="dxa"/>
        <w:jc w:val="left"/>
        <w:tblInd w:w="0" w:type="dxa"/>
        <w:tblLayout w:type="fixed"/>
        <w:tblCellMar>
          <w:top w:w="28" w:type="dxa"/>
          <w:left w:w="28" w:type="dxa"/>
          <w:bottom w:w="28" w:type="dxa"/>
          <w:right w:w="28" w:type="dxa"/>
        </w:tblCellMar>
      </w:tblPr>
      <w:tblGrid>
        <w:gridCol w:w="2206"/>
        <w:gridCol w:w="146"/>
        <w:gridCol w:w="254"/>
        <w:gridCol w:w="507"/>
        <w:gridCol w:w="176"/>
        <w:gridCol w:w="176"/>
        <w:gridCol w:w="254"/>
        <w:gridCol w:w="507"/>
        <w:gridCol w:w="146"/>
        <w:gridCol w:w="146"/>
        <w:gridCol w:w="211"/>
        <w:gridCol w:w="571"/>
        <w:gridCol w:w="146"/>
        <w:gridCol w:w="146"/>
        <w:gridCol w:w="211"/>
        <w:gridCol w:w="57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Other information related to leases was as follows (in thousands, except lease term and discount rate):</w:t>
      </w:r>
    </w:p>
    <w:tbl>
      <w:tblPr>
        <w:tblW w:w="10194" w:type="dxa"/>
        <w:jc w:val="left"/>
        <w:tblInd w:w="0" w:type="dxa"/>
        <w:tblLayout w:type="fixed"/>
        <w:tblCellMar>
          <w:top w:w="28" w:type="dxa"/>
          <w:left w:w="28" w:type="dxa"/>
          <w:bottom w:w="28" w:type="dxa"/>
          <w:right w:w="28" w:type="dxa"/>
        </w:tblCellMar>
      </w:tblPr>
      <w:tblGrid>
        <w:gridCol w:w="6061"/>
        <w:gridCol w:w="146"/>
        <w:gridCol w:w="272"/>
        <w:gridCol w:w="408"/>
        <w:gridCol w:w="188"/>
        <w:gridCol w:w="188"/>
        <w:gridCol w:w="272"/>
        <w:gridCol w:w="544"/>
        <w:gridCol w:w="146"/>
        <w:gridCol w:w="146"/>
        <w:gridCol w:w="221"/>
        <w:gridCol w:w="442"/>
        <w:gridCol w:w="153"/>
        <w:gridCol w:w="153"/>
        <w:gridCol w:w="221"/>
        <w:gridCol w:w="442"/>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4216"/>
        <w:gridCol w:w="146"/>
        <w:gridCol w:w="304"/>
        <w:gridCol w:w="971"/>
        <w:gridCol w:w="271"/>
        <w:gridCol w:w="146"/>
        <w:gridCol w:w="411"/>
        <w:gridCol w:w="1314"/>
        <w:gridCol w:w="31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Future minimum lease payments and related lease liabilities as of June 30, 2026 were as follows (in thousands):</w:t>
      </w:r>
    </w:p>
    <w:tbl>
      <w:tblPr>
        <w:tblW w:w="7738" w:type="dxa"/>
        <w:jc w:val="left"/>
        <w:tblInd w:w="0" w:type="dxa"/>
        <w:tblLayout w:type="fixed"/>
        <w:tblCellMar>
          <w:top w:w="28" w:type="dxa"/>
          <w:left w:w="28" w:type="dxa"/>
          <w:bottom w:w="28" w:type="dxa"/>
          <w:right w:w="28" w:type="dxa"/>
        </w:tblCellMar>
      </w:tblPr>
      <w:tblGrid>
        <w:gridCol w:w="4786"/>
        <w:gridCol w:w="146"/>
        <w:gridCol w:w="617"/>
        <w:gridCol w:w="1978"/>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Operating Lease Payments </w:t>
            </w:r>
            <w:r>
              <w:rPr>
                <w:rFonts w:ascii="Times New Roman" w:hAnsi="Times New Roman"/>
                <w:b/>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(remaining 6 months)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Future minimum lease payments exclude short-term leases as well as payments to landlords for variable common area maintenance, insurance and real estate taxes.</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tenant improvements allowance of $1.0 million in 2026.</w:t>
      </w:r>
    </w:p>
    <w:p>
      <w:pPr>
        <w:pStyle w:val="TextBody"/>
        <w:bidi w:val="0"/>
        <w:spacing w:before="240" w:after="283"/>
        <w:jc w:val="left"/>
        <w:rPr>
          <w:rFonts w:ascii="Times New Roman" w:hAnsi="Times New Roman"/>
          <w:sz w:val="20"/>
        </w:rPr>
      </w:pPr>
      <w:bookmarkStart w:id="10" w:name="note_13___commitments_and_contingencies"/>
      <w:bookmarkEnd w:id="10"/>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 and Other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June 30, 2026, the Company’s total future unconditional purchase obligations were approximately $6.1 million, including $1.5 million due in the remainder of 2026, $2.5 million due in 2027, and $2.1 million due thereafter.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Separation, Adeia Media LLC, a subsidiary of the Company (“Adeia Media”), and a subsidiary of Xperi Inc.(“Xperi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As of June 30, 2026 and December 31, 2025, the balance of the guarantee liability was $16.3 million. Operating expense reimbursements are capped at a maximum of $7.5 million per annum. To date, such reimbursements have not been material.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each reporting period, the Company evaluates whether or not a potential loss amount or a potential range of losses is probable and reasonably estimable under the provisions of the authoritative guidance that addresses accounting for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Litigation related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unable to predict the final outcome of lawsuits, including patent infringement lawsuits,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 </w:t>
      </w:r>
    </w:p>
    <w:p>
      <w:pPr>
        <w:pStyle w:val="TextBody"/>
        <w:bidi w:val="0"/>
        <w:spacing w:before="240" w:after="283"/>
        <w:jc w:val="left"/>
        <w:rPr>
          <w:rFonts w:ascii="Times New Roman" w:hAnsi="Times New Roman"/>
          <w:b/>
          <w:color w:val="000000"/>
          <w:sz w:val="20"/>
        </w:rPr>
      </w:pPr>
      <w:bookmarkStart w:id="11" w:name="note_14___segment_and_geographic_informa"/>
      <w:bookmarkEnd w:id="11"/>
      <w:r>
        <w:rPr>
          <w:rFonts w:ascii="Times New Roman" w:hAnsi="Times New Roman"/>
          <w:b/>
          <w:color w:val="000000"/>
          <w:sz w:val="20"/>
        </w:rPr>
        <w:t>NOTE 15 – SEGMENT INFORMATION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one reportable segment: IP Licensing. The IP Licensing segment derives revenues from license agreements to (i) its media patent portfolio and (ii) its semiconductor technologies patent portfolio, see further discussion on revenue generating activities in “Note 3 – </w:t>
      </w:r>
      <w:r>
        <w:rPr>
          <w:rFonts w:ascii="Times New Roman" w:hAnsi="Times New Roman"/>
          <w:i/>
          <w:color w:val="000000"/>
          <w:sz w:val="20"/>
        </w:rPr>
        <w:t>Revenue”</w:t>
      </w:r>
      <w:r>
        <w:rPr>
          <w:rFonts w:ascii="Times New Roman" w:hAnsi="Times New Roman"/>
          <w:color w:val="000000"/>
          <w:sz w:val="20"/>
        </w:rPr>
        <w:t>. The Company derives revenue primarily in North America and manages the business activities on a consolidated basis.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accounting policies of the IP Licensing segment are the same as those described in Note 2 – </w:t>
      </w:r>
      <w:r>
        <w:rPr>
          <w:rFonts w:ascii="Times New Roman" w:hAnsi="Times New Roman"/>
          <w:i/>
          <w:color w:val="000000"/>
          <w:sz w:val="20"/>
        </w:rPr>
        <w:t>Summary of Significant Accounting Policies</w:t>
      </w:r>
      <w:r>
        <w:rPr>
          <w:rFonts w:ascii="Times New Roman" w:hAnsi="Times New Roman"/>
          <w:color w:val="000000"/>
          <w:sz w:val="20"/>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CODM uses net income to evaluate income generated from segment assets (return on assets) in deciding whether to reinvest profits into the IP Licensing segment or into other parts of the entity, such as for acquisitions or to return value to shareholders.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Company’s IP Licensing segment revenue, significant expenses and income (in thousands): </w:t>
      </w:r>
    </w:p>
    <w:tbl>
      <w:tblPr>
        <w:tblW w:w="9271" w:type="dxa"/>
        <w:jc w:val="left"/>
        <w:tblInd w:w="0" w:type="dxa"/>
        <w:tblLayout w:type="fixed"/>
        <w:tblCellMar>
          <w:top w:w="28" w:type="dxa"/>
          <w:left w:w="28" w:type="dxa"/>
          <w:bottom w:w="28" w:type="dxa"/>
          <w:right w:w="28" w:type="dxa"/>
        </w:tblCellMar>
      </w:tblPr>
      <w:tblGrid>
        <w:gridCol w:w="4126"/>
        <w:gridCol w:w="146"/>
        <w:gridCol w:w="211"/>
        <w:gridCol w:w="676"/>
        <w:gridCol w:w="146"/>
        <w:gridCol w:w="146"/>
        <w:gridCol w:w="211"/>
        <w:gridCol w:w="676"/>
        <w:gridCol w:w="166"/>
        <w:gridCol w:w="211"/>
        <w:gridCol w:w="781"/>
        <w:gridCol w:w="146"/>
        <w:gridCol w:w="146"/>
        <w:gridCol w:w="211"/>
        <w:gridCol w:w="781"/>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portfolio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Patent related technical sales support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Outside services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Other segment items include facilities and other related expenses, marketing and advertising expenses, depreciation expense, travel and entertainment expenses, other income and expense, and other overhead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by Geography and 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 except for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146"/>
        <w:gridCol w:w="211"/>
        <w:gridCol w:w="676"/>
        <w:gridCol w:w="146"/>
        <w:gridCol w:w="146"/>
        <w:gridCol w:w="146"/>
        <w:gridCol w:w="421"/>
        <w:gridCol w:w="316"/>
        <w:gridCol w:w="146"/>
        <w:gridCol w:w="211"/>
        <w:gridCol w:w="676"/>
        <w:gridCol w:w="146"/>
        <w:gridCol w:w="146"/>
        <w:gridCol w:w="146"/>
        <w:gridCol w:w="421"/>
        <w:gridCol w:w="271"/>
        <w:gridCol w:w="146"/>
        <w:gridCol w:w="211"/>
        <w:gridCol w:w="781"/>
        <w:gridCol w:w="146"/>
        <w:gridCol w:w="146"/>
        <w:gridCol w:w="146"/>
        <w:gridCol w:w="421"/>
        <w:gridCol w:w="271"/>
        <w:gridCol w:w="146"/>
        <w:gridCol w:w="211"/>
        <w:gridCol w:w="781"/>
        <w:gridCol w:w="146"/>
        <w:gridCol w:w="146"/>
        <w:gridCol w:w="146"/>
        <w:gridCol w:w="421"/>
        <w:gridCol w:w="391"/>
      </w:tblGrid>
      <w:tr>
        <w:trPr/>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and Middle 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three months ended June 30, 2026 and 2025, there were two customers that each accounted for 10% or more of total revenue, respectively. For the six months ended June 30, 2026 and 2025, one and two customers, respectively, each accounted for 10% or more of total revenue. The following table sets forth revenue generated from customers which comprise 10% or more of total revenue for the periods indicated:</w:t>
      </w:r>
    </w:p>
    <w:tbl>
      <w:tblPr>
        <w:tblW w:w="5472" w:type="dxa"/>
        <w:jc w:val="left"/>
        <w:tblInd w:w="0" w:type="dxa"/>
        <w:tblLayout w:type="fixed"/>
        <w:tblCellMar>
          <w:top w:w="28" w:type="dxa"/>
          <w:left w:w="28" w:type="dxa"/>
          <w:bottom w:w="28" w:type="dxa"/>
          <w:right w:w="28" w:type="dxa"/>
        </w:tblCellMar>
      </w:tblPr>
      <w:tblGrid>
        <w:gridCol w:w="1081"/>
        <w:gridCol w:w="146"/>
        <w:gridCol w:w="166"/>
        <w:gridCol w:w="532"/>
        <w:gridCol w:w="309"/>
        <w:gridCol w:w="166"/>
        <w:gridCol w:w="166"/>
        <w:gridCol w:w="532"/>
        <w:gridCol w:w="271"/>
        <w:gridCol w:w="146"/>
        <w:gridCol w:w="146"/>
        <w:gridCol w:w="466"/>
        <w:gridCol w:w="271"/>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denotes less than 10% of total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the Company had two customers representing 33% and 13% of aggregate accounts receivable, respectively. At December 31, 2025, the Company had one customer representing 63% of aggregate accounts receivable. </w:t>
      </w:r>
    </w:p>
    <w:p>
      <w:pPr>
        <w:pStyle w:val="TextBody"/>
        <w:bidi w:val="0"/>
        <w:spacing w:before="240" w:after="283"/>
        <w:jc w:val="left"/>
        <w:rPr>
          <w:rFonts w:ascii="Times New Roman" w:hAnsi="Times New Roman"/>
          <w:sz w:val="20"/>
        </w:rPr>
      </w:pPr>
      <w:r>
        <w:rPr>
          <w:rFonts w:ascii="Times New Roman" w:hAnsi="Times New Roman"/>
          <w:i/>
          <w:color w:val="000000"/>
          <w:sz w:val="20"/>
        </w:rPr>
        <w:t>Other Geography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and December 31, 2025, property and equipment, net, was all located in the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Declaration of Cash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23, 2026, the Board declared a cash dividend of $0.05 per share of common stock, payable on September 14, 2026 to the stockholders of record at the close of business on August 24,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2_managements_discussion_analysis_f"/>
      <w:bookmarkEnd w:id="12"/>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2025 found in the Form 10-K filed by us on February 26, 2026 (the “Form 10-K”). This section of this Form 10-Q generally discusses quarter over quarter comparisons of 2026 against 2025.</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the Company’s ability to pay dividends on a consistent basis or at all; legislative, regulatory, geopolitical and economic developments affecting the Company’s business; general economic and market developments and conditions; the Company’s ability to grow and expand its patent portfolios and expand into additional addressable markets; changes in technology and development of new technology in the industries in which the Company operates; the evolving legal, regulatory and tax regimes under which the Company operates; unforeseen liabilities and expenses; the Company’s ability to carry out its share repurchase program and the timing of any such repurchases;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i/>
          <w:color w:val="000000"/>
          <w:sz w:val="20"/>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Adeia Inc. (formerly known as Xperi Holding Corporation) (“Adeia”, “we”) is a technology company and an innovation incubator. We have spent decades investing in advanced research and development to create market-leading technologies for the entertainment, media, consumer electronics, e-commerce and semiconductor industries. Our innovative solutions support practically every aspect of consumers’ day-to-day interaction with media, consumer electronics and entertainment, enabling our customers to build customized, next-generation solutions for users around the globe. We believe our commitment to and investment in innovation has resulted in a leading IP licensing platform in these industries, with an extensive portfolio of media and semiconductor IP and over 14,250 media and semiconductor patent assets worldwide. In order to serve an increasingly connected world, we invent, develop, acquire and license fundamental innovations that enhance billions of devices and shape the way millions of people explore and experience entertainment and technology across a variety of platforms.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innovations address one of the biggest consumer trends in entertainment today – the massive proliferation of entertainment content and the rapidly changing habits of how consumers are finding, engaging with and enjoying entertainment and evolving technology, such as artificial intelligence (“AI”).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Headquartered in Silicon Valley with more than 35 years of operating experience, we have approximately 150 full-time employees, with substantially all of our employees located in the U.S.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Macroeconomic conditions due to inflation, geopolitical instability and global health events have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a significant portion of our revenue is derived from fixed-fee and minimum-guarantee arrangements from large, well-capitalized customers, our per-unit and variable-fee based revenue will continue to be susceptible to global health concerns, outbreaks, pandemics, armed conflict, geopolitical factors, trade regulations and tariffs, market volatility, labor shortages, supply chain disruptions, microchip shortages, changes in demand for semiconductors and market downturns.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Reportable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accordance with the authoritative guidance on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our financial condition and operating performance, we primarily focus on revenue and cash flows from operations. For the three and six months ended June 30, 2026, as compared to the same periods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 months ended June 30, 2026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increased by $10.4 million, or 12.1%, from $85.7 million in 2025 to $96.1 million in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Recurring revenues decreased by $11.6 million, or 13.6% from $85.1 million in 2025 to $73.5 million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Non-recurring revenues increased by $22.0 million, or 3441.2% from $0.6 million in 2025 to $22.6 million in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increased by $31.5 million, or 136.3% from $23.1 million in 2025 to $54.6 million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made $6.1 million in principal payments towards our term loan, bringing the outstanding balance to $392.6 million as of June 30,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repurchased $10.0 million of our common stock during the three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 months ended June 30, 2026</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increased by $27.5 million, or 15.8%, from $173.4 million in 2025 to $200.9 million in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Recurring revenues decreased by $22.1 million, or 13.0% from $169.5 million in 2025 to $147.4 million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Non-recurring revenues increased by $49.6 million, or 1270.9% from $3.9 million in 2025 to $53.5 million in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increased by $32.9 million, or 40.9% from $80.3 million in 2025 to $113.1 million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made $34.2 million in principal payments towards our term loan, bringing the outstanding balance to $392.6 million as of June 30,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repurchased $20.0 million of our common stock during the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derive the majority of our revenue from the licensing of our IP rights to customers. For our revenue recognition policy, including descriptions of revenue-generating activities, refer to “Note 3 – </w:t>
      </w:r>
      <w:r>
        <w:rPr>
          <w:rFonts w:ascii="Times New Roman" w:hAnsi="Times New Roman"/>
          <w:i/>
          <w:color w:val="000000"/>
          <w:sz w:val="20"/>
        </w:rPr>
        <w:t>Revenue</w:t>
      </w:r>
      <w:r>
        <w:rPr>
          <w:rFonts w:ascii="Times New Roman" w:hAnsi="Times New Roman"/>
          <w:color w:val="000000"/>
          <w:sz w:val="20"/>
        </w:rPr>
        <w:t>” of the Notes to Condensed Consolidated Financial Statements.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our operating results for the periods indicated as a percentage of revenue:</w:t>
      </w:r>
    </w:p>
    <w:tbl>
      <w:tblPr>
        <w:tblW w:w="7964" w:type="dxa"/>
        <w:jc w:val="left"/>
        <w:tblInd w:w="0" w:type="dxa"/>
        <w:tblLayout w:type="fixed"/>
        <w:tblCellMar>
          <w:top w:w="28" w:type="dxa"/>
          <w:left w:w="28" w:type="dxa"/>
          <w:bottom w:w="28" w:type="dxa"/>
          <w:right w:w="28" w:type="dxa"/>
        </w:tblCellMar>
      </w:tblPr>
      <w:tblGrid>
        <w:gridCol w:w="3156"/>
        <w:gridCol w:w="146"/>
        <w:gridCol w:w="146"/>
        <w:gridCol w:w="176"/>
        <w:gridCol w:w="509"/>
        <w:gridCol w:w="327"/>
        <w:gridCol w:w="176"/>
        <w:gridCol w:w="176"/>
        <w:gridCol w:w="509"/>
        <w:gridCol w:w="271"/>
        <w:gridCol w:w="146"/>
        <w:gridCol w:w="154"/>
        <w:gridCol w:w="444"/>
        <w:gridCol w:w="285"/>
        <w:gridCol w:w="154"/>
        <w:gridCol w:w="154"/>
        <w:gridCol w:w="444"/>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sets forth our revenue for the three and six months ended June 30, 2026 and 2025 (in thousands, except for percentages):</w:t>
      </w:r>
    </w:p>
    <w:tbl>
      <w:tblPr>
        <w:tblW w:w="10986" w:type="dxa"/>
        <w:jc w:val="left"/>
        <w:tblInd w:w="0" w:type="dxa"/>
        <w:tblLayout w:type="fixed"/>
        <w:tblCellMar>
          <w:top w:w="28" w:type="dxa"/>
          <w:left w:w="28" w:type="dxa"/>
          <w:bottom w:w="28" w:type="dxa"/>
          <w:right w:w="28" w:type="dxa"/>
        </w:tblCellMar>
      </w:tblPr>
      <w:tblGrid>
        <w:gridCol w:w="841"/>
        <w:gridCol w:w="146"/>
        <w:gridCol w:w="211"/>
        <w:gridCol w:w="676"/>
        <w:gridCol w:w="146"/>
        <w:gridCol w:w="146"/>
        <w:gridCol w:w="211"/>
        <w:gridCol w:w="676"/>
        <w:gridCol w:w="146"/>
        <w:gridCol w:w="146"/>
        <w:gridCol w:w="211"/>
        <w:gridCol w:w="676"/>
        <w:gridCol w:w="146"/>
        <w:gridCol w:w="146"/>
        <w:gridCol w:w="313"/>
        <w:gridCol w:w="678"/>
        <w:gridCol w:w="271"/>
        <w:gridCol w:w="146"/>
        <w:gridCol w:w="211"/>
        <w:gridCol w:w="781"/>
        <w:gridCol w:w="146"/>
        <w:gridCol w:w="146"/>
        <w:gridCol w:w="211"/>
        <w:gridCol w:w="781"/>
        <w:gridCol w:w="146"/>
        <w:gridCol w:w="146"/>
        <w:gridCol w:w="211"/>
        <w:gridCol w:w="676"/>
        <w:gridCol w:w="146"/>
        <w:gridCol w:w="146"/>
        <w:gridCol w:w="313"/>
        <w:gridCol w:w="67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revenue during the three and six months ended June 30, 2026, as compared to the same periods in 2025, was primarily attributable to the execution of new multi-year license agreements in 2026; partially offset by declines in royalty revenue from certain Pay-TV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for the three months ended June 30, 2026 and 2025 were $73.5 million and $85.1 million, respectively. The decrease of $11.6 million was driven primarily by declines in royalty revenue from certain Pay-TV customers; partially offset by the execution of license agreements with new customers after the second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Non-recurring revenues for the three months ended June 30, 2026 and 2025 were $22.6 million and $0.6 million, respectively. The increase of $22.0 million was primarily driven by two multi-year license agreements executed during the second quarter of 2026, each of which included consideration for the release of past infringement of our IP, which was recognized in the respective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Recurring revenue for the six months ended June 30, 2026 and 2025 were $147.4 million and $169.5 million, respectively. The decrease of $22.1 million was driven primarily by declines in royalty revenue from certain Pay-TV customers; partially offset by the execution of license agreements with new customers after the second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Non-recurring revenues for the six months ended June 30, 2026 and 2025 were $53.5 million and $3.9 million, respectively. The increase of $49.6 million was primarily driven by four agreements with new customers executed in the first half of 2026, each of which included consideration for the release of past infringement of our IP, and one renewal that included a catch-up payment for an out-of-license period.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(in thousands, except for percentages):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R&amp;D costs consist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costs are expensed as incurred. We intend to make a continued investment in our R&amp;D efforts because we believe they are essential to grow our patent portfolios to maintain and improve our competitiveness.</w:t>
      </w:r>
    </w:p>
    <w:tbl>
      <w:tblPr>
        <w:tblW w:w="10999" w:type="dxa"/>
        <w:jc w:val="left"/>
        <w:tblInd w:w="0" w:type="dxa"/>
        <w:tblLayout w:type="fixed"/>
        <w:tblCellMar>
          <w:top w:w="28" w:type="dxa"/>
          <w:left w:w="28" w:type="dxa"/>
          <w:bottom w:w="28" w:type="dxa"/>
          <w:right w:w="28" w:type="dxa"/>
        </w:tblCellMar>
      </w:tblPr>
      <w:tblGrid>
        <w:gridCol w:w="1186"/>
        <w:gridCol w:w="146"/>
        <w:gridCol w:w="211"/>
        <w:gridCol w:w="676"/>
        <w:gridCol w:w="146"/>
        <w:gridCol w:w="146"/>
        <w:gridCol w:w="211"/>
        <w:gridCol w:w="676"/>
        <w:gridCol w:w="146"/>
        <w:gridCol w:w="146"/>
        <w:gridCol w:w="222"/>
        <w:gridCol w:w="604"/>
        <w:gridCol w:w="146"/>
        <w:gridCol w:w="146"/>
        <w:gridCol w:w="313"/>
        <w:gridCol w:w="678"/>
        <w:gridCol w:w="271"/>
        <w:gridCol w:w="146"/>
        <w:gridCol w:w="211"/>
        <w:gridCol w:w="676"/>
        <w:gridCol w:w="146"/>
        <w:gridCol w:w="146"/>
        <w:gridCol w:w="211"/>
        <w:gridCol w:w="676"/>
        <w:gridCol w:w="146"/>
        <w:gridCol w:w="146"/>
        <w:gridCol w:w="222"/>
        <w:gridCol w:w="604"/>
        <w:gridCol w:w="146"/>
        <w:gridCol w:w="146"/>
        <w:gridCol w:w="313"/>
        <w:gridCol w:w="678"/>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R&amp;D costs during the three and six months ended June 30, 2026, as compared to the same periods in 2025, was primarily due to an increase in patent portfolio expenses and an increase in personnel related costs as a result of increased headcount.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(in thousands, except for percentages):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 </w:t>
      </w:r>
    </w:p>
    <w:tbl>
      <w:tblPr>
        <w:tblW w:w="11169"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8"/>
        <w:gridCol w:w="653"/>
        <w:gridCol w:w="166"/>
        <w:gridCol w:w="146"/>
        <w:gridCol w:w="346"/>
        <w:gridCol w:w="645"/>
        <w:gridCol w:w="271"/>
        <w:gridCol w:w="146"/>
        <w:gridCol w:w="211"/>
        <w:gridCol w:w="676"/>
        <w:gridCol w:w="146"/>
        <w:gridCol w:w="146"/>
        <w:gridCol w:w="211"/>
        <w:gridCol w:w="676"/>
        <w:gridCol w:w="146"/>
        <w:gridCol w:w="146"/>
        <w:gridCol w:w="275"/>
        <w:gridCol w:w="551"/>
        <w:gridCol w:w="146"/>
        <w:gridCol w:w="146"/>
        <w:gridCol w:w="405"/>
        <w:gridCol w:w="58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SG&amp;A expense during the three months ended June 30, 2026, as compared to the same period in 2025, was primarily due to a decrease in advertising expense, partially offset by an increase in personnel related costs as a result of increased headcount. SG&amp;A expense during the six months ended June 30, 2026, as compared to the same period in 2025, was relatively consistent.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Amortization Expense (in thousands, except for percentages):</w:t>
      </w:r>
    </w:p>
    <w:p>
      <w:pPr>
        <w:pStyle w:val="TextBody"/>
        <w:bidi w:val="0"/>
        <w:jc w:val="left"/>
        <w:rPr/>
      </w:pPr>
      <w:r>
        <w:rPr/>
        <w:t> </w:t>
      </w:r>
    </w:p>
    <w:tbl>
      <w:tblPr>
        <w:tblW w:w="11014" w:type="dxa"/>
        <w:jc w:val="left"/>
        <w:tblInd w:w="0" w:type="dxa"/>
        <w:tblLayout w:type="fixed"/>
        <w:tblCellMar>
          <w:top w:w="28" w:type="dxa"/>
          <w:left w:w="28" w:type="dxa"/>
          <w:bottom w:w="28" w:type="dxa"/>
          <w:right w:w="28" w:type="dxa"/>
        </w:tblCellMar>
      </w:tblPr>
      <w:tblGrid>
        <w:gridCol w:w="1201"/>
        <w:gridCol w:w="146"/>
        <w:gridCol w:w="211"/>
        <w:gridCol w:w="676"/>
        <w:gridCol w:w="146"/>
        <w:gridCol w:w="146"/>
        <w:gridCol w:w="211"/>
        <w:gridCol w:w="676"/>
        <w:gridCol w:w="146"/>
        <w:gridCol w:w="146"/>
        <w:gridCol w:w="222"/>
        <w:gridCol w:w="604"/>
        <w:gridCol w:w="146"/>
        <w:gridCol w:w="146"/>
        <w:gridCol w:w="313"/>
        <w:gridCol w:w="678"/>
        <w:gridCol w:w="271"/>
        <w:gridCol w:w="146"/>
        <w:gridCol w:w="211"/>
        <w:gridCol w:w="676"/>
        <w:gridCol w:w="146"/>
        <w:gridCol w:w="146"/>
        <w:gridCol w:w="211"/>
        <w:gridCol w:w="676"/>
        <w:gridCol w:w="146"/>
        <w:gridCol w:w="146"/>
        <w:gridCol w:w="222"/>
        <w:gridCol w:w="604"/>
        <w:gridCol w:w="146"/>
        <w:gridCol w:w="146"/>
        <w:gridCol w:w="313"/>
        <w:gridCol w:w="678"/>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amortization expense during the three and six months ended June 30, 2026, as compared to the same periods in 2025, was primarily due to patents acquired in 2025 and 2026, partially offset by certain intangible assets becoming fully amortized during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Litigation Expense (in thousands, except for percentages):</w:t>
      </w:r>
    </w:p>
    <w:p>
      <w:pPr>
        <w:pStyle w:val="TextBody"/>
        <w:bidi w:val="0"/>
        <w:jc w:val="left"/>
        <w:rPr/>
      </w:pPr>
      <w:r>
        <w:rPr/>
        <w:t> </w:t>
      </w:r>
    </w:p>
    <w:tbl>
      <w:tblPr>
        <w:tblW w:w="10679" w:type="dxa"/>
        <w:jc w:val="left"/>
        <w:tblInd w:w="0" w:type="dxa"/>
        <w:tblLayout w:type="fixed"/>
        <w:tblCellMar>
          <w:top w:w="28" w:type="dxa"/>
          <w:left w:w="28" w:type="dxa"/>
          <w:bottom w:w="28" w:type="dxa"/>
          <w:right w:w="28" w:type="dxa"/>
        </w:tblCellMar>
      </w:tblPr>
      <w:tblGrid>
        <w:gridCol w:w="946"/>
        <w:gridCol w:w="146"/>
        <w:gridCol w:w="211"/>
        <w:gridCol w:w="571"/>
        <w:gridCol w:w="146"/>
        <w:gridCol w:w="146"/>
        <w:gridCol w:w="211"/>
        <w:gridCol w:w="571"/>
        <w:gridCol w:w="146"/>
        <w:gridCol w:w="146"/>
        <w:gridCol w:w="218"/>
        <w:gridCol w:w="653"/>
        <w:gridCol w:w="166"/>
        <w:gridCol w:w="146"/>
        <w:gridCol w:w="277"/>
        <w:gridCol w:w="714"/>
        <w:gridCol w:w="271"/>
        <w:gridCol w:w="146"/>
        <w:gridCol w:w="211"/>
        <w:gridCol w:w="676"/>
        <w:gridCol w:w="146"/>
        <w:gridCol w:w="146"/>
        <w:gridCol w:w="211"/>
        <w:gridCol w:w="676"/>
        <w:gridCol w:w="146"/>
        <w:gridCol w:w="146"/>
        <w:gridCol w:w="218"/>
        <w:gridCol w:w="653"/>
        <w:gridCol w:w="166"/>
        <w:gridCol w:w="146"/>
        <w:gridCol w:w="277"/>
        <w:gridCol w:w="714"/>
        <w:gridCol w:w="31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decrease in litigation expense for the three and six months ended June 30, 2026, as compared to the same periods in 2025, was primarily due to decreased expense associated with certain matters that have settled, partially offset by expenses associated with new litigation matters. See Part II, Item 1 – </w:t>
      </w:r>
      <w:r>
        <w:rPr>
          <w:rFonts w:ascii="Times New Roman" w:hAnsi="Times New Roman"/>
          <w:i/>
          <w:color w:val="000000"/>
          <w:sz w:val="20"/>
        </w:rPr>
        <w:t>Legal Proceedings</w:t>
      </w:r>
      <w:r>
        <w:rPr>
          <w:rFonts w:ascii="Times New Roman" w:hAnsi="Times New Roman"/>
          <w:color w:val="000000"/>
          <w:sz w:val="20"/>
        </w:rPr>
        <w:t xml:space="preserve"> for additional information regarding these matters.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hAnsi="Times New Roman"/>
          <w:i/>
          <w:color w:val="000000"/>
          <w:sz w:val="20"/>
        </w:rPr>
        <w:t>Legal Proceedings</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 (in thousands, except for percentages):</w:t>
      </w:r>
    </w:p>
    <w:p>
      <w:pPr>
        <w:pStyle w:val="TextBody"/>
        <w:bidi w:val="0"/>
        <w:jc w:val="left"/>
        <w:rPr/>
      </w:pPr>
      <w:r>
        <w:rPr/>
        <w:t> </w:t>
      </w:r>
    </w:p>
    <w:tbl>
      <w:tblPr>
        <w:tblW w:w="10619" w:type="dxa"/>
        <w:jc w:val="left"/>
        <w:tblInd w:w="0" w:type="dxa"/>
        <w:tblLayout w:type="fixed"/>
        <w:tblCellMar>
          <w:top w:w="28" w:type="dxa"/>
          <w:left w:w="28" w:type="dxa"/>
          <w:bottom w:w="28" w:type="dxa"/>
          <w:right w:w="28" w:type="dxa"/>
        </w:tblCellMar>
      </w:tblPr>
      <w:tblGrid>
        <w:gridCol w:w="781"/>
        <w:gridCol w:w="146"/>
        <w:gridCol w:w="211"/>
        <w:gridCol w:w="571"/>
        <w:gridCol w:w="146"/>
        <w:gridCol w:w="146"/>
        <w:gridCol w:w="211"/>
        <w:gridCol w:w="676"/>
        <w:gridCol w:w="146"/>
        <w:gridCol w:w="146"/>
        <w:gridCol w:w="218"/>
        <w:gridCol w:w="653"/>
        <w:gridCol w:w="166"/>
        <w:gridCol w:w="146"/>
        <w:gridCol w:w="277"/>
        <w:gridCol w:w="714"/>
        <w:gridCol w:w="271"/>
        <w:gridCol w:w="146"/>
        <w:gridCol w:w="211"/>
        <w:gridCol w:w="676"/>
        <w:gridCol w:w="146"/>
        <w:gridCol w:w="146"/>
        <w:gridCol w:w="211"/>
        <w:gridCol w:w="676"/>
        <w:gridCol w:w="146"/>
        <w:gridCol w:w="146"/>
        <w:gridCol w:w="218"/>
        <w:gridCol w:w="653"/>
        <w:gridCol w:w="166"/>
        <w:gridCol w:w="146"/>
        <w:gridCol w:w="277"/>
        <w:gridCol w:w="714"/>
        <w:gridCol w:w="316"/>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interest expense during the three and six months ended June 30, 2026, as compared to the same periods in 2025, was primarily due to lower debt balance and lower variable interest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 and Expense, Net (in thousands, except for percentages):</w:t>
      </w:r>
    </w:p>
    <w:p>
      <w:pPr>
        <w:pStyle w:val="TextBody"/>
        <w:bidi w:val="0"/>
        <w:jc w:val="left"/>
        <w:rPr/>
      </w:pPr>
      <w:r>
        <w:rPr/>
        <w:t> </w:t>
      </w:r>
    </w:p>
    <w:tbl>
      <w:tblPr>
        <w:tblW w:w="10219" w:type="dxa"/>
        <w:jc w:val="left"/>
        <w:tblInd w:w="0" w:type="dxa"/>
        <w:tblLayout w:type="fixed"/>
        <w:tblCellMar>
          <w:top w:w="28" w:type="dxa"/>
          <w:left w:w="28" w:type="dxa"/>
          <w:bottom w:w="28" w:type="dxa"/>
          <w:right w:w="28" w:type="dxa"/>
        </w:tblCellMar>
      </w:tblPr>
      <w:tblGrid>
        <w:gridCol w:w="826"/>
        <w:gridCol w:w="146"/>
        <w:gridCol w:w="211"/>
        <w:gridCol w:w="571"/>
        <w:gridCol w:w="146"/>
        <w:gridCol w:w="146"/>
        <w:gridCol w:w="211"/>
        <w:gridCol w:w="571"/>
        <w:gridCol w:w="146"/>
        <w:gridCol w:w="146"/>
        <w:gridCol w:w="275"/>
        <w:gridCol w:w="551"/>
        <w:gridCol w:w="146"/>
        <w:gridCol w:w="146"/>
        <w:gridCol w:w="313"/>
        <w:gridCol w:w="678"/>
        <w:gridCol w:w="271"/>
        <w:gridCol w:w="146"/>
        <w:gridCol w:w="211"/>
        <w:gridCol w:w="571"/>
        <w:gridCol w:w="146"/>
        <w:gridCol w:w="146"/>
        <w:gridCol w:w="211"/>
        <w:gridCol w:w="571"/>
        <w:gridCol w:w="146"/>
        <w:gridCol w:w="146"/>
        <w:gridCol w:w="275"/>
        <w:gridCol w:w="551"/>
        <w:gridCol w:w="146"/>
        <w:gridCol w:w="146"/>
        <w:gridCol w:w="405"/>
        <w:gridCol w:w="586"/>
        <w:gridCol w:w="31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and expense, net during the three and six months ended June 30, 2026, as compared to the same periods in 2025, was relatively consistent.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 (in thousands, except for percentages):</w:t>
      </w:r>
    </w:p>
    <w:p>
      <w:pPr>
        <w:pStyle w:val="TextBody"/>
        <w:bidi w:val="0"/>
        <w:jc w:val="left"/>
        <w:rPr/>
      </w:pPr>
      <w:r>
        <w:rPr/>
        <w:t> </w:t>
      </w:r>
    </w:p>
    <w:tbl>
      <w:tblPr>
        <w:tblW w:w="10576" w:type="dxa"/>
        <w:jc w:val="left"/>
        <w:tblInd w:w="0" w:type="dxa"/>
        <w:tblLayout w:type="fixed"/>
        <w:tblCellMar>
          <w:top w:w="28" w:type="dxa"/>
          <w:left w:w="28" w:type="dxa"/>
          <w:bottom w:w="28" w:type="dxa"/>
          <w:right w:w="28" w:type="dxa"/>
        </w:tblCellMar>
      </w:tblPr>
      <w:tblGrid>
        <w:gridCol w:w="901"/>
        <w:gridCol w:w="146"/>
        <w:gridCol w:w="211"/>
        <w:gridCol w:w="571"/>
        <w:gridCol w:w="146"/>
        <w:gridCol w:w="146"/>
        <w:gridCol w:w="211"/>
        <w:gridCol w:w="631"/>
        <w:gridCol w:w="166"/>
        <w:gridCol w:w="146"/>
        <w:gridCol w:w="211"/>
        <w:gridCol w:w="676"/>
        <w:gridCol w:w="146"/>
        <w:gridCol w:w="146"/>
        <w:gridCol w:w="230"/>
        <w:gridCol w:w="761"/>
        <w:gridCol w:w="271"/>
        <w:gridCol w:w="146"/>
        <w:gridCol w:w="211"/>
        <w:gridCol w:w="571"/>
        <w:gridCol w:w="146"/>
        <w:gridCol w:w="146"/>
        <w:gridCol w:w="211"/>
        <w:gridCol w:w="631"/>
        <w:gridCol w:w="166"/>
        <w:gridCol w:w="146"/>
        <w:gridCol w:w="211"/>
        <w:gridCol w:w="676"/>
        <w:gridCol w:w="146"/>
        <w:gridCol w:w="146"/>
        <w:gridCol w:w="230"/>
        <w:gridCol w:w="761"/>
        <w:gridCol w:w="31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income tax provision for interim periods is based on the estimated annual effective tax rate adjusted for discrete items during the period. For the three months ended June 30, 2026, we recorded income tax expense of $1.6 million on pretax income of $19.0 million, and for the six months ended June 30, 2026, we recorded income tax expense of $6.8 million on pretax income of $47.0 million, which resulted in an effective tax rates of 8.6% and 14.6%, respectively, for the three and six months ended June 30, 2026. The effective tax rate varies from the 21% U.S. federal tax rate primarily due to tax benefits related to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2025, we recorded an income tax benefit of $9.1 million on pretax income of $7.6 million, and for the six months ended June 30, 2025, we recorded an income tax benefit of $7.0 million on pretax income of $21.5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million, which resulted in effective tax rates of (119.4)% and (32.6)%, respectively, for the three and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income tax expense for the three and six months ended June 30, 2026, as compared to the same period in the prior year was primarily due to an increase to pretax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selected financial information related to our liquidity and significant sources and uses of cash and cash equivalents as of and for the six months ended June 30, 2026 and 2025: </w:t>
      </w:r>
    </w:p>
    <w:p>
      <w:pPr>
        <w:pStyle w:val="TextBody"/>
        <w:bidi w:val="0"/>
        <w:spacing w:before="240" w:after="283"/>
        <w:jc w:val="left"/>
        <w:rPr/>
      </w:pPr>
      <w:r>
        <w:rPr/>
        <w:t> </w:t>
      </w:r>
    </w:p>
    <w:tbl>
      <w:tblPr>
        <w:tblW w:w="8130" w:type="dxa"/>
        <w:jc w:val="left"/>
        <w:tblInd w:w="0" w:type="dxa"/>
        <w:tblLayout w:type="fixed"/>
        <w:tblCellMar>
          <w:top w:w="28" w:type="dxa"/>
          <w:left w:w="28" w:type="dxa"/>
          <w:bottom w:w="28" w:type="dxa"/>
          <w:right w:w="28" w:type="dxa"/>
        </w:tblCellMar>
      </w:tblPr>
      <w:tblGrid>
        <w:gridCol w:w="4501"/>
        <w:gridCol w:w="146"/>
        <w:gridCol w:w="271"/>
        <w:gridCol w:w="1004"/>
        <w:gridCol w:w="146"/>
        <w:gridCol w:w="146"/>
        <w:gridCol w:w="367"/>
        <w:gridCol w:w="1358"/>
        <w:gridCol w:w="1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05" w:type="dxa"/>
        <w:jc w:val="left"/>
        <w:tblInd w:w="0" w:type="dxa"/>
        <w:tblLayout w:type="fixed"/>
        <w:tblCellMar>
          <w:top w:w="28" w:type="dxa"/>
          <w:left w:w="28" w:type="dxa"/>
          <w:bottom w:w="28" w:type="dxa"/>
          <w:right w:w="28" w:type="dxa"/>
        </w:tblCellMar>
      </w:tblPr>
      <w:tblGrid>
        <w:gridCol w:w="3466"/>
        <w:gridCol w:w="146"/>
        <w:gridCol w:w="223"/>
        <w:gridCol w:w="827"/>
        <w:gridCol w:w="175"/>
        <w:gridCol w:w="154"/>
        <w:gridCol w:w="223"/>
        <w:gridCol w:w="780"/>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sources of liquidity and capital resources are our operating cash flows and our short-term investments in marketable securities. Cash, cash equivalents and marketable securities were $137.1 million and $136.7 million at June 30, 2026 and December 31, 2025, respectively. The change in cash, cash equivalents and marketable securities in the six months ended June 30, 2026 included $113.1 million of cash generated from operations, partially offset by $34.2 million in repayment of our long-term debt, $32.9 million in repurchases of common stock associated with tax withholdings on equity awards, $20.0 million in repurchases of common stock, $11.0 million in dividends paid, and $15.0 million in purchases of 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information about our material cash requirements, see “Liquidity and Capital Resources” in Part II, Item 7 of our Annual Report on Form 10-K for the year ended December 31, 2025. Other than the principal payments of $34.2 million made by us under the existing Term Loan B during the six months ended June 30, 2026, our cash requirements have not materially changed since December 31, 2025. We expect to continue to make additional payments on our existing debt from cash generated from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cash requirements outlined above, we have returned cash to stockholders through both quarterly dividend payments and repurchases of our common stock under our stock repurchase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covenants that would restrict our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Quarterly Dividends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2026 and 2025, we paid a quarterly dividend of $0.05 per share. In July 2026, our Board authorized payment of a quarterly cash dividend of $0.05 per share, to be paid in September 2026.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Repurchase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2024, our Board of Directors approved an increase to the existing share repurchase authorization up to a total of $200.0 million. The stock repurchases may be made from time to time, through solicited or unsolicited transactions in the open market, in privately negotiated transactions, or pursuant to a Rule 10b5-1 plan. During the three months ended June 30, 2026, we repurchased a total of approximately 0.4 million shares of common stock, at an average price of $28.36 per share for a total cost of $10.0 million. During the six months ended June 30, 2026, we repurchased a total of approximately 0.8 million shares of common stock, at an average price of $25.06 per share for a total cost of $20.0 million. During the six months ended June 30, 2025, we repurchased a total of approximately 0.8 million shares of common stock, at an average price of $13.19 per share for a total cost of $10.0 million. These purchases occurred during the three months ended March 31, 2025 and no repurchases were made during the three months ended June 30, 2025. As of June 30, 2026, the total remaining amount available for repurchase under this plan was $140.0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continue to execute authorized repurchases from time to time under our existing stock repurchase plan. The amount and timing of any repurchases under the stock repurchase plan depend on a number of factors, including, but not limited to, the trading price, volume and availability of our common shares. There is no guarantee that such repurchases under the stock repurchase plan will enhance the value of our common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provided by operations were $113.1 million for the six months ended June 30, 2026, primarily due to our net income of $40.1 million being adjusted for noncash items of amortization of intangible assets of $32.0 million, stock-based compensation expense of $19.2 million, and $21.9 million in changes in operating assets and liabilities including payment during the period of employee bonuses earned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provided by operations were $80.3 million for the six months ended June 30, 2025, primarily due to our net income of $28.5 million being adjusted for noncash items of amortization of intangible assets of $28.3 million, stock-based compensation expense of $16.9 million, and $9.0 million in changes in operating assets and liabilities including payment during the period of employee bonuses earned in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$16.8 million for the six months ended June 30, 2026, primarily due to purchases of short-term investments in marketable securities of $19.3 million, purchases of intangible assets of $15.0 million, and proceeds from maturities of marketable securities of $18.4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$6.2 million for the six months ended June 30, 2025, primarily due to purchases of short-term investments in marketable securities of $13.0 million, purchases of intangible assets of $5.4 million, and proceeds from maturities of marketable securities of $12.6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capital expenditures for property and equipment consist primarily of leasehold improvements, purchases of computer hardware and software, information systems, and production and test equipment. During the six months ended June 30, 2026 and 2025, we spent $1.0 million and $0.4 million on capital expenditures, respectively. Our capital expenditures for intangible assets consists primarily of acquired patents. During the six months ended June 30, 2026 and 2025, we spent $15.0 million and $5.4 million on purchases of intangible assets, respectively. There can be no assurance that current expectations will be realized, and plans are subject to change upon further review of our capital expenditure needs.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financing activities was $96.6 million for the six months ended June 30, 2026, primarily due to $34.2 million in repayment of indebtedness, $11.0 million in dividends paid, $32.9 million in repurchases of common stock for tax withholdings on equity awards, and $20.0 million in repurchases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was $68.7 million for the six months ended June 30, 2025, primarily due to $28.2 million in repayment of indebtedness, $10.9 million in dividends paid, $19.7 million in repurchases of common stock for tax withholdings on equity awards, and $11.3 million in repurchases of common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Long-term Debt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2020 Credit Agreement dated June 1, 2020 (the “2020 Credit Agreement”), provides for a senior secured term loan B facility (the “Term Loan B”) with maturity on June 8,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2024, we entered into Amendment No. 3 (“Amendment No. 3”) to the 2020 Credit Agreement, which provided for a repricing of the entire outstanding aggregate principal amount of $561.1 million. Amendment No. 3 also reduced interest margins (50 basis points) from SOFR plus a margin of 3.50% to SOFR plus a margin of 3.00% per annum or base rate plus a margin of 2.00% per annum. In addition, Amendment No. 3 lowered the excess cash flow mandatory payment thresholds and credit spread adjustment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2025, we entered into Amendment No. 4 (“Amendment No. 4”) to the 2020 Credit Agreement, which provided for a repricing of the entire outstanding aggregate principal amount of $487.1 million. Amendment No. 4 further reduced the interest margins (50 basis points) to SOFR plus a margin of 2.50% per annum or base rate plus a margin of 1.50%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under the 2020 Credit Agreement, as amended, continue to be guaranteed by our wholly-owned material domestic subsidiaries (collectively, the “Guarantors”) and continue to be secured by a lien on substantially all our assets and those of the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$392.6 million was outstanding under the term loan B facility. In addition, we had $6.5 million of unamortized debt discount and issuance costs recorded as a reduction from the carrying amount of the debt. The interest rate on the Term Loan B, including the amortization of debt discount and issuance costs, was 7.1% and interest is payable monthly.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existing loan agreement, we have future minimum principal payments for our debt of $12.2 million in the remainder of 2026, $24.4 million in 2027, with the remaining principal balance of $356.0 million due June 8, 2028. 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2025, no excess cash flow payment is required in 2026. The term loan B facility contains customary covenants, and as of June 30, 2026, we were in full compliance with such covenants.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six months ended June 30, 2026, there were no significant changes in our critical accounting policies and estimates. See “Note 2 – </w:t>
      </w:r>
      <w:r>
        <w:rPr>
          <w:rFonts w:ascii="Times New Roman" w:hAnsi="Times New Roman"/>
          <w:i/>
          <w:color w:val="000000"/>
          <w:sz w:val="20"/>
        </w:rPr>
        <w:t>Summary of Significant Accounting Policies</w:t>
      </w:r>
      <w:r>
        <w:rPr>
          <w:rFonts w:ascii="Times New Roman" w:hAnsi="Times New Roman"/>
          <w:color w:val="000000"/>
          <w:sz w:val="20"/>
        </w:rPr>
        <w:t xml:space="preserve">” of Notes to Condensed Consolidated Financial Statements for additional detail. For a discussion of our critical accounting policies and estimates, see Part II, Item 7 –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 our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 “Note 2 – </w:t>
      </w:r>
      <w:r>
        <w:rPr>
          <w:rFonts w:ascii="Times New Roman" w:hAnsi="Times New Roman"/>
          <w:i/>
          <w:color w:val="000000"/>
          <w:sz w:val="20"/>
        </w:rPr>
        <w:t>Summary of Significant Accounting Policies</w:t>
      </w:r>
      <w:r>
        <w:rPr>
          <w:rFonts w:ascii="Times New Roman" w:hAnsi="Times New Roman"/>
          <w:color w:val="000000"/>
          <w:sz w:val="20"/>
        </w:rPr>
        <w:t>” of the Notes to Condensed Consolidated Financial Statements for a full description of recent accounting pronouncements including the respective expected dates of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discussion of our market risk, see Part II, Item 7A – </w:t>
      </w:r>
      <w:r>
        <w:rPr>
          <w:rFonts w:ascii="Times New Roman" w:hAnsi="Times New Roman"/>
          <w:i/>
          <w:color w:val="000000"/>
          <w:sz w:val="20"/>
        </w:rPr>
        <w:t>Quantitative and Qualitative Disclosures About Market Risk</w:t>
      </w:r>
      <w:r>
        <w:rPr>
          <w:rFonts w:ascii="Times New Roman" w:hAnsi="Times New Roman"/>
          <w:color w:val="000000"/>
          <w:sz w:val="20"/>
        </w:rPr>
        <w:t xml:space="preserve"> in our Annual Report on Form 10-K.</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40"/>
        <w:jc w:val="left"/>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the normal course of our business, we are involved in legal proceedings. In the past, we have litigated to enforce our patents, to enforce the terms of license agreements,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Patent Infringement Litigation</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our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Videotron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21, 2021, Adeia Guides Inc. (formerly known as Rovi Guides, Inc.) (“Adeia Guides”) filed a patent infringement complaint against Videotron Ltd. (“Videotron”) in Toronto, Canada, alleging infringement of four patents (the “Videotron Litigation”). The trial commenced on February 3, 2025. On October 24, 2025, the Federal Court of Canada issued a decision in the case and awarded Adeia Guides a permanent injunction, finding that Videotron’s Helix, illico+ and illico video platforms infringe an Adeia Guides patent. The Court also ruled that Videotron’s Helix video platform infringes an additional Adeia Guides patent and awarded Adeia Guides damages for both patents. Two other patents asserted in the case were found invalid. On November 24, 2025, Adeia Guides filed a Notice of Appeal with the Federal Court of Appeal of Canada appealing portions of the decision of the Federal Court of Canada. On December 4, 2025, Videotron filed a Notice of Cross-Appeal. No date has been set yet for a hearing on the appeal.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Bell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On September 30, 2022, Defendants filed a motion for bifurcation, asking the Federal Court of Canada to bifurcate the case into two phases: a first phase related to liability and injunction and second phase addressing damages if liability is found. On February 15, 2023, the Court issued an order granting the motion for bifurcation in which the Court bifurcated the liability and injunction phase from the damages quantification phase of the case. The trial commenced on April 28, 2025. Closing arguments were held June 2-4, 2025. The matter is awaiting the Court’s decision.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Shaw Breach of Contract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October 8, 2024, Shaw filed a motion to dismiss the complaint. On September 29, 2025, the Court denied Shaw’s motion to dismiss Adeia Media Companies’ breach of contract claim and granted Shaw’s motion to dismiss the declaratory relief claim as duplicative. On October 14, 2025, Shaw filed its answer to the complaint. Discovery is ongoing and no trial date has been 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Disney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fourth quarter of 2025, the Company entered into a settlement with The Walt Disney Company and its affiliates resolving the parties’ patent disputes, which were previously described in the Company’s quarterly report on Form 10-Q for the quarter ending March 31, 2026. As a result, the U.S., European and Brazilian patent infringement actions, related patent validity proceedings, and U.S. Patent Trial and Appeal Board inter partes review proceedings between the parties were all dismissed, withdrawn or otherwise terminated as of June 12, 2026. No proceedings remain pending.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AMD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first quarter of 2026, the Company entered into a settlement with Advanced Micro Devices, Inc. (“AMD”) resolving the parties’ patent disputes, which were previously described in the Company’s quarterly report on Form 10-Q for the quarter ending March 31, 2026. As a result, on March 10, 2026, the related district court actions were dismissed with prejudice and on April 30, 2026, the International Trade Commission investigation was terminated. No proceedings remain pending.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DIRECTV Litigation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NDCA Declaratory Judgment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29, 2025, DIRECTV LLC (“DIRECTV”) filed a complaint against Adeia Inc., Adeia Guides Inc., Adeia Media Holdings LLC, Adeia Technologies Inc. and Adeia Media Solutions Inc. (collectively, “Adeia Media”) in the United States District Court for the Northern District of California seeking a declaratory judgment of noninfringement of seven Adeia Media patents and a declaratory judgment of invalidity of three Adeia Media patents (“NDCA DJ Action”). On March 13, 2026, Adeia Media filed a motion to dismiss the NDCA DJ Action. On June 18, 2026, the Court granted Adeia Media’s motion with leave to amend the complaint. The action remains pending. The trial date has not been set.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SDNY Breach of Contract and Misappropriation of Trade Secrets 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12, 2026, Adeia Media filed a complaint against DIRECTV in the United States District Court for the Southern District of New York alleging breach of contract and misappropriation of trade secrets under the Defend Trade Secrets Act (“DTSA”). On January 15, 2026, Adeia Media filed a Motion for Preliminary Injunction (“PI Motion”), requesting that the Court order DIRECTV to withdraw the NDCA DJ Action and cease its misuse of Adeia Media’s confidential information. On July 2, 2026, the Court issued an order denying the PI Motion. On April 23, 2026, the Court granted DIRECTV’s request to file a motion to dismiss the DTSA claim. On June 4, 2026, DIRECTV filed a motion to dismiss the DTSA claim, and on July 16, 2026, Adeia filed its opposition. The trial date has not been set.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CDCA Patent Infringement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 2026, Adeia Media Holdings Inc. and Adeia Technologies Inc. (collectively, “Adeia”) filed a complaint against DIRECTV, LLC in the United States District Court for the Central District of California alleging that DIRECTV infringes four patents. The trial date has not been set.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DISH Litigation</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Colorado Patent Infringement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Adeia Technologies Inc., Adeia Media Holdings Inc., and Adeia Media Solutions Inc. (collectively, “Adeia”) filed a complaint against DISH Network Corp., DISH Media Sales LLC, DISH DBS Corp., EchoStar Corp., Sling TV LLC, and Sling TV Holding LLC (collectively, the “DISH Defendants”) in the United States District Court for the District of Colorado on April 1, 2026 (EDT), from and after which time the DISH Defendants were unlicensed to Adeia’s patents, alleging the DISH Defendants infringe five patents. The trial date has not been set. On June 30, 2026, certain DISH parties filed for Chapter 11 bankruptcy protection. As a result, this case has been stayed automatically pending the completion of the bankruptcy proceedings.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NDCA Declaratory Judgment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DISH Network LLC and Sling TV LLC filed a complaint against Adeia Inc., Adeia Guides Inc., Adeia Media Holdings Inc., Adeia Technologies Inc., and Adeia Media Solutions Inc. (collectively, “Adeia Media”) in the United States District Court for the Northern District of California on April 1, 2026 seeking a declaratory judgment of noninfringement and/or invalidity of ten Adeia Media patents. The trial date has not been set. On June 30, 2026, certain DISH parties filed for Chapter 11 bankruptcy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protection. On July 9, 2026, the Court issued an order staying this case pending the completion of the DISH bankruptcy proceedings.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Fubo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 2026, Adeia Media Holdings Inc. (“Adeia”) filed a complaint against FuboTV Inc., Fubo Operations LLC, Fubo Services LLC, and FuboTV Media LLC (f/k/a FuboTV Media Inc.) (collectively, “Fubo”) in the United States District Court for the District of Delaware alleging infringement of four patents. The trial date has not been 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the risk factors previously disclosed in Part 1, Item 1A. of our Annual Report on Form 10-K for the year ended December 31, 2025, which is incorporated by reference herein.</w:t>
      </w:r>
    </w:p>
    <w:p>
      <w:pPr>
        <w:pStyle w:val="TextBody"/>
        <w:bidi w:val="0"/>
        <w:spacing w:before="240" w:after="283"/>
        <w:jc w:val="left"/>
        <w:rPr>
          <w:rFonts w:ascii="Times New Roman" w:hAnsi="Times New Roman"/>
          <w:b/>
          <w:color w:val="000000"/>
          <w:sz w:val="20"/>
        </w:rPr>
      </w:pPr>
      <w:bookmarkStart w:id="18" w:name="unregistered_sales_of_equity_securities"/>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Items 2(a) and 2(b) are 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 Stock Repurchases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repurchases of our common stock during the three months ended June 30, 2026:</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691"/>
        <w:gridCol w:w="346"/>
        <w:gridCol w:w="206"/>
        <w:gridCol w:w="984"/>
        <w:gridCol w:w="346"/>
        <w:gridCol w:w="346"/>
        <w:gridCol w:w="271"/>
        <w:gridCol w:w="708"/>
        <w:gridCol w:w="346"/>
        <w:gridCol w:w="346"/>
        <w:gridCol w:w="214"/>
        <w:gridCol w:w="1021"/>
        <w:gridCol w:w="346"/>
        <w:gridCol w:w="346"/>
        <w:gridCol w:w="284"/>
        <w:gridCol w:w="1009"/>
        <w:gridCol w:w="395"/>
      </w:tblGrid>
      <w:tr>
        <w:trPr/>
        <w:tc>
          <w:tcPr>
            <w:tcW w:w="2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 share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w:t>
              <w:br/>
              <w:t xml:space="preserve">shares purchased </w:t>
              <w:br/>
              <w:t xml:space="preserve">as part of our </w:t>
              <w:br/>
              <w:t xml:space="preserve">share repurchase </w:t>
              <w:br/>
              <w:t xml:space="preserve">program </w:t>
            </w:r>
            <w:r>
              <w:rPr>
                <w:rFonts w:ascii="Times New Roman" w:hAnsi="Times New Roman"/>
                <w:b/>
                <w:color w:val="000000"/>
                <w:sz w:val="12"/>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Approximate </w:t>
              <w:br/>
              <w:t xml:space="preserve">dollar value of </w:t>
              <w:br/>
              <w:t xml:space="preserve">shares that may </w:t>
              <w:br/>
              <w:t xml:space="preserve">yet be purchased </w:t>
              <w:br/>
              <w:t xml:space="preserve">under our share </w:t>
              <w:br/>
              <w:t xml:space="preserve">repurchase </w:t>
              <w:br/>
              <w:t xml:space="preserve">program </w:t>
            </w:r>
            <w:r>
              <w:rPr>
                <w:rFonts w:ascii="Times New Roman" w:hAnsi="Times New Roman"/>
                <w:b/>
                <w:color w:val="000000"/>
                <w:sz w:val="12"/>
              </w:rPr>
              <w:t>(1)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the number of shares and share price)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April 1, 2026 – April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May 1, 2026 – May 31,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352,753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352,753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139,947</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June 1, 2026 –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352,753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352,753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139,947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 October 2024, our Board approved an increase of the existing share repurchase authorization up to a total of $200.0 million. The stock repurchases may be made from time to time, through solicited or unsolicited transactions in the open market, in privately negotiated transactions, or pursuant to a Rule 10b5-1 plan. There is no guarantee that such repurchases under the program will enhance the value of our stock. As of June 30, 2026, the total remaining amount available for repurchase under the Plan was $140.0 million. </w:t>
      </w:r>
    </w:p>
    <w:p>
      <w:pPr>
        <w:pStyle w:val="TextBody"/>
        <w:bidi w:val="0"/>
        <w:spacing w:before="240" w:after="283"/>
        <w:jc w:val="left"/>
        <w:rPr>
          <w:rFonts w:ascii="Times New Roman" w:hAnsi="Times New Roman"/>
          <w:b/>
          <w:color w:val="000000"/>
          <w:sz w:val="20"/>
        </w:rPr>
      </w:pPr>
      <w:bookmarkStart w:id="19" w:name="item_3__defaults_upon_senior_securities"/>
      <w:bookmarkEnd w:id="19"/>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4__mine_safety_disclosures"/>
      <w:bookmarkEnd w:id="2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1" w:name="item_5__other_information"/>
      <w:bookmarkEnd w:id="21"/>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there were no Rule 10b5-1 plans or non-Rule 10b5-1 trading arrangements adopted, modified or terminated by any director or officer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tem_6_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rP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778"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hyperlink w:anchor="adea-ex10_1.htm">
              <w:r>
                <w:rPr>
                  <w:rStyle w:val="InternetLink"/>
                  <w:rFonts w:ascii="Times New Roman" w:hAnsi="Times New Roman"/>
                  <w:color w:val="0000FF"/>
                  <w:sz w:val="20"/>
                  <w:u w:val="single"/>
                </w:rPr>
                <w:t>Form of Severance Agreement, between the Registrant and each of Keith Jones, Kevin Tanji, and Mark Kokes +</w:t>
              </w:r>
            </w:hyperlink>
            <w:hyperlink w:anchor="adea-ex10_1.htm">
              <w:r>
                <w:rPr>
                  <w:rStyle w:val="InternetLink"/>
                  <w:rFonts w:ascii="Times New Roman" w:hAnsi="Times New Roman"/>
                  <w:color w:val="0000FF"/>
                  <w:sz w:val="20"/>
                </w:rPr>
                <w:t xml:space="preserve"> </w:t>
              </w:r>
            </w:hyperlink>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hyperlink w:anchor="adea-ex31_1.htm">
              <w:r>
                <w:rPr>
                  <w:rStyle w:val="InternetLink"/>
                  <w:rFonts w:ascii="Times New Roman" w:hAnsi="Times New Roman"/>
                  <w:color w:val="0000FF"/>
                  <w:sz w:val="20"/>
                  <w:u w:val="single"/>
                </w:rPr>
                <w:t>Certification of the Chief Executive Officer pursuant to Rule 13a-14(a) of the Securities Exchange Act of 1934</w:t>
              </w:r>
            </w:hyperlink>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hyperlink w:anchor="adea-ex31_2.htm">
              <w:r>
                <w:rPr>
                  <w:rStyle w:val="InternetLink"/>
                  <w:rFonts w:ascii="Times New Roman" w:hAnsi="Times New Roman"/>
                  <w:color w:val="0000FF"/>
                  <w:sz w:val="20"/>
                  <w:u w:val="single"/>
                </w:rPr>
                <w:t>Certification of the Chief Financial Officer pursuant to Rule 13a-14(a) of the Securities Exchange Act of 1934</w:t>
              </w:r>
            </w:hyperlink>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hyperlink w:anchor="adea-ex32_1.htm">
              <w:r>
                <w:rPr>
                  <w:rStyle w:val="InternetLink"/>
                  <w:rFonts w:ascii="Times New Roman" w:hAnsi="Times New Roman"/>
                  <w:color w:val="0000FF"/>
                  <w:sz w:val="20"/>
                  <w:u w:val="single"/>
                </w:rPr>
                <w:t>Certification of the Chief Executive Officer and Chief Financial Officer pursuant to Rule 13a-14(b) of the Securities Exchange Act of 1934 and 18 U.S.C. Section 1350, as adopted pursuant to Section 906 of the Sarbanes-Oxley Act of 2002</w:t>
              </w:r>
            </w:hyperlink>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5, 2026</w:t>
      </w:r>
    </w:p>
    <w:p>
      <w:pPr>
        <w:pStyle w:val="TextBody"/>
        <w:bidi w:val="0"/>
        <w:jc w:val="left"/>
        <w:rPr/>
      </w:pPr>
      <w:r>
        <w:rPr/>
        <w:t> </w:t>
      </w:r>
    </w:p>
    <w:tbl>
      <w:tblPr>
        <w:tblW w:w="2578" w:type="dxa"/>
        <w:jc w:val="left"/>
        <w:tblInd w:w="0" w:type="dxa"/>
        <w:tblLayout w:type="fixed"/>
        <w:tblCellMar>
          <w:top w:w="28" w:type="dxa"/>
          <w:left w:w="28" w:type="dxa"/>
          <w:bottom w:w="28" w:type="dxa"/>
          <w:right w:w="28" w:type="dxa"/>
        </w:tblCellMar>
      </w:tblPr>
      <w:tblGrid>
        <w:gridCol w:w="421"/>
        <w:gridCol w:w="146"/>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ADEIA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Jones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bookmarkStart w:id="24" w:name="adea-ex10_1.htm"/>
      <w:bookmarkStart w:id="25" w:name="ksadeaex10_1"/>
      <w:bookmarkEnd w:id="24"/>
      <w:bookmarkEnd w:id="25"/>
      <w:r>
        <w:rPr/>
        <w:t> </w:t>
      </w:r>
      <w:r>
        <w:br w:type="page"/>
      </w:r>
    </w:p>
    <w:p>
      <w:pPr>
        <w:pStyle w:val="TextBody"/>
        <w:bidi w:val="0"/>
        <w:jc w:val="right"/>
        <w:rPr>
          <w:rFonts w:ascii="Times New Roman" w:hAnsi="Times New Roman"/>
          <w:sz w:val="20"/>
        </w:rPr>
      </w:pPr>
      <w:r>
        <w:rPr>
          <w:rFonts w:ascii="Times New Roman" w:hAnsi="Times New Roman"/>
          <w:i/>
          <w:color w:val="000000"/>
          <w:sz w:val="24"/>
        </w:rPr>
        <w:t>Execution Version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AMENDED AND RESTATED SEVERANCE AGREEMENT</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This Amended and Restated Severance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made by and between Adeia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effective as of [], 2026 (such date,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For purposes of this Agreement, the “</w:t>
      </w:r>
      <w:r>
        <w:rPr>
          <w:rFonts w:ascii="Times New Roman" w:hAnsi="Times New Roman"/>
          <w:b/>
          <w:i/>
          <w:color w:val="000000"/>
          <w:sz w:val="24"/>
        </w:rPr>
        <w:t>Company</w:t>
      </w:r>
      <w:r>
        <w:rPr>
          <w:rFonts w:ascii="Times New Roman" w:hAnsi="Times New Roman"/>
          <w:color w:val="000000"/>
          <w:sz w:val="20"/>
        </w:rPr>
        <w:t xml:space="preserve">” </w:t>
      </w:r>
      <w:r>
        <w:rPr>
          <w:rFonts w:ascii="Times New Roman" w:hAnsi="Times New Roman"/>
          <w:color w:val="000000"/>
          <w:sz w:val="24"/>
        </w:rPr>
        <w:t>shall mean the Company and any successor to the Company’s business and/or assets which assumes and agrees to perform this Agreement by operation of law or otherwise. This Agreement amends and restates and supersedes in its entirety the Severance Agreement by and between the Company and Executive, effective as of February 9, 2023 (the “</w:t>
      </w:r>
      <w:r>
        <w:rPr>
          <w:rFonts w:ascii="Times New Roman" w:hAnsi="Times New Roman"/>
          <w:b/>
          <w:i/>
          <w:color w:val="000000"/>
          <w:sz w:val="24"/>
        </w:rPr>
        <w:t>Prior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parties agree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 xml:space="preserve">. For purposes of this Agreement, the following terms shall have the following meanings: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Accounting Firm</w:t>
      </w:r>
      <w:r>
        <w:rPr>
          <w:color w:val="000000"/>
        </w:rPr>
        <w:t xml:space="preserve">” </w:t>
      </w:r>
      <w:r>
        <w:rPr>
          <w:rFonts w:ascii="Times New Roman" w:hAnsi="Times New Roman"/>
          <w:color w:val="000000"/>
          <w:sz w:val="24"/>
        </w:rPr>
        <w:t xml:space="preserve">has the meaning ascribed to such term in Section 3(g)(ii).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Accrued Obligations</w:t>
      </w:r>
      <w:r>
        <w:rPr>
          <w:color w:val="000000"/>
        </w:rPr>
        <w:t xml:space="preserve">” </w:t>
      </w:r>
      <w:r>
        <w:rPr>
          <w:rFonts w:ascii="Times New Roman" w:hAnsi="Times New Roman"/>
          <w:color w:val="000000"/>
          <w:sz w:val="24"/>
        </w:rPr>
        <w:t xml:space="preserve">has the meaning ascribed to such term in Section 3(a)(i).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 xml:space="preserve">means, with respect to any entity, any other entity that, directly or indirectly, controls, is controlled by or is under common control with, such entity. An entity is regarded as in control of another entity if it (i) owns or controls, directly or indirectly, more than 50% of the total combined voting power of such entity, (ii) has the right to appoint directors entitled to cast a majority of the votes on each matter presented to the board of directors or other governing body of such entity or (iii) has the power to direct or cause the direction of the management or policies of such entity, whether through the ownership of voting securities, by contract or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Agreement</w:t>
      </w:r>
      <w:r>
        <w:rPr>
          <w:color w:val="000000"/>
        </w:rPr>
        <w:t xml:space="preserve">” </w:t>
      </w:r>
      <w:r>
        <w:rPr>
          <w:rFonts w:ascii="Times New Roman" w:hAnsi="Times New Roman"/>
          <w:color w:val="000000"/>
          <w:sz w:val="24"/>
        </w:rPr>
        <w:t xml:space="preserve">has the meaning ascribed to such term in the preamble.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Base Salary</w:t>
      </w:r>
      <w:r>
        <w:rPr>
          <w:color w:val="000000"/>
        </w:rPr>
        <w:t xml:space="preserve">” </w:t>
      </w:r>
      <w:r>
        <w:rPr>
          <w:rFonts w:ascii="Times New Roman" w:hAnsi="Times New Roman"/>
          <w:color w:val="000000"/>
          <w:sz w:val="24"/>
        </w:rPr>
        <w:t xml:space="preserve">means Executive’s annual gross base salary from the Company or a Subsidiary for the applicable fiscal year before any deductions, exclusions, deferrals, or contributions on a tax-qualified or non-tax-qualified basis under any plan or program of the Company or a Subsidiary, and excluding bonuses and incentive compensation. If Executive is employed for less than a complete fiscal year, Base Salary for the fiscal year shall be the annualized gross base salary (subject to the adjustments described in the preceding sentence) based on Executive’s highest base salary rate during such fiscal year. Base Salary shall be determined under this Section 1(e) in accordance with the personnel records and established practices and procedures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 xml:space="preserve">means the Board of Directors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 xml:space="preserve">means any of the following: (i) Executive’s gross negligence or willful misconduct in the performance of his or her duties to the Company and its Affiliates; (ii)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Executive’s willful and habitual neglect of or failure to perform Executive’s duties of consulting or employment (which neglect or failure is not caused by Executive’s illness or mental or physical disability), which neglect or failure is not cured within thirty (30) days after written notice thereof is received by Executive (it being agreed that a failure of the Company and its Affiliates to meet performance objectives shall not, alone, constitute a failure by Executive to perform his duties); (iii) Executive’s commission of any material act of fraud, dishonesty or financial or accounting impropriety with respect to the Company and its Affiliates which results in a personal benefit to Executive; (iv) Executive’s failure to cooperate with the Company and its Affiliates in any investigation or formal proceeding initiated by a governmental authority or otherwise approved by the Board or the Audit Committee of the Board (which failure is not caused by Executive’s illness or mental or physical disability), which failure is not cured within thirty (30) days after written notice thereof is received by Executive; (v) Executive’s conviction of or plea of guilty or </w:t>
      </w:r>
      <w:r>
        <w:rPr>
          <w:rFonts w:ascii="Times New Roman" w:hAnsi="Times New Roman"/>
          <w:i/>
          <w:color w:val="000000"/>
          <w:sz w:val="24"/>
        </w:rPr>
        <w:t xml:space="preserve">nolo contendere </w:t>
      </w:r>
      <w:r>
        <w:rPr>
          <w:rFonts w:ascii="Times New Roman" w:hAnsi="Times New Roman"/>
          <w:color w:val="000000"/>
          <w:sz w:val="24"/>
        </w:rPr>
        <w:t>to felony criminal conduct (other than moving vehicle violations); (vi) Executive’s material violation of the Company’s Confidentiality and Proprietary Rights Agreement (as defined below) or similar agreement that Executive has entered into with the Company; or (vii) Executive’s material breach of any obligation or duty under this Agreement or material violation of any written employment or other Company policies that have previously been furnished to Executive, which breach or violation is not cured within thirty (30) days after written notice thereof is received by Executive, if such breach or violation is capable of being cured.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 xml:space="preserve">means and includes each of the following: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Securities Exchange Act of 1934, as amended (the “</w:t>
      </w:r>
      <w:r>
        <w:rPr>
          <w:rFonts w:ascii="Times New Roman" w:hAnsi="Times New Roman"/>
          <w:b/>
          <w:i/>
          <w:color w:val="000000"/>
          <w:sz w:val="24"/>
        </w:rPr>
        <w:t>Exchange Act</w:t>
      </w:r>
      <w:r>
        <w:rPr>
          <w:color w:val="000000"/>
        </w:rPr>
        <w:t>”</w:t>
      </w:r>
      <w:r>
        <w:rPr>
          <w:rFonts w:ascii="Times New Roman" w:hAnsi="Times New Roman"/>
          <w:color w:val="000000"/>
          <w:sz w:val="24"/>
        </w:rPr>
        <w:t xml:space="preserve">))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fifty percent (50%) of the total combined voting power of the Company’s securities outstanding immediately after such acquisition;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4"/>
        </w:rPr>
        <w:t>Successor Entity</w:t>
      </w:r>
      <w:r>
        <w:rPr>
          <w:color w:val="000000"/>
        </w:rPr>
        <w:t>”</w:t>
      </w:r>
      <w:r>
        <w:rPr>
          <w:rFonts w:ascii="Times New Roman" w:hAnsi="Times New Roman"/>
          <w:color w:val="000000"/>
          <w:sz w:val="24"/>
        </w:rPr>
        <w:t xml:space="preserve">)) directly or indirectly, at least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 majority of the combined voting power of the Successor Entity’s outstanding voting securities immediately after the transaction, and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After which no person or group beneficially owns voting securities representing fifty percent (50%) or more of the combined voting power of the Successor Entity; </w:t>
      </w:r>
      <w:r>
        <w:rPr>
          <w:rFonts w:ascii="Times New Roman" w:hAnsi="Times New Roman"/>
          <w:i/>
          <w:color w:val="000000"/>
          <w:sz w:val="24"/>
        </w:rPr>
        <w:t xml:space="preserve">provided, however, </w:t>
      </w:r>
      <w:r>
        <w:rPr>
          <w:rFonts w:ascii="Times New Roman" w:hAnsi="Times New Roman"/>
          <w:color w:val="000000"/>
          <w:sz w:val="24"/>
        </w:rPr>
        <w:t xml:space="preserve">that no person or group shall be treated for purposes of this Section 1(h)(ii)(B) as beneficially owning fifty percent (50%) or more of combined voting power of the Successor Entity solely as a result of the voting power held in the Company prior to the consummation of the transaction. </w:t>
      </w:r>
    </w:p>
    <w:p>
      <w:pPr>
        <w:pStyle w:val="TextBody"/>
        <w:bidi w:val="0"/>
        <w:spacing w:before="0" w:after="240"/>
        <w:jc w:val="both"/>
        <w:rPr>
          <w:rFonts w:ascii="Times New Roman" w:hAnsi="Times New Roman"/>
          <w:sz w:val="20"/>
        </w:rPr>
      </w:pPr>
      <w:r>
        <w:rPr>
          <w:rFonts w:ascii="Times New Roman" w:hAnsi="Times New Roman"/>
          <w:color w:val="000000"/>
          <w:sz w:val="24"/>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to the extent required by Section 409A of the Code, if a Change in Control would give rise to a payment or benefit event with respect to any payment or benefit hereunder that constitutes “nonqualified deferred compensation,” the transaction or event constituting the Change in Control must also constitute a “change in control event” (as defined in Treasury Regulation §1.409A-3(i)(5)) in order to give rise to the payment or benefit, to the extent required by Section 409A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CIC Qualifying Termination</w:t>
      </w:r>
      <w:r>
        <w:rPr>
          <w:color w:val="000000"/>
        </w:rPr>
        <w:t xml:space="preserve">” </w:t>
      </w:r>
      <w:r>
        <w:rPr>
          <w:rFonts w:ascii="Times New Roman" w:hAnsi="Times New Roman"/>
          <w:color w:val="000000"/>
          <w:sz w:val="24"/>
        </w:rPr>
        <w:t xml:space="preserve">means the termination of Executive’s employment by the Company and its Subsidiaries without Cause, or by Executive for Good Reason, within three (3) months prior to a Change in Control or within twelve (12) months following a Change in Control. It is intended that any CIC Qualifying Termination shall be a Separation from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COBRA</w:t>
      </w:r>
      <w:r>
        <w:rPr>
          <w:color w:val="000000"/>
        </w:rPr>
        <w:t xml:space="preserve">” </w:t>
      </w:r>
      <w:r>
        <w:rPr>
          <w:rFonts w:ascii="Times New Roman" w:hAnsi="Times New Roman"/>
          <w:color w:val="000000"/>
          <w:sz w:val="24"/>
        </w:rPr>
        <w:t xml:space="preserve">means the Consolidated Omnibus Budget Reconciliation Act of 1985, as amended.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i/>
          <w:color w:val="000000"/>
          <w:sz w:val="24"/>
        </w:rPr>
        <w:t>COBRA Coverage Period</w:t>
      </w:r>
      <w:r>
        <w:rPr>
          <w:color w:val="000000"/>
        </w:rPr>
        <w:t xml:space="preserve">” </w:t>
      </w:r>
      <w:r>
        <w:rPr>
          <w:rFonts w:ascii="Times New Roman" w:hAnsi="Times New Roman"/>
          <w:color w:val="000000"/>
          <w:sz w:val="24"/>
        </w:rPr>
        <w:t xml:space="preserve">has the meaning ascribed to such term in Section 3(a)(iii).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 xml:space="preserve">means the Internal Revenue Code of 1986, as amended, and the Treasury Regulations and other interpretive guidance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 xml:space="preserve">has the meaning ascribed to such term in the preamble.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Date of Termination</w:t>
      </w:r>
      <w:r>
        <w:rPr>
          <w:color w:val="000000"/>
        </w:rPr>
        <w:t xml:space="preserve">” </w:t>
      </w:r>
      <w:r>
        <w:rPr>
          <w:rFonts w:ascii="Times New Roman" w:hAnsi="Times New Roman"/>
          <w:color w:val="000000"/>
          <w:sz w:val="24"/>
        </w:rPr>
        <w:t xml:space="preserve">means the date of a Qualifying Termination or CIC Qualifying Termination, as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 xml:space="preserve">has the meaning ascribed to such term in the preamble.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Excise Tax</w:t>
      </w:r>
      <w:r>
        <w:rPr>
          <w:color w:val="000000"/>
        </w:rPr>
        <w:t xml:space="preserve">” </w:t>
      </w:r>
      <w:r>
        <w:rPr>
          <w:rFonts w:ascii="Times New Roman" w:hAnsi="Times New Roman"/>
          <w:color w:val="000000"/>
          <w:sz w:val="24"/>
        </w:rPr>
        <w:t xml:space="preserve">has the meaning ascribed to such term in Section 3(g)(i).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Good Reason</w:t>
      </w:r>
      <w:r>
        <w:rPr>
          <w:color w:val="000000"/>
        </w:rPr>
        <w:t xml:space="preserve">” </w:t>
      </w:r>
      <w:r>
        <w:rPr>
          <w:rFonts w:ascii="Times New Roman" w:hAnsi="Times New Roman"/>
          <w:color w:val="000000"/>
          <w:sz w:val="24"/>
        </w:rPr>
        <w:t xml:space="preserve">means the occurrence of any of the following events or conditions without Executive’s written consent: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material diminution in Executive’s authority, duties or responsibilities;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material diminution in Executive’s Base Salary or target annual bonus opportunity, unless such reduction is imposed across-the-board to senior management of the Company (and Executive and the Company agree that without limiting any argument that a lesser diminution is material, any diminution of ten percent (10%) or more measured against Executive’s Base Salary and target bonus opportunity as in effect on the Effective Date shall be deemed material for purposes of this clause (ii));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material change in the geographic location at which Executive must perform Executive’s duties (and the Company and Executive acknowledge and agree that a change in the geographic location at which Executive must perform Executive’s duties by more than forty-five (45) miles shall constitute a material change for purposes of this Agreement);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other action or inaction that constitutes a material breach by the Company or any successor or Affiliate of the Company of its obligations to Executive under this Agreement. Executive must provide written notice to the Company of the occurrence of any of the foregoing events or conditions without Executive’s written consent within ninety (90) days of Executive learning of the occurrence of such event. The Company or any successor or Affiliate of the Company shall have a period of thirty (30) days to cure such event or condition after receipt of written notice of such event from Executive. Any voluntary termination by Executive for “Good Reason” following such thirty (30) day cure period must occur no later than the date that is six (6) months following the occurrence of one of the foregoing events or conditions without Executive’s written consent.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JAMS</w:t>
      </w:r>
      <w:r>
        <w:rPr>
          <w:color w:val="000000"/>
        </w:rPr>
        <w:t xml:space="preserve">” </w:t>
      </w:r>
      <w:r>
        <w:rPr>
          <w:rFonts w:ascii="Times New Roman" w:hAnsi="Times New Roman"/>
          <w:color w:val="000000"/>
          <w:sz w:val="24"/>
        </w:rPr>
        <w:t xml:space="preserve">has the meaning ascribed to such term in Section 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Payment</w:t>
      </w:r>
      <w:r>
        <w:rPr>
          <w:color w:val="000000"/>
        </w:rPr>
        <w:t xml:space="preserve">” </w:t>
      </w:r>
      <w:r>
        <w:rPr>
          <w:rFonts w:ascii="Times New Roman" w:hAnsi="Times New Roman"/>
          <w:color w:val="000000"/>
          <w:sz w:val="24"/>
        </w:rPr>
        <w:t xml:space="preserve">has the meaning ascribed to such term in Section 3(g)(i).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Permanent Disability</w:t>
      </w:r>
      <w:r>
        <w:rPr>
          <w:color w:val="000000"/>
        </w:rPr>
        <w:t xml:space="preserve">” </w:t>
      </w:r>
      <w:r>
        <w:rPr>
          <w:rFonts w:ascii="Times New Roman" w:hAnsi="Times New Roman"/>
          <w:color w:val="000000"/>
          <w:sz w:val="24"/>
        </w:rPr>
        <w:t xml:space="preserve">means Executive’s inability to perform the essential functions of Executive’s position, with or without reasonable accommodation, for a period of at least one hundred twenty (120) consecutive days because of a physical or mental impairment.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Qualifying Termination</w:t>
      </w:r>
      <w:r>
        <w:rPr>
          <w:color w:val="000000"/>
        </w:rPr>
        <w:t xml:space="preserve">” </w:t>
      </w:r>
      <w:r>
        <w:rPr>
          <w:rFonts w:ascii="Times New Roman" w:hAnsi="Times New Roman"/>
          <w:color w:val="000000"/>
          <w:sz w:val="24"/>
        </w:rPr>
        <w:t xml:space="preserve">means the termination of Executive’s employment by the Company and its Subsidiaries without Cause more than three (3) months prior to a Change in Control or more than twelve (12) months following a Change in Control. It is intended that any Qualifying Termination shall be a Separation from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Release</w:t>
      </w:r>
      <w:r>
        <w:rPr>
          <w:color w:val="000000"/>
        </w:rPr>
        <w:t xml:space="preserve">” </w:t>
      </w:r>
      <w:r>
        <w:rPr>
          <w:rFonts w:ascii="Times New Roman" w:hAnsi="Times New Roman"/>
          <w:color w:val="000000"/>
          <w:sz w:val="24"/>
        </w:rPr>
        <w:t xml:space="preserve">has the meaning ascribed to such term in Section 3(d).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Rules</w:t>
      </w:r>
      <w:r>
        <w:rPr>
          <w:color w:val="000000"/>
        </w:rPr>
        <w:t xml:space="preserve">” </w:t>
      </w:r>
      <w:r>
        <w:rPr>
          <w:rFonts w:ascii="Times New Roman" w:hAnsi="Times New Roman"/>
          <w:color w:val="000000"/>
          <w:sz w:val="24"/>
        </w:rPr>
        <w:t xml:space="preserve">has the meaning ascribed to such term in Section 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Separation from Service</w:t>
      </w:r>
      <w:r>
        <w:rPr>
          <w:color w:val="000000"/>
        </w:rPr>
        <w:t xml:space="preserve">” </w:t>
      </w:r>
      <w:r>
        <w:rPr>
          <w:rFonts w:ascii="Times New Roman" w:hAnsi="Times New Roman"/>
          <w:color w:val="000000"/>
          <w:sz w:val="24"/>
        </w:rPr>
        <w:t xml:space="preserve">has the meaning ascribed to such term in Treasury Regulation section 1.409A-l(h) and generally means termination of employment from the Company and its Subsidiaries.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Stock Awards</w:t>
      </w:r>
      <w:r>
        <w:rPr>
          <w:color w:val="000000"/>
        </w:rPr>
        <w:t xml:space="preserve">” </w:t>
      </w:r>
      <w:r>
        <w:rPr>
          <w:rFonts w:ascii="Times New Roman" w:hAnsi="Times New Roman"/>
          <w:color w:val="000000"/>
          <w:sz w:val="24"/>
        </w:rPr>
        <w:t xml:space="preserve">means all stock options, restricted stock units and such other equity-based awards granted pursuant to the Company’s equity award plans or agreements.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 xml:space="preserve">means any corporation, partnership, joint venture, limited liability company, or other entity (other than the Company) in an unbroken chain of entities beginning with the Company if each of the entities other than the last entity in the unbroken chain owns directly or indirectly more than 50% of the total combined voting power of another corporation or other entity in such chain.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Term</w:t>
      </w:r>
      <w:r>
        <w:rPr>
          <w:color w:val="000000"/>
        </w:rPr>
        <w:t xml:space="preserve">” </w:t>
      </w:r>
      <w:r>
        <w:rPr>
          <w:rFonts w:ascii="Times New Roman" w:hAnsi="Times New Roman"/>
          <w:color w:val="000000"/>
          <w:sz w:val="24"/>
        </w:rPr>
        <w:t xml:space="preserve">has the meaning ascribed to such term in Section 2(a).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Term.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term of this Agreement (the “</w:t>
      </w:r>
      <w:r>
        <w:rPr>
          <w:rFonts w:ascii="Times New Roman" w:hAnsi="Times New Roman"/>
          <w:b/>
          <w:i/>
          <w:color w:val="000000"/>
          <w:sz w:val="24"/>
        </w:rPr>
        <w:t>Term</w:t>
      </w:r>
      <w:r>
        <w:rPr>
          <w:color w:val="000000"/>
        </w:rPr>
        <w:t>”</w:t>
      </w:r>
      <w:r>
        <w:rPr>
          <w:rFonts w:ascii="Times New Roman" w:hAnsi="Times New Roman"/>
          <w:color w:val="000000"/>
          <w:sz w:val="24"/>
        </w:rPr>
        <w:t xml:space="preserve">) shall continue until February 9, 2027, except to the extent the Term is automatically extended pursuant to Section 2(b). Thereafter, this Agreement shall automatically renew for successive one-year periods unless the Board gives written notice prior to the expiration of the then-effective Term of the Company’s intention not to renew. Notwithstanding the foregoing, the Term shall expire on the date on which all payments or benefits required to be made or provided hereunder have been made or provided in their entirety, except to the extent the Term is automatically extended pursuant to Section 2(b).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the provisions of Section 2(a), the then-effective Term shall automatically be extended in the event that the Term would otherwise expire during the period commencing upon the first public announcement of a definitive agreement that would result in a Change in Control (even though still subject to approval of the Company’s stockholders and other conditions and contingencies) and ending on the date that is twelve (12) months following the occurrence of such Change in Control. Such extension shall be upon the terms and conditions of this Agreement as then in effect, provided that such extension of the Term shall expire upon the first to occur of the first public announcement of the termination of such definitive agreement or the date that is twelve (12) months following the occurrence of such Change in Control.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the provisions of Sections 2(a) and (b), the obligation of the Company to make payments or provide benefits pursuant to this Agreement to which Executive has acquired a right in accordance with the applicable provisions of this Agreement prior to the expiration of the Term shall survive the termination of this Agreement until such payments and benefits have been provided in full.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Severance.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Qualifying Termination (Not in Connection with a Change in Control)</w:t>
      </w:r>
      <w:r>
        <w:rPr>
          <w:rFonts w:ascii="Times New Roman" w:hAnsi="Times New Roman"/>
          <w:color w:val="000000"/>
          <w:sz w:val="24"/>
        </w:rPr>
        <w:t xml:space="preserve">. If Executive experiences a Qualifying Termination, Executive shall be entitled to receive the payments and benefits provided below, which, with respect to clause (ii), will be payable in a lump sum on the day that is sixty (60) days following the Date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pay to Executive Executive’s fully earned but unpaid Base Salary, when due, through the Date of Termination at the rate then in effect, reimbursement of business expenses incurred prior to the Date of Termination and properly submitted in accordance with Company policy, plus all other benefits, if any, under any Company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group retirement plan, nonqualified deferred compensation plan, equity award plan or agreement (other than any such plan or agreement pertaining to Stock Awards, whose treatment is prescribed by Section 3(a)(iv) below), health benefits plan or other Company group benefit plan to which Executive may be entitled pursuant to the terms of such plans or agreements as of the Date of Termination (the “</w:t>
      </w:r>
      <w:r>
        <w:rPr>
          <w:rFonts w:ascii="Times New Roman" w:hAnsi="Times New Roman"/>
          <w:b/>
          <w:i/>
          <w:color w:val="000000"/>
          <w:sz w:val="24"/>
        </w:rPr>
        <w:t>Accrued Obligations</w:t>
      </w:r>
      <w:r>
        <w:rPr>
          <w:color w:val="000000"/>
        </w:rPr>
        <w:t>”</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Subject to Section 3(d) and Executive’s continued compliance with Section 7, Executive shall be entitled to receive severance pay in an amount equal to one hundred percent (100%) multiplied by the sum of (x) Executive’s annual Base Salary as in effect immediately prior to the Date of Termination, plus (y) Executive’s annual bonus for the fiscal year in which the Date of Termination occurs</w:t>
      </w:r>
      <w:r>
        <w:rPr>
          <w:color w:val="000000"/>
        </w:rPr>
        <w:t xml:space="preserve"> </w:t>
      </w:r>
      <w:r>
        <w:rPr>
          <w:rFonts w:ascii="Times New Roman" w:hAnsi="Times New Roman"/>
          <w:color w:val="000000"/>
          <w:sz w:val="24"/>
        </w:rPr>
        <w:t xml:space="preserve">(based on target achievement of performance metrics) prorated based on the number of days that have elapsed as of the Date of Termination for the fiscal year in which the Date of Termination occurs;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Subject to Section 3(d) and Executive’s continued compliance with Section 7, for the period beginning on the Date of Termination and ending on the date which is twelve (12) full months following the Date of Termination (or, if earlier, the date on which the applicable continuation period under COBRA expires) (the “</w:t>
      </w:r>
      <w:r>
        <w:rPr>
          <w:rFonts w:ascii="Times New Roman" w:hAnsi="Times New Roman"/>
          <w:b/>
          <w:i/>
          <w:color w:val="000000"/>
          <w:sz w:val="24"/>
        </w:rPr>
        <w:t>COBRA Coverage Period</w:t>
      </w:r>
      <w:r>
        <w:rPr>
          <w:color w:val="000000"/>
        </w:rPr>
        <w:t>”</w:t>
      </w:r>
      <w:r>
        <w:rPr>
          <w:rFonts w:ascii="Times New Roman" w:hAnsi="Times New Roman"/>
          <w:color w:val="000000"/>
          <w:sz w:val="24"/>
        </w:rPr>
        <w:t xml:space="preserve">), the Company shall continue to provide Executive and Executive’s eligible dependents who were covered under the Company’s health insurance plans as of the Date of Termination with health (including medical and dental) insurance benefits substantially similar to those provided to Executive and Executive’s dependents immediately prior to the Date of Termination. If any of the Company’s health benefits are self-funded as of the Date of Termination, or if the Company cannot provide the foregoing benefits in a manner that is exempt from or otherwise compliant with applicable law or the provision of such benefits may result in the Company incurring penalties under applicable law (including, without limitation, Section 409A of the Code and Section 2716 of the Public Health Service Act), instead of providing continued health insurance benefits as set forth above, the Company shall instead pay to Executive an amount equal to the monthly premium payment for Executive and Executive’s eligible dependents who were covered under the Company’s health plans as of the Date of Termination (calculated by reference to the premium as of the Date of Termination) as currently taxable compensation in substantially equal monthly installments over the COBRA Coverage Period (or the remaining portion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Subject to Section 3(d) and Executive’s continued compliance with Section 7, each of Executive’s outstanding Stock Awards scheduled to vest within twelve (12) months following the Date of Termination (or for any performance-based Stock Awards, (x) those with a multi-year performance period that ends during such period or (y) to the extent any such Stock Award contains performance goals measured against fiscal year performance within a multi-year performance period, those with any such fiscal year(s) that have been completed on or prior to the Date of Termination) shall be accelerated and shall vest and become exercisable, as applicable, effective as of the Date of Termination;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any performance-based Stock Awards described above will, except to the extent alternative acceleration is specifically provided for pursuant to the grant documents, vest as to (A) actual performance achievement, with respect to any performance goals measured against fiscal year performance within an applicable multi-year performance period to the extent any such fiscal year(s) have previously been completed on or prior to the Date of Termination, and (B) the greater of target performance achievement and actual performance achievement (to the extent determinable as of the Date of Termination, as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determined in the sole discretion of the Company), with respect to any other performance goals;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payment or settlement of such Stock Awards may be delayed as provided in the grant documents to the extent required by Section 409A of the Code. Nothing in this Section 3(a)(iv)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 other provision of this Agreement to the contrary, any severance benefits payable to Executive under this Section 3(a) shall be reduced by any severance benefits payable by the Company or an Affiliate of the Company to Executive under any other policy, plan, program, agreement or arrangement, including, without limitation, any severance agreement between Executive and any entity.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CIC Qualifying Termination (In Connection with a Change in Control)</w:t>
      </w:r>
      <w:r>
        <w:rPr>
          <w:rFonts w:ascii="Times New Roman" w:hAnsi="Times New Roman"/>
          <w:color w:val="000000"/>
          <w:sz w:val="24"/>
        </w:rPr>
        <w:t xml:space="preserve">. If Executive experiences a CIC Qualifying Termination, Executive shall be entitled to receive the benefits provided below, which, with respect to clause (ii), will be payable in a lump sum on the day that is sixty (60) days following the Date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pay to Executive the Accrued Obligations;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Section 3(d) and Executive’s continued compliance with Section 7, Executive shall be entitled to receive severance pay in an amount equal to one hundred percent (100%) multiplied by the sum of (x) Executive’s annual Base Salary as in effect immediately prior to the Date of Termination, plus (y) Executive’s annual bonus for the fiscal year in which the Date of Termination occurs (based on target achievement of performance metrics);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Section 3(d) and Executive’s continued compliance with Section 7, for the COBRA Coverage Period, the Company shall continue to provide Executive and Executive’s eligible dependents who were covered under the Company’s health insurance plans as of the Date of Termination with health (including medical and dental) insurance benefits substantially similar to those provided to Executive and Executive’s dependents immediately prior to the Date of Termination. If any of the Company’s health benefits are self-funded as of the Date of Termination, or if the Company cannot provide the foregoing benefits in a manner that is exempt from or otherwise compliant with applicable law or the provision of such benefits may result in the Company incurring penalties under applicable law (including, without limitation, Section 409A of the Code and Section 2716 of the Public Health Service Act), instead of providing continued health insurance benefits as set forth above, the Company shall instead pay to Executive an amount equal to the monthly premium payment for Executive and Executive’s eligible dependents who were covered under the Company’s health plans as of the Date of Termination (calculated by reference to the premium as of the Date of Termination) as currently taxable compensation in substantially equal monthly installments over the COBRA Coverage Period (or the remaining portion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Section 3(d) and Executive’s continued compliance with Section 7, each of Executive’s outstanding Stock Awards shall be accelerated in full and shall vest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become exercisable, as applicable, effective as of the later of (A) the Date of Termination or (B) the date of the Change in Control;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any performance-based Stock Awards will, except to the extent alternative acceleration is specifically provided for pursuant to the grant documents, vest as to (1) actual performance achievement, with respect to any performance goals measured against fiscal year performance within an applicable multi-year performance period to the extent any such fiscal year(s) have previously been completed on or prior to the date of the Change in Control and (2) the greater of target performance achievement and actual performance achievement (to the extent determinable as of the date of the Change in Control, as determined in the sole discretion of the Company), with respect to any other performance goals; </w:t>
      </w:r>
      <w:r>
        <w:rPr>
          <w:rFonts w:ascii="Times New Roman" w:hAnsi="Times New Roman"/>
          <w:i/>
          <w:color w:val="000000"/>
          <w:sz w:val="24"/>
        </w:rPr>
        <w:t>provided, further,</w:t>
      </w:r>
      <w:r>
        <w:rPr>
          <w:color w:val="000000"/>
        </w:rPr>
        <w:t xml:space="preserve"> </w:t>
      </w:r>
      <w:r>
        <w:rPr>
          <w:rFonts w:ascii="Times New Roman" w:hAnsi="Times New Roman"/>
          <w:color w:val="000000"/>
          <w:sz w:val="24"/>
        </w:rPr>
        <w:t>that payment or settlement of such Stock Awards may be delayed as provided in the grant documents to the extent required by Section 409A of the Code. Nothing in this Section 3(b)(iv)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 other provision of this Agreement to the contrary, any severance benefits payable to Executive under this Section 3(b) shall be reduced by any severance benefits payable by the Company or an Affiliate of the Company to Executive under any other policy, plan, program, agreement or arrangement, including, without limitation, any severance agreement between Executive and any entity.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Other Terminations</w:t>
      </w:r>
      <w:r>
        <w:rPr>
          <w:rFonts w:ascii="Times New Roman" w:hAnsi="Times New Roman"/>
          <w:color w:val="000000"/>
          <w:sz w:val="24"/>
        </w:rPr>
        <w:t xml:space="preserve">. If Executive’s employment is terminated by the Company for Cause, by Executive without Good Reason, by Executive with Good Reason more than three (3) months prior to a Change in Control or more than twelve (12) months following a Change in Control, or as a result of Executive’s death or Permanent Disability, the Company shall not have any other or further obligations to Executive under this Agreement (including any financial obligations) except that Executive shall be entitled to receive the Accrued Obligations. The foregoing shall be in addition to, and not in lieu of, any and all other rights and remedies which may be available to the Company under the circumstances, whether at law or in equity.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Release</w:t>
      </w:r>
      <w:r>
        <w:rPr>
          <w:rFonts w:ascii="Times New Roman" w:hAnsi="Times New Roman"/>
          <w:color w:val="000000"/>
          <w:sz w:val="24"/>
        </w:rPr>
        <w:t>. As a condition to Executive’s receipt of any post-termination benefits pursuant to Section 3(a) or Section 3(b) above (other than the Accrued Obligations), Executive shall execute and not revoke a general release of all claims in favor of the Company (the “</w:t>
      </w:r>
      <w:r>
        <w:rPr>
          <w:rFonts w:ascii="Times New Roman" w:hAnsi="Times New Roman"/>
          <w:b/>
          <w:i/>
          <w:color w:val="000000"/>
          <w:sz w:val="24"/>
        </w:rPr>
        <w:t>Release</w:t>
      </w:r>
      <w:r>
        <w:rPr>
          <w:color w:val="000000"/>
        </w:rPr>
        <w:t>”</w:t>
      </w:r>
      <w:r>
        <w:rPr>
          <w:rFonts w:ascii="Times New Roman" w:hAnsi="Times New Roman"/>
          <w:color w:val="000000"/>
          <w:sz w:val="24"/>
        </w:rPr>
        <w:t xml:space="preserve">) in the form substantially similar to that attached hereto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(and any applicable revocation period applicable to such Release shall have expired) within the sixty (60) day period following the Date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Exclusive Remedy</w:t>
      </w:r>
      <w:r>
        <w:rPr>
          <w:rFonts w:ascii="Times New Roman" w:hAnsi="Times New Roman"/>
          <w:color w:val="000000"/>
          <w:sz w:val="24"/>
        </w:rPr>
        <w:t xml:space="preserve">. Except as otherwise expressly required by law (e.g., COBRA) or as specifically provided herein, all of Executive’s rights to salary, severance, benefits, bonuses and other amounts hereunder (if any) accruing after the termination of Executive’s employment shall cease upon such termination. In the event of a termination of Executive’s employment with the Company, and except in the event of violation of applicable law by the Company relating to Executive’s employment or the termination thereof, Executive’s sole remedy shall be to receive the payments and benefits described in this Section 3.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 Mitigation</w:t>
      </w:r>
      <w:r>
        <w:rPr>
          <w:rFonts w:ascii="Times New Roman" w:hAnsi="Times New Roman"/>
          <w:color w:val="000000"/>
          <w:sz w:val="24"/>
        </w:rPr>
        <w:t xml:space="preser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 employment or by retirement benefits;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loans, advances or other amounts owed by Executive to the Company may be offset by the Company and its Affiliates against amounts payable to Executive under this Section 3.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Best Pay Provision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If any payment or benefit Executive would receive under this Agreement, when combined with any other payment or benefit Executive receives pursuant to the termination of Executive’s employment with the Company and its Affiliates (“</w:t>
      </w:r>
      <w:r>
        <w:rPr>
          <w:rFonts w:ascii="Times New Roman" w:hAnsi="Times New Roman"/>
          <w:b/>
          <w:i/>
          <w:color w:val="000000"/>
          <w:sz w:val="24"/>
        </w:rPr>
        <w:t>Payment</w:t>
      </w:r>
      <w:r>
        <w:rPr>
          <w:color w:val="000000"/>
        </w:rPr>
        <w:t>”</w:t>
      </w:r>
      <w:r>
        <w:rPr>
          <w:rFonts w:ascii="Times New Roman" w:hAnsi="Times New Roman"/>
          <w:color w:val="000000"/>
          <w:sz w:val="24"/>
        </w:rPr>
        <w:t>), would (A) constitute a “parachute payment” within the meaning of Section 280G of the Code, and (B) but for this sentence, be subject to the excise tax imposed by Section 4999 of the Code (the “</w:t>
      </w:r>
      <w:r>
        <w:rPr>
          <w:rFonts w:ascii="Times New Roman" w:hAnsi="Times New Roman"/>
          <w:b/>
          <w:i/>
          <w:color w:val="000000"/>
          <w:sz w:val="24"/>
        </w:rPr>
        <w:t>Excise Tax</w:t>
      </w:r>
      <w:r>
        <w:rPr>
          <w:color w:val="000000"/>
        </w:rPr>
        <w:t>”</w:t>
      </w:r>
      <w:r>
        <w:rPr>
          <w:rFonts w:ascii="Times New Roman" w:hAnsi="Times New Roman"/>
          <w:color w:val="000000"/>
          <w:sz w:val="24"/>
        </w:rPr>
        <w:t xml:space="preserve">), then such Payment shall be either (1) the full amount of such Payment or (2)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(All determinations required to be made under this Section 3(g), including whether and to what extent the Payments shall be reduced and the assumptions to be utilized in arriving at such determination, shall be made by any nationally recognized certified public accounting firm as may be designated by the Company, in its sole discretion (the “</w:t>
      </w:r>
      <w:r>
        <w:rPr>
          <w:rFonts w:ascii="Times New Roman" w:hAnsi="Times New Roman"/>
          <w:b/>
          <w:i/>
          <w:color w:val="000000"/>
          <w:sz w:val="24"/>
        </w:rPr>
        <w:t>Accounting Firm</w:t>
      </w:r>
      <w:r>
        <w:rPr>
          <w:color w:val="000000"/>
        </w:rPr>
        <w:t>”</w:t>
      </w:r>
      <w:r>
        <w:rPr>
          <w:rFonts w:ascii="Times New Roman" w:hAnsi="Times New Roman"/>
          <w:color w:val="000000"/>
          <w:sz w:val="24"/>
        </w:rPr>
        <w:t xml:space="preserve">). The Accounting Firm shall provide detailed supporting calculations both to Executive and the Company at such time as is requested by the Company. All fees and expenses of the Accounting Firm shall be borne solely by the Company. Any determination by the Accounting Firm shall be binding upon Executive and the Company. For purposes of making the calculations required by this Section 3(g), the Accounting Firm may make reasonable assumptions and approximations concerning applicable taxes and may rely on reasonable, good-faith interpretations concerning the application of Sections 280G and 4999 of the Code.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Return of the Company’s Property</w:t>
      </w:r>
      <w:r>
        <w:rPr>
          <w:rFonts w:ascii="Times New Roman" w:hAnsi="Times New Roman"/>
          <w:color w:val="000000"/>
          <w:sz w:val="24"/>
        </w:rPr>
        <w:t xml:space="preserve">. If Executive’s employment is terminated for any reason, the Company shall have the right, at its option, to require Executive to vacate Executive’s offices prior to or on the effective date of termination and to cease all activities on the Company’s behalf. Upon the termination of Executive’s employment in any manner, as a condition to Executive’s receipt of any post- termination benefits described in this Agreement, Executive shall immediately surrender to the Company all lists, books and records of, or in connection with, the Company’s business, and all other property belonging to the Company and its Affiliates, it being distinctly understood that all such lists, books and records, and other documents, are the property of the Company and its Affiliates. Executive shall deliver to the Company a signed statement certifying compliance with this Section 4 prior to the receipt of any post-termination benefits described in this Agreement.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Agreement to Arbitrate</w:t>
      </w:r>
      <w:r>
        <w:rPr>
          <w:rFonts w:ascii="Times New Roman" w:hAnsi="Times New Roman"/>
          <w:color w:val="000000"/>
          <w:sz w:val="24"/>
        </w:rPr>
        <w:t>. Any dispute, claim or controversy based on, arising out of or relating to Executive’s employment or this Agreement shall be settled by final and binding arbitration in San Jose, California, before a single neutral arbitrator in accordance with the Employment Arbitration Rules and Procedures (the “</w:t>
      </w:r>
      <w:r>
        <w:rPr>
          <w:rFonts w:ascii="Times New Roman" w:hAnsi="Times New Roman"/>
          <w:b/>
          <w:i/>
          <w:color w:val="000000"/>
          <w:sz w:val="24"/>
        </w:rPr>
        <w:t>Rules</w:t>
      </w:r>
      <w:r>
        <w:rPr>
          <w:color w:val="000000"/>
        </w:rPr>
        <w:t>”</w:t>
      </w:r>
      <w:r>
        <w:rPr>
          <w:rFonts w:ascii="Times New Roman" w:hAnsi="Times New Roman"/>
          <w:color w:val="000000"/>
          <w:sz w:val="24"/>
        </w:rPr>
        <w:t>) of Judicial Arbitration and Mediation Services (“</w:t>
      </w:r>
      <w:r>
        <w:rPr>
          <w:rFonts w:ascii="Times New Roman" w:hAnsi="Times New Roman"/>
          <w:b/>
          <w:i/>
          <w:color w:val="000000"/>
          <w:sz w:val="24"/>
        </w:rPr>
        <w:t>JAMS</w:t>
      </w:r>
      <w:r>
        <w:rPr>
          <w:color w:val="000000"/>
        </w:rPr>
        <w:t>”</w:t>
      </w:r>
      <w:r>
        <w:rPr>
          <w:rFonts w:ascii="Times New Roman" w:hAnsi="Times New Roman"/>
          <w:color w:val="000000"/>
          <w:sz w:val="24"/>
        </w:rPr>
        <w:t xml:space="preserve">), and judgment on the award rendered by the arbitrator may be entered in any court having jurisdiction. The Rules may be found online at www.jamsadr.com. Arbitration may be compelled pursuant to the California Arbitration Act (Code of Civil Procedure §§ 1280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If the parties are unable to agree upon an arbitrator, one shall be appointed by JAMS in accordance with its Rules. Each party shall pay the fees of its own attorneys, the expenses of its witnesses and all other expenses connected with presenting its case;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Executive and the Company agree that, to the extent permitted by law, the arbitrator may, in his or her discretion, award reasonable attorneys’ fees to the prevailing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the prevailing party shall be reimbursed for such fees, costs and expenses within forty-five (45) days following any such award, but in no event later than the last day of the Executive’s taxable year following the taxable year in which the fees, costs and expenses were incurred;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the parties’ obligations pursuant to this sentence shall terminate on the tenth (10th) anniversary of the date of Executive’s termination of employment;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Executive shall retain the right to file administrative charges with or seek relief through any government agency of competent jurisdiction, and to participate in any government investigation, including but not limited to (a) claims for workers’ compensation, state disability insurance or unemployment insurance; (b) claims for unpaid wages or waiting time penalties brought before the California Division of Labor Standards Enforcement;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any appeal from an award or from denial of an award of wages and/or waiting time penalties shall be arbitrated pursuant to the terms of this Agreement; and (c) claims for administrative relief from the United States Equal Employment Opportunity Commission and/or the California Department of Fair Employment and Housing (or any similar agency in any applicable jurisdiction other than California);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Executive shall not be entitled to obtain any monetary relief through such agencies other than workers’ compensation benefits or unemployment insurance benefits. Other costs of the arbitration, including the cost of any record or transcripts of the arbitration, JAMS’ administrative fees, the fee of the arbitrator, and all other fees and costs, shall be borne by the Company. This Section 5 is intended to be the exclusive method for resolving any and all claims by the parties against each other for payment of damages under this Agreement or relating to Executive’s employment;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neither this Agreement nor the submission to arbitration shall limit the parties’ right to seek provisional relief, including without limitation injunctive relief, in any court of competent jurisdiction pursuant to California Code of Civil Procedure § 1281.8 or any similar statute of an applicable jurisdiction. Seeking any such relief shall not be deemed to be a waiver of such party’s right to compel arbitration. Both Executive and the Company expressly waive their right to a jury trial.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At-Will Employment Relationship</w:t>
      </w:r>
      <w:r>
        <w:rPr>
          <w:rFonts w:ascii="Times New Roman" w:hAnsi="Times New Roman"/>
          <w:color w:val="000000"/>
          <w:sz w:val="24"/>
        </w:rPr>
        <w:t xml:space="preserve">. Executive’s employment with the Company is at-will and not for any specified period and may be terminated at any time, with or without Cause or advance notice, by either Executive or the Company. Any change to the at-will employment relationship must be by specific, written agreement signed by Executive and an authorized representative of the Company. Nothing in this Agreement is intended to or should be construed to contradict, modify or alter this at-will relationship.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Confidentiality and Proprietary Rights</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Company shall be entitled to cease all severance payments and benefits to Executive in the event of Executive’s material breach of either of the Confidentiality and Proprietary Information, Inventions and Ethics Agreements (defined below). Executive and the Company have executed the Company’s Confidentiality and Proprietary Information, Inventions and Ethics Agreements, copies of which are attached to this Agreement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Exhibit C</w:t>
      </w:r>
      <w:r>
        <w:rPr>
          <w:rFonts w:ascii="Times New Roman" w:hAnsi="Times New Roman"/>
          <w:color w:val="000000"/>
          <w:sz w:val="24"/>
        </w:rPr>
        <w:t>, respectively, incorporated herein by reference (collectively, the “</w:t>
      </w:r>
      <w:r>
        <w:rPr>
          <w:rFonts w:ascii="Times New Roman" w:hAnsi="Times New Roman"/>
          <w:b/>
          <w:i/>
          <w:color w:val="000000"/>
          <w:sz w:val="24"/>
        </w:rPr>
        <w:t>Confidentiality and Proprietary Rights Agreements</w:t>
      </w:r>
      <w:r>
        <w:rPr>
          <w:color w:val="000000"/>
        </w:rPr>
        <w:t>”</w:t>
      </w:r>
      <w:r>
        <w:rPr>
          <w:rFonts w:ascii="Times New Roman" w:hAnsi="Times New Roman"/>
          <w:color w:val="000000"/>
          <w:sz w:val="24"/>
        </w:rPr>
        <w:t>). Nothing in this Agreement or in the Confidentiality and Proprietary Rights Agreements shall be deemed to restrict Executive’s right to communicate directly with, cooperate with, provide information to, or report possible violations of federal law or regulation to, any governmental agency or entity in accordance with the provisions of and rules promulgated under Section 21F of the Exchange Act or Section 806 of the Sarbanes-Oxley Act of 2002, or any other whistleblower protection provisions of state or federal law or regulation, including, but not limited to, the U.S. Securities and Exchange Commission, the U.S. Commodity Futures Trading Commission, or the U.S. Department of Justice.</w:t>
      </w:r>
      <w:r>
        <w:rPr>
          <w:color w:val="000000"/>
        </w:rPr>
        <w:t xml:space="preserve"> </w:t>
      </w:r>
      <w:r>
        <w:rPr>
          <w:rFonts w:ascii="Times New Roman" w:hAnsi="Times New Roman"/>
          <w:color w:val="000000"/>
          <w:sz w:val="24"/>
        </w:rPr>
        <w:t xml:space="preserve">Executive is hereby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General Provisions.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no such assumption shall relieve the Company of its obligations hereunder;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the failure of any such successor to so assume this Agreement shall constitute a material breach of this Agreement. Executive shall not sell, transfer, assign, pledge, or hypothecate any of Executive’s rights or obligations under this Agreement, as applicable. Executive shall not borrow against Executive’s interest in this Agreement. This Agreement shall inure to the benefit of and be enforceable by Executive’s personal or legal representatives, executors, administrators, successors, heirs, distributees, devisees and legatees.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unenforceable provision shall be deemed deleted, and the validity and enforceability of the remaining provisions shall not be affected thereby.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both"/>
        <w:rPr/>
      </w:pPr>
      <w:r>
        <w:rPr>
          <w:rFonts w:ascii="Times New Roman" w:hAnsi="Times New Roman"/>
          <w:color w:val="000000"/>
          <w:sz w:val="24"/>
          <w:u w:val="single"/>
        </w:rPr>
        <w:t>Interpretation; Construction</w:t>
      </w:r>
      <w:r>
        <w:rPr>
          <w:rFonts w:ascii="Times New Roman" w:hAnsi="Times New Roman"/>
          <w:color w:val="000000"/>
          <w:sz w:val="24"/>
        </w:rPr>
        <w:t xml:space="preserve">.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8.4</w:t>
      </w:r>
    </w:p>
    <w:p>
      <w:pPr>
        <w:pStyle w:val="TextBody"/>
        <w:bidi w:val="0"/>
        <w:spacing w:before="0" w:after="240"/>
        <w:jc w:val="both"/>
        <w:rPr/>
      </w:pPr>
      <w:r>
        <w:rPr>
          <w:rFonts w:ascii="Times New Roman" w:hAnsi="Times New Roman"/>
          <w:color w:val="000000"/>
          <w:sz w:val="24"/>
          <w:u w:val="single"/>
        </w:rPr>
        <w:t>Governing Law and Venue</w:t>
      </w:r>
      <w:r>
        <w:rPr>
          <w:rFonts w:ascii="Times New Roman" w:hAnsi="Times New Roman"/>
          <w:color w:val="000000"/>
          <w:sz w:val="24"/>
        </w:rPr>
        <w:t xml:space="preserve">. This Agreement will be governed by and construed in accordance with the laws of the United States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8.5</w:t>
      </w:r>
    </w:p>
    <w:p>
      <w:pPr>
        <w:pStyle w:val="TextBody"/>
        <w:bidi w:val="0"/>
        <w:spacing w:before="0" w:after="240"/>
        <w:jc w:val="both"/>
        <w:rPr/>
      </w:pPr>
      <w:r>
        <w:rPr>
          <w:rFonts w:ascii="Times New Roman" w:hAnsi="Times New Roman"/>
          <w:color w:val="000000"/>
          <w:sz w:val="24"/>
          <w:u w:val="single"/>
        </w:rPr>
        <w:t>Notices.</w:t>
      </w:r>
      <w:r>
        <w:rPr>
          <w:color w:val="000000"/>
        </w:rPr>
        <w:t xml:space="preserve"> </w:t>
      </w:r>
      <w:r>
        <w:rPr>
          <w:rFonts w:ascii="Times New Roman" w:hAnsi="Times New Roman"/>
          <w:color w:val="000000"/>
          <w:sz w:val="24"/>
        </w:rPr>
        <w:t xml:space="preserve">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Executive at the address set forth below and to the Company at its principal place of business, or such other address as either party may specify in writing.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8.6</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xml:space="preserve">. Sections 1 (“Definitions”), 3 (“Severance”), 4 (“Return of the Company’s Property”), 5 (“Agreement to Arbitrate”), 7 (“Confidentiality and Proprietary Rights”) and 8 (“General Provisions”) of this Agreement shall survive termination of Executive’s employment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8.7</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xml:space="preserve">. This Agreement and the Confidentiality and Proprietary Rights Agreements incorporated herein by reference together constitute the entire agreement between the parties in respect of the subject matter contained herein and therein and supersede all prior or simultaneous representations, discussions, negotiations, and agreements, whether written or oral, including, without limitation, any previous severance agreement or severance agreement between the Company (or any of the Company’s Subsidiaries) and Executive (including, without limitation, the Prior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8.8</w:t>
      </w:r>
    </w:p>
    <w:p>
      <w:pPr>
        <w:pStyle w:val="TextBody"/>
        <w:bidi w:val="0"/>
        <w:spacing w:before="0" w:after="240"/>
        <w:jc w:val="both"/>
        <w:rPr/>
      </w:pPr>
      <w:r>
        <w:rPr>
          <w:rFonts w:ascii="Times New Roman" w:hAnsi="Times New Roman"/>
          <w:color w:val="000000"/>
          <w:sz w:val="24"/>
          <w:u w:val="single"/>
        </w:rPr>
        <w:t>Amendments</w:t>
      </w:r>
      <w:r>
        <w:rPr>
          <w:rFonts w:ascii="Times New Roman" w:hAnsi="Times New Roman"/>
          <w:color w:val="000000"/>
          <w:sz w:val="24"/>
        </w:rPr>
        <w:t xml:space="preserve">. This Agreement may be amended or modified only with the written consent of Executive and an authorized representative of the Company. No oral waiver, amendment or modification will be effective under any circumstances whatsoever.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8.9</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applicable, this Agreement shall be interpreted in accordance with Code Section 409A and Department of Treasury regulations and other interpretive guidance issued thereunder. Each separately identified amount to which Executive is entitled under this Agreement shall be treated as a separate payment. In addition, to the extent permissible under Code Section 409A, any series of installment payments under this Agreement shall be treated as a right to a series of separate payments.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8.9(b) shall be paid or distributed to Executive in a lump sum on the earlier of (i) the date that is six (6) months following Executive’s Separation from Service, (ii) the date of Executive’s death or (iii) the earliest date as is permitted under Section 409A of the Code. Any remaining payments due under the Agreement shall be paid as otherwise provided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this Agreement, in-kind benefits and reimbursements provided under this Agreement during any tax year of Executive shall not affect in-kind benefits or reimbursements to be provided in any other tax year of Executive and are not subject to liquidation or exchange for another benefit. Notwithstanding anything to the contrary in this Agreement, reimbursement requests must be timely submitted by Executive and, if timely submitted, reimbursement payments shall be made to Executive as soon as administratively practicable following such submission, but in no event later than the last day of Executive’s taxable year following the taxable year in which the expense was incurred. In no event shall Executive be entitled to any reimbursement payments after the last day of Executive’s taxable year following the taxable year in which the expense was incurred. This section shall only apply to in-kind benefits and reimbursements that would result in taxable compensation income to Executive.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8.10</w:t>
      </w:r>
    </w:p>
    <w:p>
      <w:pPr>
        <w:pStyle w:val="TextBody"/>
        <w:bidi w:val="0"/>
        <w:spacing w:before="0" w:after="240"/>
        <w:jc w:val="both"/>
        <w:rPr/>
      </w:pPr>
      <w:r>
        <w:rPr>
          <w:rFonts w:ascii="Times New Roman" w:hAnsi="Times New Roman"/>
          <w:color w:val="000000"/>
          <w:sz w:val="24"/>
          <w:u w:val="single"/>
        </w:rPr>
        <w:t>Consultation with Legal and Financial Advisors</w:t>
      </w:r>
      <w:r>
        <w:rPr>
          <w:rFonts w:ascii="Times New Roman" w:hAnsi="Times New Roman"/>
          <w:color w:val="000000"/>
          <w:sz w:val="24"/>
        </w:rPr>
        <w:t xml:space="preserve">. By executing this Agreement, Executive acknowledges that this Agreement confers significant legal rights, and may also involve the waiver of rights under other agreements; that the Company has encouraged Executive to consult with Executive’s personal legal and financial advisors; and that Executive has had adequate time to consult with Executive’s advisors before executing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8.11</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in multiple counterparts, each of which shall be deemed an original but all of which together shall constitute one and the same instrument.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PARTIES TO THIS AGREEMENT HAVE READ THE FOREGOING AGREEMENT AND FULLY UNDERSTAND EACH AND EVERY PROVISION CONTAINED HEREIN. WHEREFORE, THE PARTIES HAVE EXECUTED THIS AGREEMENT ON THE DATES SHOWN BELOW.</w:t>
      </w:r>
      <w:r>
        <w:rPr>
          <w:rFonts w:ascii="Times New Roman" w:hAnsi="Times New Roman"/>
          <w:color w:val="000000"/>
          <w:sz w:val="20"/>
        </w:rPr>
        <w:t xml:space="preserve"> </w:t>
      </w:r>
    </w:p>
    <w:p>
      <w:pPr>
        <w:pStyle w:val="TextBody"/>
        <w:bidi w:val="0"/>
        <w:spacing w:before="0" w:after="480"/>
        <w:jc w:val="both"/>
        <w:rPr>
          <w:rFonts w:ascii="Times New Roman" w:hAnsi="Times New Roman"/>
          <w:b/>
          <w:color w:val="000000"/>
          <w:sz w:val="24"/>
        </w:rPr>
      </w:pPr>
      <w:r>
        <w:rPr>
          <w:rFonts w:ascii="Times New Roman" w:hAnsi="Times New Roman"/>
          <w:b/>
          <w:color w:val="000000"/>
          <w:sz w:val="24"/>
        </w:rPr>
        <w:t>ADEIA INC.</w:t>
      </w:r>
    </w:p>
    <w:p>
      <w:pPr>
        <w:pStyle w:val="TextBody"/>
        <w:bidi w:val="0"/>
        <w:spacing w:before="0" w:after="480"/>
        <w:jc w:val="left"/>
        <w:rPr>
          <w:rFonts w:ascii="Times New Roman" w:hAnsi="Times New Roman"/>
          <w:sz w:val="20"/>
        </w:rPr>
      </w:pPr>
      <w:r>
        <w:rPr>
          <w:rFonts w:ascii="Times New Roman" w:hAnsi="Times New Roman"/>
          <w:color w:val="000000"/>
          <w:sz w:val="24"/>
          <w:u w:val="single"/>
        </w:rPr>
        <w:br/>
      </w:r>
      <w:r>
        <w:rPr>
          <w:rFonts w:ascii="Times New Roman" w:hAnsi="Times New Roman"/>
          <w:color w:val="000000"/>
          <w:sz w:val="24"/>
        </w:rPr>
        <w:t>Dated: [], 2026</w:t>
        <w:br/>
        <w:t>By: []</w:t>
        <w:br/>
        <w:t>Name: []</w:t>
        <w:br/>
        <w:t>Title: []</w:t>
      </w:r>
      <w:r>
        <w:rPr>
          <w:rFonts w:ascii="Times New Roman" w:hAnsi="Times New Roman"/>
          <w:color w:val="000000"/>
          <w:sz w:val="20"/>
        </w:rPr>
        <w:t xml:space="preserve"> </w:t>
      </w:r>
    </w:p>
    <w:p>
      <w:pPr>
        <w:pStyle w:val="TextBody"/>
        <w:bidi w:val="0"/>
        <w:spacing w:before="0" w:after="480"/>
        <w:jc w:val="both"/>
        <w:rPr>
          <w:rFonts w:ascii="Times New Roman" w:hAnsi="Times New Roman"/>
          <w:b/>
          <w:color w:val="000000"/>
          <w:sz w:val="24"/>
        </w:rPr>
      </w:pPr>
      <w:r>
        <w:rPr>
          <w:rFonts w:ascii="Times New Roman" w:hAnsi="Times New Roman"/>
          <w:b/>
          <w:color w:val="000000"/>
          <w:sz w:val="24"/>
        </w:rPr>
        <w:t>EXECUTIVE</w:t>
      </w:r>
    </w:p>
    <w:p>
      <w:pPr>
        <w:pStyle w:val="TextBody"/>
        <w:bidi w:val="0"/>
        <w:spacing w:before="0" w:after="480"/>
        <w:jc w:val="left"/>
        <w:rPr>
          <w:rFonts w:ascii="Times New Roman" w:hAnsi="Times New Roman"/>
          <w:sz w:val="20"/>
        </w:rPr>
      </w:pPr>
      <w:r>
        <w:rPr>
          <w:rFonts w:ascii="Times New Roman" w:hAnsi="Times New Roman"/>
          <w:color w:val="000000"/>
          <w:sz w:val="24"/>
          <w:u w:val="single"/>
        </w:rPr>
        <w:br/>
      </w:r>
      <w:r>
        <w:rPr>
          <w:rFonts w:ascii="Times New Roman" w:hAnsi="Times New Roman"/>
          <w:color w:val="000000"/>
          <w:sz w:val="24"/>
        </w:rPr>
        <w:t>Dated: [], 2026</w:t>
        <w:br/>
        <w:t xml:space="preserve">Print Name: [] </w:t>
        <w:br/>
        <w:t>Address: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Amended and Restated Severance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i/>
          <w:color w:val="000000"/>
          <w:sz w:val="24"/>
        </w:rPr>
        <w:t>Execution Version</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 A</w:t>
      </w:r>
      <w:r>
        <w:rPr>
          <w:rFonts w:ascii="Times New Roman" w:hAnsi="Times New Roman"/>
          <w:caps/>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4"/>
          <w:u w:val="single"/>
        </w:rPr>
        <w:t>GENERAL RELEASE OF CLAIMS</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4"/>
        </w:rPr>
        <w:t>[The language in this Release may change based on legal developments and evolving best practices; provided, however, that no new post-termination covenants shall be imposed on Executive; this form is provided as an example of what will be included in the final Release document.]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This General Release of Claims (“</w:t>
      </w:r>
      <w:r>
        <w:rPr>
          <w:rFonts w:ascii="Times New Roman" w:hAnsi="Times New Roman"/>
          <w:b/>
          <w:i/>
          <w:color w:val="000000"/>
          <w:sz w:val="24"/>
        </w:rPr>
        <w:t>Release</w:t>
      </w:r>
      <w:r>
        <w:rPr>
          <w:rFonts w:ascii="Times New Roman" w:hAnsi="Times New Roman"/>
          <w:color w:val="000000"/>
          <w:sz w:val="20"/>
        </w:rPr>
        <w:t>”</w:t>
      </w:r>
      <w:r>
        <w:rPr>
          <w:rFonts w:ascii="Times New Roman" w:hAnsi="Times New Roman"/>
          <w:color w:val="000000"/>
          <w:sz w:val="24"/>
        </w:rPr>
        <w:t>) is entered into as of this [●] day of [●], [●], between [●] (“</w:t>
      </w:r>
      <w:r>
        <w:rPr>
          <w:rFonts w:ascii="Times New Roman" w:hAnsi="Times New Roman"/>
          <w:b/>
          <w:i/>
          <w:color w:val="000000"/>
          <w:sz w:val="24"/>
        </w:rPr>
        <w:t>Executive</w:t>
      </w:r>
      <w:r>
        <w:rPr>
          <w:rFonts w:ascii="Times New Roman" w:hAnsi="Times New Roman"/>
          <w:color w:val="000000"/>
          <w:sz w:val="20"/>
        </w:rPr>
        <w:t>”</w:t>
      </w:r>
      <w:r>
        <w:rPr>
          <w:rFonts w:ascii="Times New Roman" w:hAnsi="Times New Roman"/>
          <w:color w:val="000000"/>
          <w:sz w:val="24"/>
        </w:rPr>
        <w:t>), and Adeia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(collectively referred to herein as the “</w:t>
      </w:r>
      <w:r>
        <w:rPr>
          <w:rFonts w:ascii="Times New Roman" w:hAnsi="Times New Roman"/>
          <w:b/>
          <w:i/>
          <w:color w:val="000000"/>
          <w:sz w:val="24"/>
        </w:rPr>
        <w:t>Parties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Executive and the Company are parties to that certain Amended and Restated Severance Agreement effective as of [], 2026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agree that Executive is entitled to certain severance benefits under the Agreement, subject to Executive’s execution of this Release;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Company and Executive now wish to fully and finally to resolve all matters between them.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General Release of Claims by Executive.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Times New Roman" w:hAnsi="Times New Roman"/>
          <w:b/>
          <w:i/>
          <w:color w:val="000000"/>
          <w:sz w:val="24"/>
        </w:rPr>
        <w:t>Company Releasees</w:t>
      </w:r>
      <w:r>
        <w:rPr>
          <w:color w:val="000000"/>
        </w:rPr>
        <w:t>”</w:t>
      </w:r>
      <w:r>
        <w:rPr>
          <w:rFonts w:ascii="Times New Roman" w:hAnsi="Times New Roman"/>
          <w:color w:val="000000"/>
          <w:sz w:val="24"/>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hAnsi="Times New Roman"/>
          <w:b/>
          <w:i/>
          <w:color w:val="000000"/>
          <w:sz w:val="24"/>
        </w:rPr>
        <w:t>Claims</w:t>
      </w:r>
      <w:r>
        <w:rPr>
          <w:color w:val="000000"/>
        </w:rPr>
        <w:t>”</w:t>
      </w:r>
      <w:r>
        <w:rPr>
          <w:rFonts w:ascii="Times New Roman" w:hAnsi="Times New Roman"/>
          <w:color w:val="000000"/>
          <w:sz w:val="24"/>
        </w:rPr>
        <w:t xml:space="preserve">),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defamation, or liability in tort, and claims of any kind that may be brought in any court or administrative agency including, without limitation, claims under Title VII of the Civil Rights Act of 1964, as amended, 42 U.S.C. Section 2000, </w:t>
      </w:r>
      <w:r>
        <w:rPr>
          <w:rFonts w:ascii="Times New Roman" w:hAnsi="Times New Roman"/>
          <w:color w:val="000000"/>
          <w:sz w:val="24"/>
          <w:u w:val="single"/>
        </w:rPr>
        <w:t>et seq</w:t>
      </w:r>
      <w:r>
        <w:rPr>
          <w:rFonts w:ascii="Times New Roman" w:hAnsi="Times New Roman"/>
          <w:color w:val="000000"/>
          <w:sz w:val="24"/>
        </w:rPr>
        <w:t xml:space="preserve">.; the Americans with Disabilities Act, as amended, 42 U.S.C. § 12101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Rehabilitation Act of 1973, as amended, 29 U.S.C. § 701 </w:t>
      </w:r>
      <w:r>
        <w:rPr>
          <w:rFonts w:ascii="Times New Roman" w:hAnsi="Times New Roman"/>
          <w:color w:val="000000"/>
          <w:sz w:val="24"/>
          <w:u w:val="single"/>
        </w:rPr>
        <w:t>et seq</w:t>
      </w:r>
      <w:r>
        <w:rPr>
          <w:rFonts w:ascii="Times New Roman" w:hAnsi="Times New Roman"/>
          <w:color w:val="000000"/>
          <w:sz w:val="24"/>
        </w:rPr>
        <w:t xml:space="preserve">.; the Civil Rights Act of 1866, and the Civil Rights Act of 1991; 42 U.S.C. Section 1981,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Age Discrimination in Employment Act, as amended, 29 U.S.C. Section 621,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(the “</w:t>
      </w:r>
      <w:r>
        <w:rPr>
          <w:rFonts w:ascii="Times New Roman" w:hAnsi="Times New Roman"/>
          <w:b/>
          <w:i/>
          <w:color w:val="000000"/>
          <w:sz w:val="24"/>
        </w:rPr>
        <w:t>ADEA</w:t>
      </w:r>
      <w:r>
        <w:rPr>
          <w:color w:val="000000"/>
        </w:rPr>
        <w:t>”</w:t>
      </w:r>
      <w:r>
        <w:rPr>
          <w:rFonts w:ascii="Times New Roman" w:hAnsi="Times New Roman"/>
          <w:color w:val="000000"/>
          <w:sz w:val="24"/>
        </w:rPr>
        <w:t xml:space="preserve">); the Equal Pay Act, as amended, 29 U.S.C. Section 206(d); regulations of the Office of Federal Contract Compliance, 41 C.F.R. Section 60,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Family and Medical Leave Act, as amended, 29 U.S.C. § 2601 </w:t>
      </w:r>
      <w:r>
        <w:rPr>
          <w:rFonts w:ascii="Times New Roman" w:hAnsi="Times New Roman"/>
          <w:color w:val="000000"/>
          <w:sz w:val="24"/>
          <w:u w:val="single"/>
        </w:rPr>
        <w:t>et seq</w:t>
      </w:r>
      <w:r>
        <w:rPr>
          <w:rFonts w:ascii="Times New Roman" w:hAnsi="Times New Roman"/>
          <w:color w:val="000000"/>
          <w:sz w:val="24"/>
        </w:rPr>
        <w:t xml:space="preserve">.; the Fair Labor Standards Act of 1938, as amended, 29 U.S.C. § 201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Employee Retirement Income Security Act, as amended, 29 U.S.C. § 1001 </w:t>
      </w:r>
      <w:r>
        <w:rPr>
          <w:rFonts w:ascii="Times New Roman" w:hAnsi="Times New Roman"/>
          <w:color w:val="000000"/>
          <w:sz w:val="24"/>
          <w:u w:val="single"/>
        </w:rPr>
        <w:t>et seq</w:t>
      </w:r>
      <w:r>
        <w:rPr>
          <w:rFonts w:ascii="Times New Roman" w:hAnsi="Times New Roman"/>
          <w:color w:val="000000"/>
          <w:sz w:val="24"/>
        </w:rPr>
        <w:t xml:space="preserve">.; and the California Fair Employment and Housing Act, California Government Code Section 12940, </w:t>
      </w:r>
      <w:r>
        <w:rPr>
          <w:rFonts w:ascii="Times New Roman" w:hAnsi="Times New Roman"/>
          <w:color w:val="000000"/>
          <w:sz w:val="24"/>
          <w:u w:val="single"/>
        </w:rPr>
        <w:t>et seq</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generality of the foregoing, Executive does not release the following claims: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Claims for unemployment compensation or any state disability insurance benefits pursuant to the terms of applicable state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Claims for workers’ compensation insurance benefits under the terms of any worker’s compensation insurance policy or fund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Claims pursuant to the terms and conditions of the federal law known as COBRA;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Claims for indemnity under the bylaws of the Company, as provided for by California law or under any applicable insurance policy or indemnification agreement with respect to Executive’s liability as an employee, director or officer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Claims based on any right Executive may have to enforce the Company’s executory obligations under the Agreement (including, for the avoidance of doubt, Claims to enforce the Company’s obligations to pay or provide payments and benefits that are contingent on the effectiveness of this Release);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Claims Executive may have to vested or earned compensation and benefits.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EXECUTIVE ACKNOWLEDGES THAT HE OR SHE HAS BEEN ADVISED OF AND IS FAMILIAR WITH THE PROVISIONS OF CALIFORNIA CIVIL CODE SECTION 1542, WHICH PROVIDES AS FOLLOWS:</w:t>
      </w:r>
      <w:r>
        <w:rPr>
          <w:color w:val="000000"/>
        </w:rPr>
        <w:t xml:space="preserve"> </w:t>
      </w:r>
    </w:p>
    <w:p>
      <w:pPr>
        <w:pStyle w:val="TextBody"/>
        <w:bidi w:val="0"/>
        <w:spacing w:before="0" w:after="240"/>
        <w:jc w:val="both"/>
        <w:rPr/>
      </w:pPr>
      <w:r>
        <w:rPr>
          <w:color w:val="000000"/>
        </w:rPr>
        <w:t>“</w:t>
      </w: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BEING AWARE OF SAID CODE SECTION, EXECUTIVE HEREBY EXPRESSLY WAIVES ANY RIGHTS HE OR SHE MAY HAVE THEREUNDER, AS WELL AS UNDER ANY OTHER STATUTES OR COMMON LAW PRINCIPLES OF SIMILAR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Executive acknowledges that this Release was presented to him or her on the date indicated above and that Executive is entitled to have twenty-one (21) days’ time in which to consider it. Executive further acknowledges that the Company has advised him or her that he or she is waiving his or her rights under the ADEA, and that Executive should consult with an attorney of his or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that Executive voluntarily waives any remaining consideration period.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Executive understands that after executing this Release, Executive has the right to revoke it within seven (7) 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the Company at its principal place of business within the seven (7) day period.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understands that this Release shall become effective, irrevocable, and binding upon Executive on the eighth (8th) day after his or her execution of it, so long as Executive has not revoked it within the time period and in the manner specified in clause (d) above. Executive further understands that Executive will not be given any severance benefits under the Agreement unless this Release is effective on or before the date that is sixty (60) days following the Date of Termination (as defined in the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Nothing in this Release shall be deemed to restrict Executive’s right to communicate directly with, cooperate with, provide information to, or report possible violations of federal law or regulation to, any governmental agency or entity in accordance with the provisions of and rules promulgated under Section 21F of the Exchange Act or Section 806 of the Sarbanes- Oxley Act of 2002, or any other whistleblower protection provisions of state or federal law or regulation, including, but not limited to, the U.S. Securities and Exchange Commission, the U.S. Commodity Futures Trading Commission, or the U.S. Department of Justice.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No Assignment</w:t>
      </w:r>
      <w:r>
        <w:rPr>
          <w:rFonts w:ascii="Times New Roman" w:hAnsi="Times New Roman"/>
          <w:color w:val="000000"/>
          <w:sz w:val="24"/>
        </w:rPr>
        <w:t xml:space="preserve">. 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w:t>
      </w:r>
    </w:p>
    <w:p>
      <w:pPr>
        <w:pStyle w:val="TextBody"/>
        <w:bidi w:val="0"/>
        <w:jc w:val="center"/>
        <w:rPr>
          <w:rFonts w:ascii="Times New Roman" w:hAnsi="Times New Roman"/>
          <w:color w:val="000000"/>
          <w:sz w:val="24"/>
        </w:rPr>
      </w:pPr>
      <w:r>
        <w:rPr>
          <w:rFonts w:ascii="Times New Roman" w:hAnsi="Times New Roman"/>
          <w:color w:val="000000"/>
          <w:sz w:val="24"/>
        </w:rPr>
        <w:t>A-3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deemed modification is not satisfactory in the judgment of such arbitrator or court, the unenforceable provision shall be deemed deleted, and the validity and enforceability of the remaining provisions shall not be affected thereby.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Interpretation; Construction</w:t>
      </w:r>
      <w:r>
        <w:rPr>
          <w:rFonts w:ascii="Times New Roman" w:hAnsi="Times New Roman"/>
          <w:color w:val="000000"/>
          <w:sz w:val="24"/>
        </w:rPr>
        <w:t xml:space="preserve">. The headings set forth in this Release are for convenience only and shall not be used in interpreting this Agreement. This Release has been drafted by legal counsel representing the Company, but Executive has participated in the negotiation of its terms. Furthermore, Executive acknowledges that Executive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Governing Law and Venue</w:t>
      </w:r>
      <w:r>
        <w:rPr>
          <w:rFonts w:ascii="Times New Roman" w:hAnsi="Times New Roman"/>
          <w:color w:val="000000"/>
          <w:sz w:val="24"/>
        </w:rPr>
        <w:t xml:space="preserve">.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Santa Clara County, California, the Parties hereby waiving any claim or defense that such forum is not convenient or proper. Each party hereby agrees that any such court shall have in personam jurisdiction over it and consents to service of process in any manner authorized by California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xml:space="preserve">. This Release and the Agreement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xml:space="preserve">. This Release may be executed in multiple counterparts, each of which shall be deemed to be an original but all of which together shall constitute one and the same instrument.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A-4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and intending to be legally bound, the Parties have executed the foregoing Release as of the date first written above.</w:t>
      </w:r>
      <w:r>
        <w:rPr>
          <w:rFonts w:ascii="Times New Roman" w:hAnsi="Times New Roman"/>
          <w:color w:val="000000"/>
          <w:sz w:val="20"/>
        </w:rPr>
        <w:t xml:space="preserve"> </w:t>
      </w:r>
    </w:p>
    <w:p>
      <w:pPr>
        <w:pStyle w:val="TextBody"/>
        <w:bidi w:val="0"/>
        <w:spacing w:before="0" w:after="480"/>
        <w:jc w:val="both"/>
        <w:rPr>
          <w:rFonts w:ascii="Times New Roman" w:hAnsi="Times New Roman"/>
          <w:b/>
          <w:color w:val="000000"/>
          <w:sz w:val="24"/>
        </w:rPr>
      </w:pPr>
      <w:r>
        <w:rPr>
          <w:rFonts w:ascii="Times New Roman" w:hAnsi="Times New Roman"/>
          <w:b/>
          <w:color w:val="000000"/>
          <w:sz w:val="24"/>
        </w:rPr>
        <w:t>ADEIA INC.</w:t>
      </w:r>
    </w:p>
    <w:p>
      <w:pPr>
        <w:pStyle w:val="TextBody"/>
        <w:bidi w:val="0"/>
        <w:spacing w:before="0" w:after="48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br/>
      </w:r>
      <w:r>
        <w:rPr>
          <w:rFonts w:ascii="Times New Roman" w:hAnsi="Times New Roman"/>
          <w:color w:val="000000"/>
          <w:sz w:val="24"/>
        </w:rPr>
        <w:t>Name:</w:t>
        <w:br/>
        <w:t>Title:</w:t>
      </w:r>
    </w:p>
    <w:p>
      <w:pPr>
        <w:pStyle w:val="TextBody"/>
        <w:bidi w:val="0"/>
        <w:spacing w:before="0" w:after="480"/>
        <w:jc w:val="both"/>
        <w:rPr>
          <w:rFonts w:ascii="Times New Roman" w:hAnsi="Times New Roman"/>
          <w:b/>
          <w:color w:val="000000"/>
          <w:sz w:val="24"/>
        </w:rPr>
      </w:pPr>
      <w:r>
        <w:rPr>
          <w:rFonts w:ascii="Times New Roman" w:hAnsi="Times New Roman"/>
          <w:b/>
          <w:color w:val="000000"/>
          <w:sz w:val="24"/>
        </w:rPr>
        <w:t>EXECUTIVE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Print Name:</w:t>
        <w:br/>
        <w:t>Address: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 B</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CONFIDENTIALITY AGREEMENT</w:t>
      </w:r>
    </w:p>
    <w:p>
      <w:pPr>
        <w:pStyle w:val="TextBody"/>
        <w:bidi w:val="0"/>
        <w:spacing w:before="0" w:after="48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Attached</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 C</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t>PROPRIETARY INFORMATION, INVENTIONS AND ETHICS AGREEMENT</w:t>
      </w:r>
    </w:p>
    <w:p>
      <w:pPr>
        <w:pStyle w:val="TextBody"/>
        <w:bidi w:val="0"/>
        <w:spacing w:before="0" w:after="48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Attached</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6" w:name="adea-ex31_1.htm"/>
      <w:bookmarkStart w:id="27" w:name="ksadeaex31_1"/>
      <w:bookmarkEnd w:id="26"/>
      <w:bookmarkEnd w:id="27"/>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bookmarkStart w:id="28" w:name="exhibit_31_1"/>
      <w:bookmarkEnd w:id="28"/>
      <w:r>
        <w:rPr>
          <w:rFonts w:ascii="Times New Roman" w:hAnsi="Times New Roman"/>
          <w:b/>
          <w:color w:val="000000"/>
          <w:sz w:val="20"/>
        </w:rPr>
        <w:t>Exhibit 31.1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Paul E. Davis,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quarterly report on Form 10-Q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03" w:type="dxa"/>
        <w:jc w:val="left"/>
        <w:tblInd w:w="0" w:type="dxa"/>
        <w:tblLayout w:type="fixed"/>
        <w:tblCellMar>
          <w:top w:w="28" w:type="dxa"/>
          <w:left w:w="28" w:type="dxa"/>
          <w:bottom w:w="28" w:type="dxa"/>
          <w:right w:w="28" w:type="dxa"/>
        </w:tblCellMar>
      </w:tblPr>
      <w:tblGrid>
        <w:gridCol w:w="1846"/>
        <w:gridCol w:w="14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29" w:name="adea-ex31_2.htm"/>
      <w:bookmarkStart w:id="30" w:name="ksadeaex31_2"/>
      <w:bookmarkEnd w:id="29"/>
      <w:bookmarkEnd w:id="30"/>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Securities Exchange Act of 1934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 Keith A. Jones, certify that: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I have reviewed this quarterly report on Form 10-Q of Adeia Inc.;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1846"/>
        <w:gridCol w:w="14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31" w:name="adea-ex32_1.htm"/>
      <w:bookmarkStart w:id="32" w:name="ksadeaex32_1"/>
      <w:bookmarkEnd w:id="31"/>
      <w:bookmarkEnd w:id="32"/>
      <w:r>
        <w:rPr>
          <w:rFonts w:ascii="Times New Roman" w:hAnsi="Times New Roman"/>
          <w:color w:val="000000"/>
          <w:sz w:val="20"/>
        </w:rPr>
        <w:b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Adeia Inc., a Delaware corporation (the “Company”), on Form 10-Q for the period ended June 30, 2026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E. Davis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AND 18 U.S.C. SECTION 1350</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connection with the Quarterly Report of Adeia Inc., a Delaware corporation (the “Company”), on Form 10-Q for the period ended June 30, 2026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29558</Words>
  <Characters>160220</Characters>
  <CharactersWithSpaces>191625</CharactersWithSpaces>
  <Paragraphs>7743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