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ea-20260331.htm"/>
      <w:bookmarkStart w:id="1" w:name="ksadea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Commission File Number: 001-39304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3931"/>
        <w:gridCol w:w="146"/>
        <w:gridCol w:w="156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84-4734590</w:t>
            </w:r>
          </w:p>
        </w:tc>
      </w:tr>
      <w:tr>
        <w:trPr/>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3025 Orchard Parkway, San Jose,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(408) 473-2500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38" w:type="dxa"/>
        <w:jc w:val="left"/>
        <w:tblInd w:w="0" w:type="dxa"/>
        <w:tblLayout w:type="fixed"/>
        <w:tblCellMar>
          <w:top w:w="28" w:type="dxa"/>
          <w:left w:w="28" w:type="dxa"/>
          <w:bottom w:w="28" w:type="dxa"/>
          <w:right w:w="28" w:type="dxa"/>
        </w:tblCellMar>
      </w:tblPr>
      <w:tblGrid>
        <w:gridCol w:w="3271"/>
        <w:gridCol w:w="886"/>
        <w:gridCol w:w="3481"/>
      </w:tblGrid>
      <w:tr>
        <w:trPr/>
        <w:tc>
          <w:tcPr>
            <w:tcW w:w="32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88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ADEA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of shares outstanding of the registrant’s common stock as of April 24, 2026 was 110,293,749</w:t>
      </w:r>
    </w:p>
    <w:p>
      <w:pPr>
        <w:pStyle w:val="TextBody"/>
        <w:pBdr>
          <w:bottom w:val="double" w:sz="6" w:space="1" w:color="000000"/>
        </w:pBdr>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512"/>
        <w:gridCol w:w="14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Income –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Times New Roman" w:hAnsi="Times New Roman"/>
                  <w:color w:val="0000FF"/>
                  <w:sz w:val="20"/>
                  <w:u w:val="single"/>
                </w:rPr>
                <w:t>Condensed Consolidated Statements of Comprehensive Income –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stmt_equity">
              <w:r>
                <w:rPr>
                  <w:rStyle w:val="InternetLink"/>
                  <w:rFonts w:ascii="Times New Roman" w:hAnsi="Times New Roman"/>
                  <w:color w:val="000080"/>
                  <w:sz w:val="20"/>
                  <w:u w:val="single"/>
                </w:rPr>
                <w:t>Condensed Consolidated Statements of Equity –</w:t>
              </w:r>
            </w:hyperlink>
            <w:r>
              <w:rPr>
                <w:rFonts w:ascii="Times New Roman" w:hAnsi="Times New Roman"/>
                <w:color w:val="0000FF"/>
                <w:sz w:val="20"/>
                <w:u w:val="single"/>
              </w:rPr>
              <w:t xml:space="preserve"> Three Months Ended </w:t>
            </w:r>
            <w:hyperlink w:anchor="condensed_consolidated_statements_operat">
              <w:r>
                <w:rPr>
                  <w:rStyle w:val="InternetLink"/>
                  <w:rFonts w:ascii="Times New Roman" w:hAnsi="Times New Roman"/>
                  <w:color w:val="000080"/>
                  <w:sz w:val="20"/>
                  <w:u w:val="single"/>
                </w:rPr>
                <w:t>March 31</w:t>
              </w:r>
            </w:hyperlink>
            <w:r>
              <w:rPr>
                <w:rFonts w:ascii="Times New Roman" w:hAnsi="Times New Roman"/>
                <w:color w:val="0000FF"/>
                <w:sz w:val="20"/>
                <w:u w:val="single"/>
              </w:rPr>
              <w:t>, 2026 and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3_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4_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5_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6_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3" w:name="item1"/>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4" w:name="condensed_consolidated_statements_operat"/>
      <w:bookmarkEnd w:id="4"/>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8464" w:type="dxa"/>
        <w:jc w:val="left"/>
        <w:tblInd w:w="0" w:type="dxa"/>
        <w:tblLayout w:type="fixed"/>
        <w:tblCellMar>
          <w:top w:w="28" w:type="dxa"/>
          <w:left w:w="28" w:type="dxa"/>
          <w:bottom w:w="28" w:type="dxa"/>
          <w:right w:w="28" w:type="dxa"/>
        </w:tblCellMar>
      </w:tblPr>
      <w:tblGrid>
        <w:gridCol w:w="5431"/>
        <w:gridCol w:w="146"/>
        <w:gridCol w:w="211"/>
        <w:gridCol w:w="781"/>
        <w:gridCol w:w="166"/>
        <w:gridCol w:w="146"/>
        <w:gridCol w:w="211"/>
        <w:gridCol w:w="781"/>
        <w:gridCol w:w="5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per share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bookmarkStart w:id="5" w:name="comprehensive_incom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8280" w:type="dxa"/>
        <w:jc w:val="left"/>
        <w:tblInd w:w="0" w:type="dxa"/>
        <w:tblLayout w:type="fixed"/>
        <w:tblCellMar>
          <w:top w:w="28" w:type="dxa"/>
          <w:left w:w="28" w:type="dxa"/>
          <w:bottom w:w="28" w:type="dxa"/>
          <w:right w:w="28" w:type="dxa"/>
        </w:tblCellMar>
      </w:tblPr>
      <w:tblGrid>
        <w:gridCol w:w="5481"/>
        <w:gridCol w:w="146"/>
        <w:gridCol w:w="232"/>
        <w:gridCol w:w="743"/>
        <w:gridCol w:w="166"/>
        <w:gridCol w:w="146"/>
        <w:gridCol w:w="232"/>
        <w:gridCol w:w="743"/>
        <w:gridCol w:w="391"/>
      </w:tblGrid>
      <w:tr>
        <w:trPr/>
        <w:tc>
          <w:tcPr>
            <w:tcW w:w="5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(losses)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633"/>
        <w:gridCol w:w="146"/>
        <w:gridCol w:w="211"/>
        <w:gridCol w:w="931"/>
        <w:gridCol w:w="166"/>
        <w:gridCol w:w="146"/>
        <w:gridCol w:w="217"/>
        <w:gridCol w:w="962"/>
        <w:gridCol w:w="793"/>
      </w:tblGrid>
      <w:tr>
        <w:trPr/>
        <w:tc>
          <w:tcPr>
            <w:tcW w:w="6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$713 </w:t>
              <w:br/>
              <w:t>and $713,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contracts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303,958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303,456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558,762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(2026: authorized 15,000 shares; 2025: authorized 15,000 shares and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(2026: authorized 350,000 shares, issued 131,072 shares, outstanding 110,258 shares; 2025: authorized 350,000 shares, issued 127,923 shares, outstanding 108,999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685,992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(2026: 20,814 shares; 2025: 18,924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(297,778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480,541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bookmarkStart w:id="7" w:name="cash_flows"/>
      <w:bookmarkEnd w:id="7"/>
      <w:r>
        <w:rPr>
          <w:rFonts w:ascii="Times New Roman" w:hAnsi="Times New Roman"/>
          <w:b/>
          <w:color w:val="000000"/>
          <w:sz w:val="20"/>
        </w:rPr>
        <w:t>CONDENSED CONSOLIDATED STATEMENTS OF CASH</w:t>
      </w:r>
      <w:r>
        <w:rPr>
          <w:rFonts w:ascii="Times New Roman" w:hAnsi="Times New Roman"/>
          <w:color w:val="000000"/>
          <w:sz w:val="20"/>
        </w:rPr>
        <w:t xml:space="preserve"> </w:t>
      </w:r>
      <w:r>
        <w:rPr>
          <w:rFonts w:ascii="Times New Roman" w:hAnsi="Times New Roman"/>
          <w:b/>
          <w:color w:val="000000"/>
          <w:sz w:val="20"/>
        </w:rPr>
        <w:t>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990"/>
        <w:gridCol w:w="146"/>
        <w:gridCol w:w="306"/>
        <w:gridCol w:w="1066"/>
        <w:gridCol w:w="166"/>
        <w:gridCol w:w="146"/>
        <w:gridCol w:w="306"/>
        <w:gridCol w:w="1066"/>
        <w:gridCol w:w="1013"/>
      </w:tblGrid>
      <w:tr>
        <w:trPr/>
        <w:tc>
          <w:tcPr>
            <w:tcW w:w="5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7,969</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57,139</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debt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program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 for tax withholdings on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(45,608</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84,184</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8" w:name="stmt_equity"/>
      <w:bookmarkEnd w:id="8"/>
      <w:r>
        <w:rPr>
          <w:rFonts w:ascii="Times New Roman" w:hAnsi="Times New Roman"/>
          <w:b/>
          <w:color w:val="000000"/>
          <w:sz w:val="20"/>
        </w:rPr>
        <w:t>CONDENSED 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229"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257"/>
        <w:gridCol w:w="494"/>
        <w:gridCol w:w="146"/>
        <w:gridCol w:w="146"/>
        <w:gridCol w:w="205"/>
        <w:gridCol w:w="726"/>
        <w:gridCol w:w="146"/>
        <w:gridCol w:w="146"/>
        <w:gridCol w:w="146"/>
        <w:gridCol w:w="601"/>
        <w:gridCol w:w="146"/>
        <w:gridCol w:w="146"/>
        <w:gridCol w:w="196"/>
        <w:gridCol w:w="751"/>
        <w:gridCol w:w="166"/>
        <w:gridCol w:w="146"/>
        <w:gridCol w:w="405"/>
        <w:gridCol w:w="901"/>
        <w:gridCol w:w="166"/>
        <w:gridCol w:w="146"/>
        <w:gridCol w:w="196"/>
        <w:gridCol w:w="691"/>
        <w:gridCol w:w="166"/>
        <w:gridCol w:w="146"/>
        <w:gridCol w:w="255"/>
        <w:gridCol w:w="90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6"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br/>
            </w:r>
            <w:r>
              <w:rPr>
                <w:rFonts w:ascii="Times New Roman" w:hAnsi="Times New Roman"/>
                <w:color w:val="000000"/>
                <w:sz w:val="15"/>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480,541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paid on common stock ($0.05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466,567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153"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257"/>
        <w:gridCol w:w="494"/>
        <w:gridCol w:w="146"/>
        <w:gridCol w:w="146"/>
        <w:gridCol w:w="205"/>
        <w:gridCol w:w="726"/>
        <w:gridCol w:w="146"/>
        <w:gridCol w:w="146"/>
        <w:gridCol w:w="146"/>
        <w:gridCol w:w="601"/>
        <w:gridCol w:w="146"/>
        <w:gridCol w:w="146"/>
        <w:gridCol w:w="196"/>
        <w:gridCol w:w="751"/>
        <w:gridCol w:w="166"/>
        <w:gridCol w:w="146"/>
        <w:gridCol w:w="531"/>
        <w:gridCol w:w="775"/>
        <w:gridCol w:w="166"/>
        <w:gridCol w:w="146"/>
        <w:gridCol w:w="199"/>
        <w:gridCol w:w="612"/>
        <w:gridCol w:w="166"/>
        <w:gridCol w:w="146"/>
        <w:gridCol w:w="255"/>
        <w:gridCol w:w="90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396,571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dividends paid on common stock ($0.05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9" w:name="notes_to_condens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THE COMPANY AND 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Adeia Inc. (the “Company”), a Delaware corporation, is one of the industry’s largest intellectual property (“IP”) licensing platforms, with a diverse portfolio of media and semiconductor IP consisting of approximately 13,750 patents and patent applications worldwide.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2025 have been derived from the Company’s annual audited Consolidated Financial Statements included in its Annual Report on Form 10-K for the year ended December 31, 2025, filed on February 26, 2026 (the “Form 10-K”). These Condensed Consolidated Financial Statements should be read in conjunction with the annual audited Consolidated Financial Statements and notes thereto included in the Form 10-K as of and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consolidated financial statements include the accounts of Adeia Inc. and its wholly-owned subsidiaries.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months ended March 31, 2026 are not necessarily indicative of the results that may be expected for the full year ending December 31, 2026 or any future period and the Company makes no representations related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fiscal year ends on December 31 and employs a calendar month-end reporting period for its quarterly reporting. The Company operates under one reportable segment,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prior fiscal year balances have been reclassified to conform to the current fiscal year presentation.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significant changes in the Company’s significant accounting policies during the three months ended March 31, 2026, as compared to the significant accounting policies described in the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determining standalone selling price used to allocate consideration in a contract with multiple performance obligations, estimating the fair value of noncash consideration, estimating variable consideration relating to potential future price adjustments as a result of legal contract disputes, estimating quarterly royalties prior to receiving the royalty reports from the licensee, measurement of the fair value of acquired intangible assets,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condensed consolidated financial statements as soon as they become known.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Condensed Consolidated Financial Statements. See “Note 15 – </w:t>
      </w:r>
      <w:r>
        <w:rPr>
          <w:rFonts w:ascii="Times New Roman" w:hAnsi="Times New Roman"/>
          <w:i/>
          <w:color w:val="000000"/>
          <w:sz w:val="20"/>
        </w:rPr>
        <w:t>Segment Information</w:t>
      </w:r>
      <w:r>
        <w:rPr>
          <w:rFonts w:ascii="Times New Roman" w:hAnsi="Times New Roman"/>
          <w:color w:val="000000"/>
          <w:sz w:val="20"/>
        </w:rPr>
        <w:t xml:space="preserve">” for further detail.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In the fourth quarter of 2025, the Company adopted ASU 2023-09 on a retrospective basis, and the adoption did not have a material impact to the Company’s Condensed Consolidated Financial Statements.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 </w:t>
      </w:r>
    </w:p>
    <w:p>
      <w:pPr>
        <w:pStyle w:val="TextBody"/>
        <w:bidi w:val="0"/>
        <w:spacing w:before="120" w:after="283"/>
        <w:jc w:val="left"/>
        <w:rPr>
          <w:rFonts w:ascii="Times New Roman" w:hAnsi="Times New Roman"/>
          <w:sz w:val="20"/>
        </w:rPr>
      </w:pPr>
      <w:r>
        <w:rPr>
          <w:rFonts w:ascii="Times New Roman" w:hAnsi="Times New Roman"/>
          <w:b/>
          <w:color w:val="000000"/>
          <w:sz w:val="20"/>
        </w:rPr>
        <w:t>NOTE 3 –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taxes are withheld by the Company’s licensee, revenue is recognized gross of withholding taxes that are remitted directly by the licensee to a local tax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based on their relative standalone selling prices.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certain contracts with customers, the Company receives noncash consideration in the form of patents, and the fair value of those assets is included in the transaction price for revenue recognition purposes. The Company measures fair value at contract inception using one of, or a combination of, an analysis of comparable market transactions (the market approach), and/or an analysis of the costs that would be required to develop and maintain a comparable set of patents (the cost approach).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 of variable consideration is estimated by considering all available information (historical, current, and forecast) and is updated as additional information becomes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Description of Revenue-Generating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IP License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variable-based Media IP or Semiconductor IP royalty licensing, (ii) fixed-fee Media IP licensing, and (iii) fixed-fee or minimum guarantee Semiconductor IP licensing. </w:t>
      </w:r>
    </w:p>
    <w:p>
      <w:pPr>
        <w:pStyle w:val="TextBody"/>
        <w:bidi w:val="0"/>
        <w:spacing w:before="240" w:after="283"/>
        <w:jc w:val="left"/>
        <w:rPr>
          <w:rFonts w:ascii="Times New Roman" w:hAnsi="Times New Roman"/>
          <w:sz w:val="20"/>
        </w:rPr>
      </w:pPr>
      <w:r>
        <w:rPr>
          <w:rFonts w:ascii="Times New Roman" w:hAnsi="Times New Roman"/>
          <w:b/>
          <w:i/>
          <w:color w:val="000000"/>
          <w:sz w:val="20"/>
        </w:rPr>
        <w:t>Variable-based Media IP or Semiconductor IP royalty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from variable based contracts based on the customer’s sale or usage of the IP during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pStyle w:val="TextBody"/>
        <w:bidi w:val="0"/>
        <w:spacing w:before="240" w:after="283"/>
        <w:jc w:val="left"/>
        <w:rPr>
          <w:rFonts w:ascii="Times New Roman" w:hAnsi="Times New Roman"/>
          <w:sz w:val="20"/>
        </w:rPr>
      </w:pPr>
      <w:r>
        <w:rPr>
          <w:rFonts w:ascii="Times New Roman" w:hAnsi="Times New Roman"/>
          <w:b/>
          <w:i/>
          <w:color w:val="000000"/>
          <w:sz w:val="20"/>
        </w:rPr>
        <w:t>Fixed-fee Media IP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Fixed-fee or minimum guarantee Semiconductor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occasion, 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IP license contracts with multiple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Determination of standalone selling price requires significant management judgment.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Practical Expedients and Exemptions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to not perform an evaluation of whether a contract includes a significant financing component when the timing of revenue recognition differs from the timing of cash collection by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to expense costs to obtain a contract with a customer as incurred as a component of selling, general and administrative expenses when the amortization period would have been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potential future price adjustments, or (iii) when variable consideration is allocated entirely to a wholly unsatisfied performance obligation; or to a wholly unsatisfied promise to transfer a distinct good or service that forms part of a single performance obligation.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Details</w:t>
      </w:r>
    </w:p>
    <w:p>
      <w:pPr>
        <w:pStyle w:val="TextBody"/>
        <w:bidi w:val="0"/>
        <w:spacing w:before="240" w:after="283"/>
        <w:jc w:val="left"/>
        <w:rPr>
          <w:rFonts w:ascii="Times New Roman" w:hAnsi="Times New Roman"/>
          <w:sz w:val="20"/>
        </w:rPr>
      </w:pPr>
      <w:r>
        <w:rPr>
          <w:rFonts w:ascii="Times New Roman" w:hAnsi="Times New Roman"/>
          <w:i/>
          <w:color w:val="000000"/>
          <w:sz w:val="20"/>
        </w:rPr>
        <w:t>Revenue Disaggregation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hAnsi="Times New Roman"/>
          <w:i/>
          <w:color w:val="000000"/>
          <w:sz w:val="20"/>
        </w:rPr>
        <w:t>Segment Information</w:t>
      </w:r>
      <w:r>
        <w:rPr>
          <w:rFonts w:ascii="Times New Roman" w:hAnsi="Times New Roman"/>
          <w:color w:val="000000"/>
          <w:sz w:val="20"/>
        </w:rPr>
        <w:t xml:space="preserve">”). This information includes revenue recognized from contracts with customers and revenue from other sources, including sales-based or usage-based royalty revenues and fees associated with releases for past infringement. </w:t>
      </w:r>
    </w:p>
    <w:p>
      <w:pPr>
        <w:pStyle w:val="TextBody"/>
        <w:bidi w:val="0"/>
        <w:spacing w:before="240" w:after="283"/>
        <w:jc w:val="left"/>
        <w:rPr>
          <w:rFonts w:ascii="Times New Roman" w:hAnsi="Times New Roman"/>
          <w:sz w:val="20"/>
        </w:rPr>
      </w:pPr>
      <w:r>
        <w:rPr>
          <w:rFonts w:ascii="Times New Roman" w:hAnsi="Times New Roman"/>
          <w:b/>
          <w:color w:val="000000"/>
          <w:sz w:val="20"/>
        </w:rPr>
        <w:t>Recurring and non-recurring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variable based Media IP or Semiconductor IP royalty license agreements, revenue associated with sales-based or usage-based royalties in exchange for a license of IP, which are recognized in the period such subsequent sales or usage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disaggregated by recurring and non-recurring nature was as follows (in thousands):</w:t>
      </w:r>
    </w:p>
    <w:p>
      <w:pPr>
        <w:pStyle w:val="TextBody"/>
        <w:bidi w:val="0"/>
        <w:jc w:val="left"/>
        <w:rPr/>
      </w:pPr>
      <w:r>
        <w:rPr/>
        <w:t> </w:t>
      </w:r>
    </w:p>
    <w:tbl>
      <w:tblPr>
        <w:tblW w:w="4659"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676"/>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by market vertical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 disaggregated by market vertical was as follows (in thousands):</w:t>
      </w:r>
    </w:p>
    <w:tbl>
      <w:tblPr>
        <w:tblW w:w="4154" w:type="dxa"/>
        <w:jc w:val="left"/>
        <w:tblInd w:w="0" w:type="dxa"/>
        <w:tblLayout w:type="fixed"/>
        <w:tblCellMar>
          <w:top w:w="28" w:type="dxa"/>
          <w:left w:w="28" w:type="dxa"/>
          <w:bottom w:w="28" w:type="dxa"/>
          <w:right w:w="28" w:type="dxa"/>
        </w:tblCellMar>
      </w:tblPr>
      <w:tblGrid>
        <w:gridCol w:w="1446"/>
        <w:gridCol w:w="146"/>
        <w:gridCol w:w="211"/>
        <w:gridCol w:w="781"/>
        <w:gridCol w:w="146"/>
        <w:gridCol w:w="146"/>
        <w:gridCol w:w="211"/>
        <w:gridCol w:w="676"/>
        <w:gridCol w:w="39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Semiconductor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Contract assets were recorded in the Condensed Consolidated Balance Sheets as follows (in thousands):</w:t>
      </w:r>
    </w:p>
    <w:tbl>
      <w:tblPr>
        <w:tblW w:w="7470" w:type="dxa"/>
        <w:jc w:val="left"/>
        <w:tblInd w:w="0" w:type="dxa"/>
        <w:tblLayout w:type="fixed"/>
        <w:tblCellMar>
          <w:top w:w="28" w:type="dxa"/>
          <w:left w:w="28" w:type="dxa"/>
          <w:bottom w:w="28" w:type="dxa"/>
          <w:right w:w="28" w:type="dxa"/>
        </w:tblCellMar>
      </w:tblPr>
      <w:tblGrid>
        <w:gridCol w:w="3376"/>
        <w:gridCol w:w="146"/>
        <w:gridCol w:w="306"/>
        <w:gridCol w:w="1134"/>
        <w:gridCol w:w="146"/>
        <w:gridCol w:w="146"/>
        <w:gridCol w:w="367"/>
        <w:gridCol w:w="1358"/>
        <w:gridCol w:w="4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181,736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comprised of deferred revenue related to multi-period licensing arrangements for which the Company is paid in advance, while the underlying performance obligation is satisfied at a future date or over time.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allowance for credit losses at March 31, 2026 and December 31, 2025 was $0.7 million and is presented as part of accounts receivable, net in the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additional revenue and contract disclosures (in thousands):</w:t>
      </w:r>
    </w:p>
    <w:p>
      <w:pPr>
        <w:pStyle w:val="TextBody"/>
        <w:bidi w:val="0"/>
        <w:jc w:val="left"/>
        <w:rPr/>
      </w:pPr>
      <w:r>
        <w:rPr/>
        <w:t> </w:t>
      </w:r>
    </w:p>
    <w:tbl>
      <w:tblPr>
        <w:tblW w:w="8384" w:type="dxa"/>
        <w:jc w:val="left"/>
        <w:tblInd w:w="0" w:type="dxa"/>
        <w:tblLayout w:type="fixed"/>
        <w:tblCellMar>
          <w:top w:w="28" w:type="dxa"/>
          <w:left w:w="28" w:type="dxa"/>
          <w:bottom w:w="28" w:type="dxa"/>
          <w:right w:w="28" w:type="dxa"/>
        </w:tblCellMar>
      </w:tblPr>
      <w:tblGrid>
        <w:gridCol w:w="5886"/>
        <w:gridCol w:w="146"/>
        <w:gridCol w:w="211"/>
        <w:gridCol w:w="676"/>
        <w:gridCol w:w="146"/>
        <w:gridCol w:w="146"/>
        <w:gridCol w:w="211"/>
        <w:gridCol w:w="571"/>
        <w:gridCol w:w="391"/>
      </w:tblGrid>
      <w:tr>
        <w:trPr/>
        <w:tc>
          <w:tcPr>
            <w:tcW w:w="5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Performance obligations satisfied in previous periods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months ended March 31, 2026 and 2025 and expects to record revenue from the prospective license in future periods.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Remaining revenue under contracts with performance obligations represents the aggregate amount of the transaction price allocated to the performance obligations that are unsatisfied (or partially unsatisfied) under certain of the Company’s fixed fee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Revenue related to remaining performance obligations from contracts greater than one year in length is shown below (in thousands):</w:t>
      </w:r>
    </w:p>
    <w:tbl>
      <w:tblPr>
        <w:tblW w:w="8868" w:type="dxa"/>
        <w:jc w:val="left"/>
        <w:tblInd w:w="0" w:type="dxa"/>
        <w:tblLayout w:type="fixed"/>
        <w:tblCellMar>
          <w:top w:w="28" w:type="dxa"/>
          <w:left w:w="28" w:type="dxa"/>
          <w:bottom w:w="28" w:type="dxa"/>
          <w:right w:w="28" w:type="dxa"/>
        </w:tblCellMar>
      </w:tblPr>
      <w:tblGrid>
        <w:gridCol w:w="6691"/>
        <w:gridCol w:w="146"/>
        <w:gridCol w:w="306"/>
        <w:gridCol w:w="1134"/>
        <w:gridCol w:w="5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performance obligations expected to be satisfied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(remaining 9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 COMPOSITION OF CERTAIN FINANCIAL STATEMENT CAPTIONS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current assets consisted of the following (in thousands): </w:t>
      </w:r>
    </w:p>
    <w:p>
      <w:pPr>
        <w:pStyle w:val="TextBody"/>
        <w:bidi w:val="0"/>
        <w:jc w:val="left"/>
        <w:rPr/>
      </w:pPr>
      <w:r>
        <w:rPr/>
        <w:t> </w:t>
      </w:r>
    </w:p>
    <w:tbl>
      <w:tblPr>
        <w:tblW w:w="6140" w:type="dxa"/>
        <w:jc w:val="left"/>
        <w:tblInd w:w="0" w:type="dxa"/>
        <w:tblLayout w:type="fixed"/>
        <w:tblCellMar>
          <w:top w:w="28" w:type="dxa"/>
          <w:left w:w="28" w:type="dxa"/>
          <w:bottom w:w="28" w:type="dxa"/>
          <w:right w:w="28" w:type="dxa"/>
        </w:tblCellMar>
      </w:tblPr>
      <w:tblGrid>
        <w:gridCol w:w="2246"/>
        <w:gridCol w:w="146"/>
        <w:gridCol w:w="388"/>
        <w:gridCol w:w="1052"/>
        <w:gridCol w:w="146"/>
        <w:gridCol w:w="146"/>
        <w:gridCol w:w="465"/>
        <w:gridCol w:w="1260"/>
        <w:gridCol w:w="291"/>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8090" w:type="dxa"/>
        <w:jc w:val="left"/>
        <w:tblInd w:w="0" w:type="dxa"/>
        <w:tblLayout w:type="fixed"/>
        <w:tblCellMar>
          <w:top w:w="28" w:type="dxa"/>
          <w:left w:w="28" w:type="dxa"/>
          <w:bottom w:w="28" w:type="dxa"/>
          <w:right w:w="28" w:type="dxa"/>
        </w:tblCellMar>
      </w:tblPr>
      <w:tblGrid>
        <w:gridCol w:w="4156"/>
        <w:gridCol w:w="146"/>
        <w:gridCol w:w="321"/>
        <w:gridCol w:w="1119"/>
        <w:gridCol w:w="166"/>
        <w:gridCol w:w="146"/>
        <w:gridCol w:w="384"/>
        <w:gridCol w:w="1341"/>
        <w:gridCol w:w="3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long-term assets consisted of the following (in thousands):</w:t>
      </w:r>
    </w:p>
    <w:p>
      <w:pPr>
        <w:pStyle w:val="TextBody"/>
        <w:bidi w:val="0"/>
        <w:spacing w:before="40" w:after="283"/>
        <w:jc w:val="left"/>
        <w:rPr/>
      </w:pPr>
      <w:r>
        <w:rPr/>
        <w:t> </w:t>
      </w:r>
    </w:p>
    <w:tbl>
      <w:tblPr>
        <w:tblW w:w="6385" w:type="dxa"/>
        <w:jc w:val="left"/>
        <w:tblInd w:w="0" w:type="dxa"/>
        <w:tblLayout w:type="fixed"/>
        <w:tblCellMar>
          <w:top w:w="28" w:type="dxa"/>
          <w:left w:w="28" w:type="dxa"/>
          <w:bottom w:w="28" w:type="dxa"/>
          <w:right w:w="28" w:type="dxa"/>
        </w:tblCellMar>
      </w:tblPr>
      <w:tblGrid>
        <w:gridCol w:w="2491"/>
        <w:gridCol w:w="146"/>
        <w:gridCol w:w="342"/>
        <w:gridCol w:w="1098"/>
        <w:gridCol w:w="146"/>
        <w:gridCol w:w="146"/>
        <w:gridCol w:w="409"/>
        <w:gridCol w:w="1316"/>
        <w:gridCol w:w="2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691"/>
        <w:gridCol w:w="146"/>
        <w:gridCol w:w="342"/>
        <w:gridCol w:w="1098"/>
        <w:gridCol w:w="146"/>
        <w:gridCol w:w="146"/>
        <w:gridCol w:w="409"/>
        <w:gridCol w:w="1316"/>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14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long-term liabilities consisted of the following (in thousands): </w:t>
      </w:r>
    </w:p>
    <w:p>
      <w:pPr>
        <w:pStyle w:val="TextBody"/>
        <w:bidi w:val="0"/>
        <w:jc w:val="left"/>
        <w:rPr/>
      </w:pPr>
      <w:r>
        <w:rPr/>
        <w:t> </w:t>
      </w:r>
    </w:p>
    <w:tbl>
      <w:tblPr>
        <w:tblW w:w="6675" w:type="dxa"/>
        <w:jc w:val="left"/>
        <w:tblInd w:w="0" w:type="dxa"/>
        <w:tblLayout w:type="fixed"/>
        <w:tblCellMar>
          <w:top w:w="28" w:type="dxa"/>
          <w:left w:w="28" w:type="dxa"/>
          <w:bottom w:w="28" w:type="dxa"/>
          <w:right w:w="28" w:type="dxa"/>
        </w:tblCellMar>
      </w:tblPr>
      <w:tblGrid>
        <w:gridCol w:w="2881"/>
        <w:gridCol w:w="146"/>
        <w:gridCol w:w="342"/>
        <w:gridCol w:w="1098"/>
        <w:gridCol w:w="146"/>
        <w:gridCol w:w="146"/>
        <w:gridCol w:w="409"/>
        <w:gridCol w:w="131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14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Condensed Consolidated Statements of Income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Income.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marketable securities at March 31,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92"/>
        <w:gridCol w:w="644"/>
        <w:gridCol w:w="146"/>
        <w:gridCol w:w="146"/>
        <w:gridCol w:w="315"/>
        <w:gridCol w:w="721"/>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64,184</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64,184</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45"/>
        <w:gridCol w:w="691"/>
        <w:gridCol w:w="146"/>
        <w:gridCol w:w="146"/>
        <w:gridCol w:w="372"/>
        <w:gridCol w:w="664"/>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2026 and December 31, 2025, the Company had $115.8 million and $136.7 million, respectively, in cash, cash equivalents and marketable securities. A significant portion of these amounts was held in marketable securities, as shown above. The remaining balances of $51.6 million and $72.9 million at March 31, 2026 and December 31, 2025, respectively, were cash held in operating accounts not included in the tables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realized gains and losses on sales of marketable debt securities were immaterial during the three months ended March 31, 2026 and 2025. Unrealized gains and losses on AFS debt securities were immaterial as of March 31, 2026 and December 31, 2025.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 expense related to its AFS debt securities during the three months ended March 31,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marketable debt securities by contractual maturity at March 31, 2026 is shown below (in thousands). Actual maturities may differ from contractual maturities because issuers may have the right to call or prepay obligations without call or prepayment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784" w:type="dxa"/>
        <w:jc w:val="left"/>
        <w:tblInd w:w="0" w:type="dxa"/>
        <w:tblLayout w:type="fixed"/>
        <w:tblCellMar>
          <w:top w:w="28" w:type="dxa"/>
          <w:left w:w="28" w:type="dxa"/>
          <w:bottom w:w="28" w:type="dxa"/>
          <w:right w:w="28" w:type="dxa"/>
        </w:tblCellMar>
      </w:tblPr>
      <w:tblGrid>
        <w:gridCol w:w="2131"/>
        <w:gridCol w:w="146"/>
        <w:gridCol w:w="249"/>
        <w:gridCol w:w="801"/>
        <w:gridCol w:w="146"/>
        <w:gridCol w:w="242"/>
        <w:gridCol w:w="778"/>
        <w:gridCol w:w="2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two to three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
        <w:gridCol w:w="9611"/>
      </w:tblGrid>
      <w:tr>
        <w:trPr/>
        <w:tc>
          <w:tcPr>
            <w:tcW w:w="594" w:type="dxa"/>
            <w:tcBorders/>
            <w:vAlign w:val="center"/>
          </w:tcPr>
          <w:p>
            <w:pPr>
              <w:pStyle w:val="TableContents"/>
              <w:bidi w:val="0"/>
              <w:spacing w:before="0" w:after="283"/>
              <w:jc w:val="left"/>
              <w:rPr>
                <w:sz w:val="4"/>
                <w:szCs w:val="4"/>
              </w:rPr>
            </w:pPr>
            <w:r>
              <w:rPr>
                <w:sz w:val="4"/>
                <w:szCs w:val="4"/>
              </w:rPr>
            </w:r>
          </w:p>
        </w:tc>
        <w:tc>
          <w:tcPr>
            <w:tcW w:w="9611" w:type="dxa"/>
            <w:tcBorders/>
            <w:vAlign w:val="center"/>
          </w:tcPr>
          <w:p>
            <w:pPr>
              <w:pStyle w:val="TableContents"/>
              <w:bidi w:val="0"/>
              <w:spacing w:before="0" w:after="283"/>
              <w:jc w:val="left"/>
              <w:rPr>
                <w:sz w:val="4"/>
                <w:szCs w:val="4"/>
              </w:rPr>
            </w:pPr>
            <w:r>
              <w:rPr>
                <w:sz w:val="4"/>
                <w:szCs w:val="4"/>
              </w:rPr>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1</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2</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market-based inputs or unobservable inputs that are corroborated by market data.</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3</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2025 and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sets forth the fair value, and classification within the hierarchy, of the Company’s assets required to be measured at fair value on a recurring basis as of March 31, 2026 (in thousands):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3"/>
        <w:gridCol w:w="146"/>
        <w:gridCol w:w="216"/>
        <w:gridCol w:w="695"/>
        <w:gridCol w:w="146"/>
        <w:gridCol w:w="146"/>
        <w:gridCol w:w="326"/>
        <w:gridCol w:w="883"/>
        <w:gridCol w:w="146"/>
        <w:gridCol w:w="146"/>
        <w:gridCol w:w="232"/>
        <w:gridCol w:w="744"/>
        <w:gridCol w:w="146"/>
        <w:gridCol w:w="146"/>
        <w:gridCol w:w="443"/>
        <w:gridCol w:w="728"/>
        <w:gridCol w:w="593"/>
      </w:tblGrid>
      <w:tr>
        <w:trPr/>
        <w:tc>
          <w:tcPr>
            <w:tcW w:w="4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 -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 and notes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 -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and agency notes and bills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sets forth the fair value, and classification within the hierarchy, of the Company’s assets required to be measured at fair value on a recurring basis as of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3"/>
        <w:gridCol w:w="146"/>
        <w:gridCol w:w="216"/>
        <w:gridCol w:w="695"/>
        <w:gridCol w:w="146"/>
        <w:gridCol w:w="146"/>
        <w:gridCol w:w="402"/>
        <w:gridCol w:w="807"/>
        <w:gridCol w:w="146"/>
        <w:gridCol w:w="146"/>
        <w:gridCol w:w="232"/>
        <w:gridCol w:w="744"/>
        <w:gridCol w:w="146"/>
        <w:gridCol w:w="146"/>
        <w:gridCol w:w="443"/>
        <w:gridCol w:w="728"/>
        <w:gridCol w:w="593"/>
      </w:tblGrid>
      <w:tr>
        <w:trPr/>
        <w:tc>
          <w:tcPr>
            <w:tcW w:w="4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 -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 and notes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 -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and agency notes and bills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Instruments Not Recorded at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long-term debt is carried at amortized cost and is measured at fair value on a quarterly basis for disclosure purposes. The fair value of the Company’s long-term debt approximates its carrying value as of each of the periods described below. The carrying amounts and estimated fair values are as follows (in thousands): </w:t>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1936"/>
        <w:gridCol w:w="146"/>
        <w:gridCol w:w="211"/>
        <w:gridCol w:w="781"/>
        <w:gridCol w:w="146"/>
        <w:gridCol w:w="146"/>
        <w:gridCol w:w="217"/>
        <w:gridCol w:w="803"/>
        <w:gridCol w:w="146"/>
        <w:gridCol w:w="146"/>
        <w:gridCol w:w="211"/>
        <w:gridCol w:w="781"/>
        <w:gridCol w:w="146"/>
        <w:gridCol w:w="146"/>
        <w:gridCol w:w="217"/>
        <w:gridCol w:w="803"/>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debt, net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Carrying amounts of long-term debt are net of unamortized debt discount and issuance costs of $7.4 million and $8.3 million as of March 31, 2026 and December 31, 2025, respectively. See “Note 8 – </w:t>
      </w:r>
      <w:r>
        <w:rPr>
          <w:rFonts w:ascii="Times New Roman" w:hAnsi="Times New Roman"/>
          <w:i/>
          <w:color w:val="000000"/>
          <w:sz w:val="20"/>
        </w:rPr>
        <w:t>Debt</w:t>
      </w:r>
      <w:r>
        <w:rPr>
          <w:rFonts w:ascii="Times New Roman" w:hAnsi="Times New Roman"/>
          <w:color w:val="000000"/>
          <w:sz w:val="20"/>
        </w:rPr>
        <w:t>”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reported at fair value in the Condensed Consolidated Balance Sheets, the Company’s debt would be classified within Level 2 of the fair value hierarchy. The fair value of the debt was estimated based on the quoted market prices for the same or similar issues.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 GOODWILL AND IDENTIFIED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goodwill at March 31, 2026 and December 31, 2025 was $313.7 million. There were no changes to the carrying value of goodwill from January 1 through March 31, 2026.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months ended March 31, 2026 and 2025.</w:t>
      </w:r>
    </w:p>
    <w:p>
      <w:pPr>
        <w:pStyle w:val="TextBody"/>
        <w:bidi w:val="0"/>
        <w:jc w:val="left"/>
        <w:rPr/>
      </w:pPr>
      <w:r>
        <w:rPr/>
        <w:t> </w:t>
      </w:r>
    </w:p>
    <w:p>
      <w:pPr>
        <w:pStyle w:val="TextBody"/>
        <w:bidi w:val="0"/>
        <w:spacing w:before="120" w:after="200"/>
        <w:jc w:val="left"/>
        <w:rPr>
          <w:rFonts w:ascii="Times New Roman" w:hAnsi="Times New Roman"/>
          <w:i/>
          <w:color w:val="000000"/>
          <w:sz w:val="20"/>
        </w:rPr>
      </w:pPr>
      <w:r>
        <w:rPr>
          <w:rFonts w:ascii="Times New Roman" w:hAnsi="Times New Roman"/>
          <w:i/>
          <w:color w:val="000000"/>
          <w:sz w:val="20"/>
        </w:rPr>
        <w:t>Identified Intangible Assets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Identified 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1386"/>
        <w:gridCol w:w="146"/>
        <w:gridCol w:w="736"/>
        <w:gridCol w:w="146"/>
        <w:gridCol w:w="196"/>
        <w:gridCol w:w="691"/>
        <w:gridCol w:w="146"/>
        <w:gridCol w:w="146"/>
        <w:gridCol w:w="233"/>
        <w:gridCol w:w="893"/>
        <w:gridCol w:w="166"/>
        <w:gridCol w:w="146"/>
        <w:gridCol w:w="196"/>
        <w:gridCol w:w="691"/>
        <w:gridCol w:w="146"/>
        <w:gridCol w:w="146"/>
        <w:gridCol w:w="196"/>
        <w:gridCol w:w="691"/>
        <w:gridCol w:w="146"/>
        <w:gridCol w:w="146"/>
        <w:gridCol w:w="233"/>
        <w:gridCol w:w="893"/>
        <w:gridCol w:w="166"/>
        <w:gridCol w:w="146"/>
        <w:gridCol w:w="196"/>
        <w:gridCol w:w="691"/>
        <w:gridCol w:w="49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Assets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Acquired patents / core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303,456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Customer contracts and related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Existing technology / content database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Trademarks/trade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303,456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estimated future amortization expense of total finite-lived intangible assets was as follows (in thousands):</w:t>
      </w:r>
    </w:p>
    <w:p>
      <w:pPr>
        <w:pStyle w:val="TextBody"/>
        <w:bidi w:val="0"/>
        <w:jc w:val="left"/>
        <w:rPr/>
      </w:pPr>
      <w:r>
        <w:rPr/>
        <w:t> </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outstanding amounts of debt were as follows (in thousands): </w:t>
      </w:r>
    </w:p>
    <w:p>
      <w:pPr>
        <w:pStyle w:val="TextBody"/>
        <w:bidi w:val="0"/>
        <w:jc w:val="left"/>
        <w:rPr/>
      </w:pPr>
      <w:r>
        <w:rPr/>
        <w:t> </w:t>
      </w:r>
    </w:p>
    <w:tbl>
      <w:tblPr>
        <w:tblW w:w="8975" w:type="dxa"/>
        <w:jc w:val="left"/>
        <w:tblInd w:w="0" w:type="dxa"/>
        <w:tblLayout w:type="fixed"/>
        <w:tblCellMar>
          <w:top w:w="28" w:type="dxa"/>
          <w:left w:w="28" w:type="dxa"/>
          <w:bottom w:w="28" w:type="dxa"/>
          <w:right w:w="28" w:type="dxa"/>
        </w:tblCellMar>
      </w:tblPr>
      <w:tblGrid>
        <w:gridCol w:w="5041"/>
        <w:gridCol w:w="146"/>
        <w:gridCol w:w="306"/>
        <w:gridCol w:w="1134"/>
        <w:gridCol w:w="166"/>
        <w:gridCol w:w="146"/>
        <w:gridCol w:w="367"/>
        <w:gridCol w:w="1358"/>
        <w:gridCol w:w="3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net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 Loan 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Credit Agreement dated June 1, 2020 (the “2020 Credit Agreement”), provides for a senior secured term loan B facility (the “Term Loan B”) with maturity on June 8,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the Company entered into Amendment No. 3 (“Amendment No. 3”) to the 2020 Credit Agreement, which provided for a repricing of the entire outstanding aggregate principal amount of $561.1 million. Amendment No. 3 also reduced the interest margins (50 basis points) from SOFR plus a margin of 3.50% per annum to SOFR plus a margin of 3.00% per annum or base rate plus a margin of 2.00% per annum. In addition, Amendment No. 3 lowered the excess cash flow mandatory payment thresholds and credit spread adjustment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the Company entered into Amendment No. 4 (“Amendment No. 4”) to the 2020 Credit Agreement, which provided for a repricing of the outstanding aggregate principal amount of $487.1 million. Amendment No. 4 further reduced the interest margins (50 basis points) to SOFR plus a margin of 2.50% per annum or base rate plus a margin of 1.50%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obligations under the 2020 Credit Agreement, as amended, continue to be guaranteed by the Company’s wholly-owned material domestic subsidiaries (collectively, the “Guarantors”) and continue to be secured by a lien on substantially all assets of the Company and the Guarantors.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Credit Agreement, as amended, contains customary events of default, representations, warranties, and affirmative and negative covenants. It also requires the Company to maintain a total net leverage ratio of no greater than 3.00x to access a basket for restricted payments (including dividends and share repurchases). As of March 31, 2026, the Company was in compliance with all requirements under the 2020 Credit Agreement,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the Company made during the year ended December 31, 2025, no excess cash flow payments are required for 2026.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xml:space="preserve">Interest Expense and Expected Principal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March 31, 2026, the Company had $398.6 million in total debt outstanding. There were also $7.4 million of unamortized debt discount and issuance costs recorded as a reduction from the carrying amount of the debt. The interest rate on the Term Loan B as of March 31, 2026, including the amortization of debt discount and issuance costs, was 7.3% and interest is payable monthly.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future minimum principal payments for long-term debt, excluding any additional principal payment required by the excess cash flow provision, are summarized as follows (in thousands):</w:t>
      </w:r>
    </w:p>
    <w:p>
      <w:pPr>
        <w:pStyle w:val="TextBody"/>
        <w:bidi w:val="0"/>
        <w:jc w:val="left"/>
        <w:rPr/>
      </w:pPr>
      <w:r>
        <w:rPr/>
        <w:t> </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9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398,640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NOTE 9 – NET INCOME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net income per share (in thousands, except per share amounts):</w:t>
      </w:r>
    </w:p>
    <w:p>
      <w:pPr>
        <w:pStyle w:val="TextBody"/>
        <w:bidi w:val="0"/>
        <w:jc w:val="left"/>
        <w:rPr/>
      </w:pPr>
      <w:r>
        <w:rPr/>
        <w:t> </w:t>
      </w:r>
    </w:p>
    <w:tbl>
      <w:tblPr>
        <w:tblW w:w="10069" w:type="dxa"/>
        <w:jc w:val="left"/>
        <w:tblInd w:w="0" w:type="dxa"/>
        <w:tblLayout w:type="fixed"/>
        <w:tblCellMar>
          <w:top w:w="28" w:type="dxa"/>
          <w:left w:w="28" w:type="dxa"/>
          <w:bottom w:w="28" w:type="dxa"/>
          <w:right w:w="28" w:type="dxa"/>
        </w:tblCellMar>
      </w:tblPr>
      <w:tblGrid>
        <w:gridCol w:w="7156"/>
        <w:gridCol w:w="146"/>
        <w:gridCol w:w="211"/>
        <w:gridCol w:w="781"/>
        <w:gridCol w:w="146"/>
        <w:gridCol w:w="146"/>
        <w:gridCol w:w="211"/>
        <w:gridCol w:w="781"/>
        <w:gridCol w:w="491"/>
      </w:tblGrid>
      <w:tr>
        <w:trPr/>
        <w:tc>
          <w:tcPr>
            <w:tcW w:w="7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restricted stock awards and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employee stock 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 dilutive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113,021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employee stock-based awards,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per share is computed using the weighted average number of shares of common stock outstanding during the period, excluding any unvested restricted stock awards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awards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2020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 awards (i.e. stock awards, restricted stock awards, restricted stock units, performance awards and dividend equivalents) prior to May 9, 2024 are counted against shares available for issuance on a 1.5 to 1 ratio). As of March 31, 2026, there were approximately 2.1 million shares reserved for future grants under the 2020 EIP.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Assumed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The Company has no stock options outstanding as of March 31, 2026 or December 31, 2025, respectively. Awards of restricted stock and restricted stock units assumed from the Assumed Plans are generally subject to a four year vesting period. The Company has not issued any awards under these plans since the 2020 EIP was amended in 2022.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with respect to outstanding restricted stock awards (including both time-based vesting and performance-based vesting) as of March 31, 2026 is as follows (in thousands, except per share amounts):</w:t>
      </w:r>
    </w:p>
    <w:p>
      <w:pPr>
        <w:pStyle w:val="TextBody"/>
        <w:bidi w:val="0"/>
        <w:jc w:val="left"/>
        <w:rPr/>
      </w:pPr>
      <w:r>
        <w:rPr/>
        <w:t> </w:t>
      </w:r>
    </w:p>
    <w:tbl>
      <w:tblPr>
        <w:tblW w:w="8249" w:type="dxa"/>
        <w:jc w:val="left"/>
        <w:tblInd w:w="0" w:type="dxa"/>
        <w:tblLayout w:type="fixed"/>
        <w:tblCellMar>
          <w:top w:w="28" w:type="dxa"/>
          <w:left w:w="28" w:type="dxa"/>
          <w:bottom w:w="28" w:type="dxa"/>
          <w:right w:w="28" w:type="dxa"/>
        </w:tblCellMar>
      </w:tblPr>
      <w:tblGrid>
        <w:gridCol w:w="2686"/>
        <w:gridCol w:w="146"/>
        <w:gridCol w:w="222"/>
        <w:gridCol w:w="963"/>
        <w:gridCol w:w="166"/>
        <w:gridCol w:w="146"/>
        <w:gridCol w:w="222"/>
        <w:gridCol w:w="963"/>
        <w:gridCol w:w="166"/>
        <w:gridCol w:w="146"/>
        <w:gridCol w:w="177"/>
        <w:gridCol w:w="768"/>
        <w:gridCol w:w="166"/>
        <w:gridCol w:w="146"/>
        <w:gridCol w:w="262"/>
        <w:gridCol w:w="713"/>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br/>
              <w:t>Subject to</w:t>
              <w:br/>
              <w:t>Time-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br/>
              <w:t>Subject to</w:t>
              <w:br/>
              <w:t>Performance-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Employee Stock Purchase Plan (the “2020 ESPP”) provides eligible employees with the opportunity to acquire an ownership interest in the Company. The 2020 ESPP is implemented through consecutive overlapping 24-month offering periods, each of which is comprised of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there were 4.8 million shares reserved for grant under the Company’s 2020 ESPP.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of the Company’s common stock are entitled to receive dividends if and when declared by the Company’s Board of Directors. For the periods ended March 31, 2026 and 2025, dividends declared were $0.05 per common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capacity to pay dividends in the future depends on many factors, including the Company’s financial condition, results of operations, capital requirements, capital structure, industry practice and other business conditions that the Board of Directors considers relevant.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the Company’s Board of Directors approved an increase of the existing share repurchase authorization up to a total of $200.0 million. During the three months ended March 31, 2026, the Company repurchased a total of approximately 0.4 million shares of common stock, at an average price of $22.45 per share for a total cost of $10.0 million. During the three months ended March 31, 2025, the Company repurchased a total of approximately 0.8 million shares of common stock, at an average price of $13.19 per share for a total cost of $10.0 million. The shares repurchased are recorded as treasury stock and are accounted for under the cost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expiration date has been specified for this plan. As of March 31, 2026, the total remaining amount available for repurchase under this plan was $150.0 million. The Company may execute authorized repurchases from time to time under the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 STOCK-BASED COMPENSATION EXPENSE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effect of recording stock-based compensation expense for the three months ended March 31, 2026 and 2025 is as follows (in thousands): </w:t>
      </w:r>
    </w:p>
    <w:tbl>
      <w:tblPr>
        <w:tblW w:w="5662" w:type="dxa"/>
        <w:jc w:val="left"/>
        <w:tblInd w:w="0" w:type="dxa"/>
        <w:tblLayout w:type="fixed"/>
        <w:tblCellMar>
          <w:top w:w="28" w:type="dxa"/>
          <w:left w:w="28" w:type="dxa"/>
          <w:bottom w:w="28" w:type="dxa"/>
          <w:right w:w="28" w:type="dxa"/>
        </w:tblCellMar>
      </w:tblPr>
      <w:tblGrid>
        <w:gridCol w:w="3451"/>
        <w:gridCol w:w="146"/>
        <w:gridCol w:w="213"/>
        <w:gridCol w:w="577"/>
        <w:gridCol w:w="147"/>
        <w:gridCol w:w="147"/>
        <w:gridCol w:w="213"/>
        <w:gridCol w:w="57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8,756</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Company uses a Monte Carlo simulation to determine the grant date fair value of performance stock awards subject to market conditions, or market-based PSUs. The following assumptions were used to value the performance stock awards subject to market conditions granted during the three months ended March 31, 2026 and 2025:</w:t>
      </w:r>
    </w:p>
    <w:tbl>
      <w:tblPr>
        <w:tblW w:w="4772" w:type="dxa"/>
        <w:jc w:val="left"/>
        <w:tblInd w:w="0" w:type="dxa"/>
        <w:tblLayout w:type="fixed"/>
        <w:tblCellMar>
          <w:top w:w="28" w:type="dxa"/>
          <w:left w:w="28" w:type="dxa"/>
          <w:bottom w:w="28" w:type="dxa"/>
          <w:right w:w="28" w:type="dxa"/>
        </w:tblCellMar>
      </w:tblPr>
      <w:tblGrid>
        <w:gridCol w:w="1946"/>
        <w:gridCol w:w="146"/>
        <w:gridCol w:w="1406"/>
        <w:gridCol w:w="246"/>
        <w:gridCol w:w="146"/>
        <w:gridCol w:w="466"/>
        <w:gridCol w:w="416"/>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1.9 - 2.8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3.3% - 3.5%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 - 1.3%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48.9% - 50.6%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sz w:val="20"/>
        </w:rPr>
      </w:pPr>
      <w:r>
        <w:rPr>
          <w:rFonts w:ascii="Times New Roman" w:hAnsi="Times New Roman"/>
          <w:color w:val="000000"/>
          <w:sz w:val="20"/>
        </w:rPr>
        <w:t xml:space="preserve">Grants under the 2020 ESPP occur in June and December, as discussed in “Note 10 – </w:t>
      </w:r>
      <w:r>
        <w:rPr>
          <w:rFonts w:ascii="Times New Roman" w:hAnsi="Times New Roman"/>
          <w:i/>
          <w:color w:val="000000"/>
          <w:sz w:val="20"/>
        </w:rPr>
        <w:t>Stockholders’ Equity</w:t>
      </w:r>
      <w:r>
        <w:rPr>
          <w:rFonts w:ascii="Times New Roman" w:hAnsi="Times New Roman"/>
          <w:color w:val="000000"/>
          <w:sz w:val="20"/>
        </w:rPr>
        <w:t>”. There were no ESPP grants during the three months ended March 31, 2026 and 2025.</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income tax provision and effective tax rate for interim periods are based on its estimated annual effective tax rate adjusted for discrete items during the period. For the three months ended March 31, 2026 and 2025, the Company recorded income tax expense of $5.2 million and $2.1 million, respectively. The effective tax rate varies from the 21% U.S. federal tax rate primarily due to excess tax benefits related to stock-based compensation. The increase in income tax expense for the three months ended March 31, 2026, as compared to the same period in the prior year was primarily due to an increase in pretax income. </w:t>
      </w:r>
    </w:p>
    <w:p>
      <w:pPr>
        <w:pStyle w:val="TextBody"/>
        <w:bidi w:val="0"/>
        <w:spacing w:before="240" w:after="283"/>
        <w:jc w:val="left"/>
        <w:rPr>
          <w:rFonts w:ascii="Times New Roman" w:hAnsi="Times New Roman"/>
          <w:sz w:val="20"/>
        </w:rPr>
      </w:pPr>
      <w:r>
        <w:rPr>
          <w:rFonts w:ascii="Times New Roman" w:hAnsi="Times New Roman"/>
          <w:b/>
          <w:color w:val="000000"/>
          <w:sz w:val="20"/>
        </w:rPr>
        <w:t>NOTE 13 –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office and research facilities, and office equipment under operating leases which expire through 2032. The Company’s leases have remaining lease terms of two to seven years, some of which may include options to extend the leases for five years or longer, and some of which may include options to terminate the leases within the next five years or less. Leases with an initial term of 12 months or less are not recorded on the Condensed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components of operating lease costs were as follows (in thousands):</w:t>
      </w:r>
    </w:p>
    <w:tbl>
      <w:tblPr>
        <w:tblW w:w="4417" w:type="dxa"/>
        <w:jc w:val="left"/>
        <w:tblInd w:w="0" w:type="dxa"/>
        <w:tblLayout w:type="fixed"/>
        <w:tblCellMar>
          <w:top w:w="28" w:type="dxa"/>
          <w:left w:w="28" w:type="dxa"/>
          <w:bottom w:w="28" w:type="dxa"/>
          <w:right w:w="28" w:type="dxa"/>
        </w:tblCellMar>
      </w:tblPr>
      <w:tblGrid>
        <w:gridCol w:w="2206"/>
        <w:gridCol w:w="146"/>
        <w:gridCol w:w="254"/>
        <w:gridCol w:w="507"/>
        <w:gridCol w:w="176"/>
        <w:gridCol w:w="176"/>
        <w:gridCol w:w="254"/>
        <w:gridCol w:w="50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Other information related to leases was as follows (in thousands, except lease term and discount rate):</w:t>
      </w:r>
    </w:p>
    <w:tbl>
      <w:tblPr>
        <w:tblW w:w="8272" w:type="dxa"/>
        <w:jc w:val="left"/>
        <w:tblInd w:w="0" w:type="dxa"/>
        <w:tblLayout w:type="fixed"/>
        <w:tblCellMar>
          <w:top w:w="28" w:type="dxa"/>
          <w:left w:w="28" w:type="dxa"/>
          <w:bottom w:w="28" w:type="dxa"/>
          <w:right w:w="28" w:type="dxa"/>
        </w:tblCellMar>
      </w:tblPr>
      <w:tblGrid>
        <w:gridCol w:w="6061"/>
        <w:gridCol w:w="146"/>
        <w:gridCol w:w="254"/>
        <w:gridCol w:w="507"/>
        <w:gridCol w:w="176"/>
        <w:gridCol w:w="176"/>
        <w:gridCol w:w="254"/>
        <w:gridCol w:w="507"/>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4216"/>
        <w:gridCol w:w="146"/>
        <w:gridCol w:w="343"/>
        <w:gridCol w:w="1097"/>
        <w:gridCol w:w="271"/>
        <w:gridCol w:w="146"/>
        <w:gridCol w:w="411"/>
        <w:gridCol w:w="1314"/>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minimum lease payments and related lease liabilities as of March 31, 2026 were as follows (in thousands):</w:t>
      </w:r>
    </w:p>
    <w:tbl>
      <w:tblPr>
        <w:tblW w:w="7738" w:type="dxa"/>
        <w:jc w:val="left"/>
        <w:tblInd w:w="0" w:type="dxa"/>
        <w:tblLayout w:type="fixed"/>
        <w:tblCellMar>
          <w:top w:w="28" w:type="dxa"/>
          <w:left w:w="28" w:type="dxa"/>
          <w:bottom w:w="28" w:type="dxa"/>
          <w:right w:w="28" w:type="dxa"/>
        </w:tblCellMar>
      </w:tblPr>
      <w:tblGrid>
        <w:gridCol w:w="4786"/>
        <w:gridCol w:w="146"/>
        <w:gridCol w:w="617"/>
        <w:gridCol w:w="1978"/>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Operating Lease Payments </w:t>
            </w:r>
            <w:r>
              <w:rPr>
                <w:rFonts w:ascii="Times New Roman" w:hAnsi="Times New Roman"/>
                <w:b/>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(remaining 9 months)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Future minimum lease payments exclude short-term leases as well as payments to landlords for variable common area maintenance, insurance and real estate taxes.</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tenant improvements allowance of $1.5 million in 2026.</w:t>
      </w:r>
    </w:p>
    <w:p>
      <w:pPr>
        <w:pStyle w:val="TextBody"/>
        <w:bidi w:val="0"/>
        <w:spacing w:before="240" w:after="283"/>
        <w:jc w:val="left"/>
        <w:rPr>
          <w:rFonts w:ascii="Times New Roman" w:hAnsi="Times New Roman"/>
          <w:sz w:val="20"/>
        </w:rPr>
      </w:pPr>
      <w:bookmarkStart w:id="10" w:name="note_13___commitments_and_contingencies"/>
      <w:bookmarkEnd w:id="10"/>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 and Other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March 31, 2026, the Company’s total future unconditional purchase obligations were approximately $6.9 million, including $2.4 million due in the remainder of 2026, $2.5 million due in 2027, and $2.0 million due thereafter.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Separation, Adeia Media LLC, a subsidiary of the Company (“Adeia Media”), and a subsidiary of Xperi Inc.(“Xperi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As of March 31, 2026 and December 31 2025, the balance of the guarantee liability was $16.3 million. Operating expense reimbursements are capped at a maximum of $7.5 million per annum. To date, such reimbursements have not been material.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each reporting period, the Company evaluates whether or not a potential loss amount or a potential range of losses is probable and reasonably estimable under the provisions of the authoritative guidance that addresses accounting for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Litigation related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unable to predict the final outcome of lawsuits, including patent infringement lawsuits,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 </w:t>
      </w:r>
    </w:p>
    <w:p>
      <w:pPr>
        <w:pStyle w:val="TextBody"/>
        <w:bidi w:val="0"/>
        <w:spacing w:before="240" w:after="283"/>
        <w:jc w:val="left"/>
        <w:rPr>
          <w:rFonts w:ascii="Times New Roman" w:hAnsi="Times New Roman"/>
          <w:b/>
          <w:color w:val="000000"/>
          <w:sz w:val="20"/>
        </w:rPr>
      </w:pPr>
      <w:bookmarkStart w:id="11" w:name="note_14___segment_and_geographic_informa"/>
      <w:bookmarkEnd w:id="11"/>
      <w:r>
        <w:rPr>
          <w:rFonts w:ascii="Times New Roman" w:hAnsi="Times New Roman"/>
          <w:b/>
          <w:color w:val="000000"/>
          <w:sz w:val="20"/>
        </w:rPr>
        <w:t>NOTE 15 – SEGMENT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one reportable segment: IP Licensing. The IP Licensing segment derives revenues from license agreements to (i) its media patent portfolio and (ii) its semiconductor technologies patent portfolio, see further discussion on revenue generating activities in “Note 3 – </w:t>
      </w:r>
      <w:r>
        <w:rPr>
          <w:rFonts w:ascii="Times New Roman" w:hAnsi="Times New Roman"/>
          <w:i/>
          <w:color w:val="000000"/>
          <w:sz w:val="20"/>
        </w:rPr>
        <w:t>Revenue”</w:t>
      </w:r>
      <w:r>
        <w:rPr>
          <w:rFonts w:ascii="Times New Roman" w:hAnsi="Times New Roman"/>
          <w:color w:val="000000"/>
          <w:sz w:val="20"/>
        </w:rPr>
        <w:t>. The Company derives revenue primarily in North America and manages the business activities on a consolidated basis.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accounting policies of the IP Licensing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CODM uses net income to evaluate income generated from segment assets (return on assets) in deciding whether to reinvest profits into the IP Licensing segment or into other parts of the entity, such as for acquisitions or to return value to shareholders.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Company’s IP Licensing segment revenue, significant expenses and income (in thousands): </w:t>
      </w:r>
    </w:p>
    <w:tbl>
      <w:tblPr>
        <w:tblW w:w="6934" w:type="dxa"/>
        <w:jc w:val="left"/>
        <w:tblInd w:w="0" w:type="dxa"/>
        <w:tblLayout w:type="fixed"/>
        <w:tblCellMar>
          <w:top w:w="28" w:type="dxa"/>
          <w:left w:w="28" w:type="dxa"/>
          <w:bottom w:w="28" w:type="dxa"/>
          <w:right w:w="28" w:type="dxa"/>
        </w:tblCellMar>
      </w:tblPr>
      <w:tblGrid>
        <w:gridCol w:w="4126"/>
        <w:gridCol w:w="146"/>
        <w:gridCol w:w="211"/>
        <w:gridCol w:w="781"/>
        <w:gridCol w:w="146"/>
        <w:gridCol w:w="146"/>
        <w:gridCol w:w="211"/>
        <w:gridCol w:w="676"/>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portfolio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related technical sales support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Outside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segment items include facilities and other related expenses, marketing and advertising expenses, depreciation expense, travel and entertainment expenses, other income and expense, and other overhead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by Geography and 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 except for percentages):</w:t>
      </w:r>
    </w:p>
    <w:p>
      <w:pPr>
        <w:pStyle w:val="TextBody"/>
        <w:bidi w:val="0"/>
        <w:jc w:val="left"/>
        <w:rPr/>
      </w:pPr>
      <w:r>
        <w:rPr/>
        <w:t> </w:t>
      </w:r>
    </w:p>
    <w:tbl>
      <w:tblPr>
        <w:tblW w:w="6637" w:type="dxa"/>
        <w:jc w:val="left"/>
        <w:tblInd w:w="0" w:type="dxa"/>
        <w:tblLayout w:type="fixed"/>
        <w:tblCellMar>
          <w:top w:w="28" w:type="dxa"/>
          <w:left w:w="28" w:type="dxa"/>
          <w:bottom w:w="28" w:type="dxa"/>
          <w:right w:w="28" w:type="dxa"/>
        </w:tblCellMar>
      </w:tblPr>
      <w:tblGrid>
        <w:gridCol w:w="2086"/>
        <w:gridCol w:w="146"/>
        <w:gridCol w:w="211"/>
        <w:gridCol w:w="781"/>
        <w:gridCol w:w="146"/>
        <w:gridCol w:w="146"/>
        <w:gridCol w:w="146"/>
        <w:gridCol w:w="421"/>
        <w:gridCol w:w="271"/>
        <w:gridCol w:w="146"/>
        <w:gridCol w:w="211"/>
        <w:gridCol w:w="676"/>
        <w:gridCol w:w="146"/>
        <w:gridCol w:w="146"/>
        <w:gridCol w:w="146"/>
        <w:gridCol w:w="421"/>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and 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three months ended March 31, 2026 and 2025, there were two customers that each accounted for 10% or more of total revenue, respectively. The following table sets forth revenue generated from customers which comprise 10% or more of total revenue for the periods indicated:</w:t>
      </w:r>
    </w:p>
    <w:tbl>
      <w:tblPr>
        <w:tblW w:w="3414" w:type="dxa"/>
        <w:jc w:val="left"/>
        <w:tblInd w:w="0" w:type="dxa"/>
        <w:tblLayout w:type="fixed"/>
        <w:tblCellMar>
          <w:top w:w="28" w:type="dxa"/>
          <w:left w:w="28" w:type="dxa"/>
          <w:bottom w:w="28" w:type="dxa"/>
          <w:right w:w="28" w:type="dxa"/>
        </w:tblCellMar>
      </w:tblPr>
      <w:tblGrid>
        <w:gridCol w:w="1081"/>
        <w:gridCol w:w="146"/>
        <w:gridCol w:w="166"/>
        <w:gridCol w:w="532"/>
        <w:gridCol w:w="309"/>
        <w:gridCol w:w="166"/>
        <w:gridCol w:w="166"/>
        <w:gridCol w:w="532"/>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denotes less than 10% of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2026, the Company had one customer representing 68% of aggregate accounts receivable. At December 31, 2025, the Company had one customer representing 63% of aggregate accounts receivable. </w:t>
      </w:r>
    </w:p>
    <w:p>
      <w:pPr>
        <w:pStyle w:val="TextBody"/>
        <w:bidi w:val="0"/>
        <w:spacing w:before="240" w:after="283"/>
        <w:jc w:val="left"/>
        <w:rPr>
          <w:rFonts w:ascii="Times New Roman" w:hAnsi="Times New Roman"/>
          <w:sz w:val="20"/>
        </w:rPr>
      </w:pPr>
      <w:r>
        <w:rPr>
          <w:rFonts w:ascii="Times New Roman" w:hAnsi="Times New Roman"/>
          <w:i/>
          <w:color w:val="000000"/>
          <w:sz w:val="20"/>
        </w:rPr>
        <w:t>Other Geography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2026 and December 31, 2025, property and equipment, net, was all located in the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Declaration of Cash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21, 2026, the Board declared a cash dividend of $0.05 per share of common stock, payable on June 15, 2026 to the stockholders of record at the close of business on May 26,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2025 found in the Form 10-K filed by us on February 26, 2026 (the “Form 10-K”). This section of this Form 10-Q generally discusses quarter over quarter comparisons of 2026 against 2025.</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the Company’s ability to pay dividends on a consistent basis or at all; legislative, regulatory, geopolitical and economic developments affecting the Company’s business; general economic and market developments and conditions; the Company’s ability to grow and expand its patent portfolios and expand into additional addressable markets; changes in technology and development of new technology in the industries in which the Company operates; the evolving legal, regulatory and tax regimes under which the Company operates; unforeseen liabilities and expenses; the Company’s ability to carry out its share repurchase program and the timing of any such repurchases;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i/>
          <w:color w:val="000000"/>
          <w:sz w:val="20"/>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Adeia Inc. (formerly known as Xperi Holding Corporation) (“Adeia”, “we”) is a technology company and an innovation incubator. We have spent decades investing in advanced research and development to create market-leading technologies for the entertainment, media, consumer electronics, and semiconductor industries. Our innovative solutions support practically every aspect of consumers’ day-to-day interaction with media, consumer electronics and entertainment, enabling our customers to build customized, next-generation solutions for users around the globe. We believe our commitment to and investment in innovation has resulted in a leading IP licensing platform in these industries, with an extensive portfolio of media and semiconductor IP and approximately 13,750 media and semiconductor patent assets worldwide. In order to serve an increasingly connected world, we invent, develop, acquire and license fundamental innovations that enhance billions of devices and shape the way millions of people explore and experience entertainment and technology across a variety of platforms.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innovations address one of the biggest consumer trends in entertainment today – the massive proliferation of entertainment content and the rapidly changing habits of how consumers are finding, engaging with and enjoying entertainment and evolving technology, such as artificial intelligence (“AI”).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Headquartered in Silicon Valley with more than 35 years of operating experience, we have approximately 150 full-time employees, with substantially all of our employees located in the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due to inflation, geopolitical instability and global health events have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a significant portion of our revenue is derived from fixed-fee and minimum-guarantee arrangements from large, well-capitalized customers, our per-unit and variable-fee based revenue will continue to be susceptible to global health concerns, outbreaks, pandemics, armed conflict, geopolitical factors, trade regulations and tariffs, market volatility, labor shortages, supply chain disruptions, microchip shortages, changes in demand for semiconductors and market downturns.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our financial condition and operating performance, we primarily focus on revenue and cash flows from operations. For the three months ended March 31, 2026, as compared to the same period in 2025:</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increased by $17.1 million, or 19.5%, from $87.7 million in 2025 to $104.8 million in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Recurring revenues decreased by $18.1 million, or 21.4% from $84.4 million in 2025 to $66.3 million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Non-recurring revenues increased by $35.2 million, or 1067.0% from $3.3 million in 2025 to $38.5 million in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increased by $1.4 million, or 2.5% from $57.1 million in 2025 to $58.5 million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made $28.1 million in principal payments towards our term loan, bringing the outstanding balance to $398.6 million as of March 31,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repurchased $10.0 million of our common stock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derive the majority of our revenue from the licensing of our IP rights to customers. For our revenue recognition policy, including descriptions of revenue-generating activities, refer to “Note 3 – </w:t>
      </w:r>
      <w:r>
        <w:rPr>
          <w:rFonts w:ascii="Times New Roman" w:hAnsi="Times New Roman"/>
          <w:i/>
          <w:color w:val="000000"/>
          <w:sz w:val="20"/>
        </w:rPr>
        <w:t>Revenue</w:t>
      </w:r>
      <w:r>
        <w:rPr>
          <w:rFonts w:ascii="Times New Roman" w:hAnsi="Times New Roman"/>
          <w:color w:val="000000"/>
          <w:sz w:val="20"/>
        </w:rPr>
        <w:t>” of the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our operating results for the periods indicated as a percentage of revenue:</w:t>
      </w:r>
    </w:p>
    <w:tbl>
      <w:tblPr>
        <w:tblW w:w="5766" w:type="dxa"/>
        <w:jc w:val="left"/>
        <w:tblInd w:w="0" w:type="dxa"/>
        <w:tblLayout w:type="fixed"/>
        <w:tblCellMar>
          <w:top w:w="28" w:type="dxa"/>
          <w:left w:w="28" w:type="dxa"/>
          <w:bottom w:w="28" w:type="dxa"/>
          <w:right w:w="28" w:type="dxa"/>
        </w:tblCellMar>
      </w:tblPr>
      <w:tblGrid>
        <w:gridCol w:w="3156"/>
        <w:gridCol w:w="146"/>
        <w:gridCol w:w="176"/>
        <w:gridCol w:w="509"/>
        <w:gridCol w:w="327"/>
        <w:gridCol w:w="176"/>
        <w:gridCol w:w="176"/>
        <w:gridCol w:w="509"/>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our revenue for the three months ended March 31, 2026 and 2025 (in thousands, except for percentages):</w:t>
      </w:r>
    </w:p>
    <w:tbl>
      <w:tblPr>
        <w:tblW w:w="5936"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676"/>
        <w:gridCol w:w="146"/>
        <w:gridCol w:w="146"/>
        <w:gridCol w:w="211"/>
        <w:gridCol w:w="676"/>
        <w:gridCol w:w="146"/>
        <w:gridCol w:w="146"/>
        <w:gridCol w:w="313"/>
        <w:gridCol w:w="67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revenue during the three months ended March 31, 2026, as compared to the same period in 2025, was primarily attributable to the execution of two new multi-year license agreements with AMD and Microsoft in 2026; partially offset by declines in royalty revenue from certain Pay-TV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for the three months ended March 31, 2026 and 2025 were $66.3 million and $84.4 million, respectively. The decrease of $18.1 million was driven primarily by declines in royalty revenue from certain Pay-TV customers; partially offset by the execution of license agreements with new customers from April 1, 2025 to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Non-recurring revenues for the three months ended March 31, 2026 and 2025 were $38.5 million and $3.3 million, respectively. The increase of $35.2 million was primarily attributable to the execution of three new license agreements in the first quarter of 2026, including AMD and another new customer for access to our semiconductor IP portfolio, and Microsoft for access to our media portfolio.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(in thousands, except for percentages):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Research and development (“R&amp;D”) costs consist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costs are expensed as incurred. We intend to make a continued investment in our R&amp;D efforts because we believe they are essential to grow our patent portfolios to maintain and improve our competitiveness.</w:t>
      </w:r>
    </w:p>
    <w:tbl>
      <w:tblPr>
        <w:tblW w:w="7240"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22"/>
        <w:gridCol w:w="604"/>
        <w:gridCol w:w="146"/>
        <w:gridCol w:w="146"/>
        <w:gridCol w:w="313"/>
        <w:gridCol w:w="678"/>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R&amp;D costs during the three months ended March 31, 2026, as compared to the same period in 2025, was primarily due to an increase in patent portfolio expenses and an increase in personnel related costs as a result of increased headcount.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(in thousands, except for percentages):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 </w:t>
      </w:r>
    </w:p>
    <w:tbl>
      <w:tblPr>
        <w:tblW w:w="7885"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22"/>
        <w:gridCol w:w="604"/>
        <w:gridCol w:w="146"/>
        <w:gridCol w:w="146"/>
        <w:gridCol w:w="405"/>
        <w:gridCol w:w="586"/>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SG&amp;A expense during the three months ended March 31, 2026, as compared to the same period in 2025, was primarily due to an increase in personnel related costs as a result of increased headcount and an increase in advertising expense, partially offset by lower outside services.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Amortization Expense (in thousands, except for percentages):</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1906"/>
        <w:gridCol w:w="146"/>
        <w:gridCol w:w="211"/>
        <w:gridCol w:w="676"/>
        <w:gridCol w:w="146"/>
        <w:gridCol w:w="146"/>
        <w:gridCol w:w="211"/>
        <w:gridCol w:w="676"/>
        <w:gridCol w:w="146"/>
        <w:gridCol w:w="146"/>
        <w:gridCol w:w="222"/>
        <w:gridCol w:w="604"/>
        <w:gridCol w:w="146"/>
        <w:gridCol w:w="146"/>
        <w:gridCol w:w="313"/>
        <w:gridCol w:w="678"/>
        <w:gridCol w:w="31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amortization expense during the three months ended March 31, 2026, as compared to the same period in 2025, was primarily due to patents acquired in 2025, partially offset by certain intangible assets becoming fully amortized during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Litigation Expense (in thousands, except for percentages):</w:t>
      </w:r>
    </w:p>
    <w:p>
      <w:pPr>
        <w:pStyle w:val="TextBody"/>
        <w:bidi w:val="0"/>
        <w:jc w:val="left"/>
        <w:rPr/>
      </w:pPr>
      <w:r>
        <w:rPr/>
        <w:t> </w:t>
      </w:r>
    </w:p>
    <w:tbl>
      <w:tblPr>
        <w:tblW w:w="6370" w:type="dxa"/>
        <w:jc w:val="left"/>
        <w:tblInd w:w="0" w:type="dxa"/>
        <w:tblLayout w:type="fixed"/>
        <w:tblCellMar>
          <w:top w:w="28" w:type="dxa"/>
          <w:left w:w="28" w:type="dxa"/>
          <w:bottom w:w="28" w:type="dxa"/>
          <w:right w:w="28" w:type="dxa"/>
        </w:tblCellMar>
      </w:tblPr>
      <w:tblGrid>
        <w:gridCol w:w="1651"/>
        <w:gridCol w:w="146"/>
        <w:gridCol w:w="211"/>
        <w:gridCol w:w="571"/>
        <w:gridCol w:w="146"/>
        <w:gridCol w:w="146"/>
        <w:gridCol w:w="211"/>
        <w:gridCol w:w="571"/>
        <w:gridCol w:w="146"/>
        <w:gridCol w:w="146"/>
        <w:gridCol w:w="275"/>
        <w:gridCol w:w="551"/>
        <w:gridCol w:w="146"/>
        <w:gridCol w:w="146"/>
        <w:gridCol w:w="405"/>
        <w:gridCol w:w="586"/>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litigation expense for the three months ended March 31, 2026, was relatively consistent with the same period in 2025. Higher expenses driven by increased activity in certain matters that have settled were offset by expenses associated with new litigation matters. See Part II, Item 1 – </w:t>
      </w:r>
      <w:r>
        <w:rPr>
          <w:rFonts w:ascii="Times New Roman" w:hAnsi="Times New Roman"/>
          <w:i/>
          <w:color w:val="000000"/>
          <w:sz w:val="20"/>
        </w:rPr>
        <w:t>Legal Proceedings</w:t>
      </w:r>
      <w:r>
        <w:rPr>
          <w:rFonts w:ascii="Times New Roman" w:hAnsi="Times New Roman"/>
          <w:color w:val="000000"/>
          <w:sz w:val="20"/>
        </w:rPr>
        <w:t xml:space="preserve"> for additional information regarding these matters.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hAnsi="Times New Roman"/>
          <w:i/>
          <w:color w:val="000000"/>
          <w:sz w:val="20"/>
        </w:rPr>
        <w:t>Legal Proceedings</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 (in thousands, except for percentages):</w:t>
      </w:r>
    </w:p>
    <w:p>
      <w:pPr>
        <w:pStyle w:val="TextBody"/>
        <w:bidi w:val="0"/>
        <w:jc w:val="left"/>
        <w:rPr/>
      </w:pPr>
      <w:r>
        <w:rPr/>
        <w:t> </w:t>
      </w:r>
    </w:p>
    <w:tbl>
      <w:tblPr>
        <w:tblW w:w="6375" w:type="dxa"/>
        <w:jc w:val="left"/>
        <w:tblInd w:w="0" w:type="dxa"/>
        <w:tblLayout w:type="fixed"/>
        <w:tblCellMar>
          <w:top w:w="28" w:type="dxa"/>
          <w:left w:w="28" w:type="dxa"/>
          <w:bottom w:w="28" w:type="dxa"/>
          <w:right w:w="28" w:type="dxa"/>
        </w:tblCellMar>
      </w:tblPr>
      <w:tblGrid>
        <w:gridCol w:w="1426"/>
        <w:gridCol w:w="146"/>
        <w:gridCol w:w="211"/>
        <w:gridCol w:w="571"/>
        <w:gridCol w:w="146"/>
        <w:gridCol w:w="146"/>
        <w:gridCol w:w="211"/>
        <w:gridCol w:w="676"/>
        <w:gridCol w:w="146"/>
        <w:gridCol w:w="146"/>
        <w:gridCol w:w="218"/>
        <w:gridCol w:w="653"/>
        <w:gridCol w:w="166"/>
        <w:gridCol w:w="146"/>
        <w:gridCol w:w="277"/>
        <w:gridCol w:w="714"/>
        <w:gridCol w:w="37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interest expense during the three months ended March 31, 2026, as compared to the same period in 2025, was primarily due to lower debt balance and lower variable interest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and Expense, Net (in thousands, except for percentages):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2611"/>
        <w:gridCol w:w="146"/>
        <w:gridCol w:w="211"/>
        <w:gridCol w:w="571"/>
        <w:gridCol w:w="146"/>
        <w:gridCol w:w="146"/>
        <w:gridCol w:w="211"/>
        <w:gridCol w:w="571"/>
        <w:gridCol w:w="146"/>
        <w:gridCol w:w="146"/>
        <w:gridCol w:w="313"/>
        <w:gridCol w:w="558"/>
        <w:gridCol w:w="166"/>
        <w:gridCol w:w="146"/>
        <w:gridCol w:w="346"/>
        <w:gridCol w:w="645"/>
        <w:gridCol w:w="37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and expense, net during the three months ended March 31, 2026, as compared to the same period in 2025, was relatively consistent.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 (in thousands, except for percentages):</w:t>
      </w:r>
    </w:p>
    <w:p>
      <w:pPr>
        <w:pStyle w:val="TextBody"/>
        <w:bidi w:val="0"/>
        <w:jc w:val="left"/>
        <w:rPr/>
      </w:pPr>
      <w:r>
        <w:rPr/>
        <w:t> </w:t>
      </w:r>
    </w:p>
    <w:tbl>
      <w:tblPr>
        <w:tblW w:w="7000" w:type="dxa"/>
        <w:jc w:val="left"/>
        <w:tblInd w:w="0" w:type="dxa"/>
        <w:tblLayout w:type="fixed"/>
        <w:tblCellMar>
          <w:top w:w="28" w:type="dxa"/>
          <w:left w:w="28" w:type="dxa"/>
          <w:bottom w:w="28" w:type="dxa"/>
          <w:right w:w="28" w:type="dxa"/>
        </w:tblCellMar>
      </w:tblPr>
      <w:tblGrid>
        <w:gridCol w:w="2281"/>
        <w:gridCol w:w="146"/>
        <w:gridCol w:w="211"/>
        <w:gridCol w:w="571"/>
        <w:gridCol w:w="146"/>
        <w:gridCol w:w="146"/>
        <w:gridCol w:w="211"/>
        <w:gridCol w:w="571"/>
        <w:gridCol w:w="146"/>
        <w:gridCol w:w="146"/>
        <w:gridCol w:w="222"/>
        <w:gridCol w:w="604"/>
        <w:gridCol w:w="146"/>
        <w:gridCol w:w="146"/>
        <w:gridCol w:w="255"/>
        <w:gridCol w:w="736"/>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income tax provision for interim periods is based on the estimated annual effective tax rate adjusted for discrete items during the period. For the three months ended March 31, 2026, we recorded income tax expense of $5.2 million on pretax income of $28.0 million, which resulted in an effective tax rate of 18.6%. The effective tax rate varies from the 21% U.S. federal tax rate primarily due to excess tax benefits related to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we recorded income tax expense of $2.1 million on pretax income of $13.9 million, which resulted in an effective tax rate of 15.0%.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income tax expense for the three months ended March 31, 2026, as compared to the same period in the prior year was primarily due to an increase to pretax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selected financial information related to our liquidity and significant sources and uses of cash and cash equivalents as of and for the three months ended March 31, 2026 and 2025: </w:t>
      </w:r>
    </w:p>
    <w:p>
      <w:pPr>
        <w:pStyle w:val="TextBody"/>
        <w:bidi w:val="0"/>
        <w:spacing w:before="240" w:after="283"/>
        <w:jc w:val="left"/>
        <w:rPr/>
      </w:pPr>
      <w:r>
        <w:rPr/>
        <w:t> </w:t>
      </w:r>
    </w:p>
    <w:tbl>
      <w:tblPr>
        <w:tblW w:w="8295" w:type="dxa"/>
        <w:jc w:val="left"/>
        <w:tblInd w:w="0" w:type="dxa"/>
        <w:tblLayout w:type="fixed"/>
        <w:tblCellMar>
          <w:top w:w="28" w:type="dxa"/>
          <w:left w:w="28" w:type="dxa"/>
          <w:bottom w:w="28" w:type="dxa"/>
          <w:right w:w="28" w:type="dxa"/>
        </w:tblCellMar>
      </w:tblPr>
      <w:tblGrid>
        <w:gridCol w:w="4501"/>
        <w:gridCol w:w="146"/>
        <w:gridCol w:w="306"/>
        <w:gridCol w:w="1134"/>
        <w:gridCol w:w="146"/>
        <w:gridCol w:w="146"/>
        <w:gridCol w:w="367"/>
        <w:gridCol w:w="1358"/>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3466"/>
        <w:gridCol w:w="146"/>
        <w:gridCol w:w="266"/>
        <w:gridCol w:w="931"/>
        <w:gridCol w:w="210"/>
        <w:gridCol w:w="184"/>
        <w:gridCol w:w="266"/>
        <w:gridCol w:w="93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sources of liquidity and capital resources are our operating cash flows and our short-term investments in marketable securities. Cash, cash equivalents and marketable securities were $115.8 million at March 31, 2026, a decrease of $21.0 million from $136.7 million at December 31, 2025. This decrease primarily resulted from $58.5 million of cash generated from operations, partially offset by $28.1 million in repayment of our long-term debt, $29.8 million in repurchases of common stock associated with tax withholdings on equity awards, $10.0 million in repurchases of common stock, $5.5 million in dividends paid, and $5.5 million in purchases of 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information about our material cash requirements, see “Liquidity and Capital Resources” in Part II, Item 7 of our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Report on Form 10-K for the year ended December 31, 2025. Other than the principal payments of $28.1 million made by us under the existing Term Loan B during the three months ended March 31, 2026, our cash requirements have not materially changed since December 31, 2025. We expect to continue to make additional payments on our existing debt from cash generated from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cash requirements outlined above, we have returned cash to stockholders through both quarterly dividend payments and repurchases of our common stock under our stock repurchase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Quarterly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2026 and 2025, we paid a quarterly dividend of $0.05 per share. In April 2026, our Board authorized payment of a quarterly cash dividend of $0.05 per share, to be paid in June 2026.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Repurchase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our Board of Directors approved an increase to the existing share repurchase authorization up to a total of $200.0 million. The stock repurchases may be made from time to time, through solicited or unsolicited transactions in the open market, in privately negotiated transactions, or pursuant to a Rule 10b5-1 plan. During the three months ended March 31, 2026, we repurchased a total of approximately 0.4 million shares of common stock, at an average price of $22.45 per share for a total cost of $10.0 million. During the three months ended March 31, 2025, we repurchased a total of approximately 0.8 million shares of common stock, at an average price of $13.19 per share for a total cost of $10.0 million. As of March 31, 2026, the total remaining amount available for repurchase under this plan was $150.0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continue to execute authorized repurchases from time to time under our existing stock repurchase plan. The amount and timing of any repurchases under the stock repurchase plan depend on a number of factors, including, but not limited to, the trading price, volume and availability of our common shares. There is no guarantee that such repurchases under the stock repurchase plan will enhance the value of our common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provided by operations were $58.5 million for the three months ended March 31, 2026, primarily due to our net income of $22.8 million being adjusted for non-cash items of amortization of intangible assets of $15.9 million, stock-based compensation expense of $8.8 million, and $11.8 million in changes in operating assets and liabilities including payment during the period of employee bonuses earned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provided by operations were $57.1 million for the three months ended March 31, 2025, primarily due to our net income of $11.8 million being adjusted for non-cash items of amortization of intangible assets of $14.1 million, stock-based compensation expense of $8.2 million, and $25.8 million in changes in operating assets and liabilities including payment during the period of employee bonuses earned in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$4.9 million for the three months ended March 31, 2026, primarily due to purchases of short-term investments in marketable securities of $9.0 million, purchases of intangible assets of $5.5 million, and proceeds from maturities of marketable securities of $10.1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$6.2 million for the three months ended March 31, 2025, primarily due to purchases of short-term investments in marketable securities of $7.2 million, purchases of intangible assets of $5.4 million, and proceeds from maturities of marketable securities of $6.6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capital expenditures for property and equipment consist primarily of leasehold improvements, purchases of computer hardware and software, information systems, and production and test equipment. During the three months ended March 31, 2026 and 2025, we spent $0.4 million and $0.2 million on capital expenditures, respectively. Our capital expenditures for intangible assets consists primarily of acquired patents. During the three months ended March 31, 2026 and 2025, we spent $5.5 million and $5.4 million on purchases of intangible assets, respectively. There can be no assurance that current expectations will be realized, and plans are subject to change upon further review of our capital expenditure needs.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$73.4 million for the three months ended March 31, 2026, primarily due to $28.1 million in repayment of indebtedness, $5.5 million in dividends paid, $29.8 million in repurchases of common stock for tax withholdings on equity awards, and $10.0 million in repurchases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was $45.6 million for the three months ended March 31, 2025, primarily due to $17.1 million in repayment of indebtedness, $5.4 million in dividends paid, $12.0 million in repurchases of common stock for tax withholdings on equity awards, and $10.0 million in repurchases of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dated June 1, 2020 (the “2020 Credit Agreement”), provides for a senior secured term loan B facility (the “Term Loan B”) with maturity on June 8,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we entered into Amendment No. 3 (“Amendment No. 3”) to the 2020 Credit Agreement, which provided for a repricing of the entire outstanding aggregate principal amount of $561.1 million. Amendment No. 3 also reduced interest margins (50 basis points) from SOFR plus a margin of 3.50% to SOFR plus a margin of 3.00% per annum or base rate plus a margin of 2.00% per annum. In addition, Amendment No. 3 lowered the excess cash flow mandatory payment thresholds and credit spread adjustment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we entered into Amendment No. 4 (“Amendment No. 4”) to the 2020 Credit Agreement, which provided for a repricing of the entire outstanding aggregate principal amount of $487.1 million. Amendment No. 4 further reduced the interest margins (50 basis points) to SOFR plus a margin of 2.50% per annum or base rate plus a margin of 1.50%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2020 Credit Agreement, as amended, continue to be guaranteed by our wholly-owned material domestic subsidiaries (collectively, the “Guarantors”) and continue to be secured by a lien on substantially all our assets and those of the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$398.6 million was outstanding under the term loan B facility. In addition, we had $7.4 million of unamortized debt discount and issuance costs recorded as a reduction from the carrying amount of the debt. The interest rate on the Term Loan B, including the amortization of debt discount and issuance costs, was 7.3% and interest is payable monthly.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existing loan agreement, we have future minimum principal payments for our debt of $18.3 million in the remainder of 2026, $24.4 million in 2027, with the remaining principal balance of $356.0 million due June 8, 2028.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2025, no excess cash flow payment is required in 2026. The term loan B facility contains customary covenants, and as of March 31, 2026, we were in full compliance with such covenants.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three months ended March 31, 2026, there were no significant changes in our critical accounting policies and estimates.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of Notes to Condensed Consolidated Financial Statements for additional detail. For a discussion of our critical accounting policies and estimates, see Part II, Item 7 –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 our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“Note 2 – </w:t>
      </w:r>
      <w:r>
        <w:rPr>
          <w:rFonts w:ascii="Times New Roman" w:hAnsi="Times New Roman"/>
          <w:i/>
          <w:color w:val="000000"/>
          <w:sz w:val="20"/>
        </w:rPr>
        <w:t>Summary of Significant Accounting Policies</w:t>
      </w:r>
      <w:r>
        <w:rPr>
          <w:rFonts w:ascii="Times New Roman" w:hAnsi="Times New Roman"/>
          <w:color w:val="000000"/>
          <w:sz w:val="20"/>
        </w:rPr>
        <w:t>” of the Notes to Condensed Consolidated Financial Statements for a full description of recent accounting pronouncements including the respective expected dates of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discussion of our market risk, see Part II, Item 7A – </w:t>
      </w:r>
      <w:r>
        <w:rPr>
          <w:rFonts w:ascii="Times New Roman" w:hAnsi="Times New Roman"/>
          <w:i/>
          <w:color w:val="000000"/>
          <w:sz w:val="20"/>
        </w:rPr>
        <w:t>Quantitative and Qualitative Disclosures About Market Risk</w:t>
      </w:r>
      <w:r>
        <w:rPr>
          <w:rFonts w:ascii="Times New Roman" w:hAnsi="Times New Roman"/>
          <w:color w:val="000000"/>
          <w:sz w:val="20"/>
        </w:rPr>
        <w:t xml:space="preserve"> in our Annual Report on Form 10-K.</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40"/>
        <w:jc w:val="left"/>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normal course of our business, we are involved in legal proceedings. In the past, we have litigated to enforce our patents, to enforce the terms of license agreements,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Patent Infringement Litigation</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our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Videotron Patent Infringement Litigation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May 21, 2021, Adeia Guides Inc. (formerly known as Rovi Guides, Inc.) (“Adeia Guides”) filed a patent infringement complaint against Videotron Ltd. (“Videotron”) in Toronto, Canada, alleging infringement of four patents (the “Videotron Litigation”). The trial commenced on February 3, 2025. On October 24, 2025, the Federal Court of Canada issued a decision in the case and awarded Adeia Guides a permanent injunction, finding that Videotron’s Helix, illico+ and illico video platforms infringe an Adeia Guides patent. The Court also ruled that Videotron’s Helix video platform infringes an additional Adeia Guides patent and awarded Adeia Guides damages for both patents. Two other patents asserted in the case were found invalid. On November 24, 2025, Adeia Guides filed a Notice of Appeal with the Federal Court of Appeal of Canada appealing portions of the decision of the Federal Court of Canada. On December 4, 2025, Videotron filed a Notice of Cross-Appeal. No date has been set yet for a hearing on the appeal.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Bell Patent Infringement Litigation</w:t>
      </w:r>
    </w:p>
    <w:p>
      <w:pPr>
        <w:pStyle w:val="TextBody"/>
        <w:bidi w:val="0"/>
        <w:jc w:val="left"/>
        <w:rPr>
          <w:rFonts w:ascii="Times New Roman" w:hAnsi="Times New Roman"/>
          <w:color w:val="000000"/>
          <w:sz w:val="20"/>
        </w:rPr>
      </w:pPr>
      <w:r>
        <w:rPr>
          <w:rFonts w:ascii="Times New Roman" w:hAnsi="Times New Roman"/>
          <w:color w:val="000000"/>
          <w:sz w:val="20"/>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On September 30, 2022, Defendants filed a motion for bifurcation, asking the Federal Court of Canada to bifurcate the case into two phases: a first phase related to liability and injunction and second phase addressing damages if liability is found. On February 15, 2023, the Court issued an order granting the motion for bifurcation in which the Court bifurcated the liability and injunction phase from the damages quantification phase of the case. The trial commenced on April 28, 2025. Closing arguments were held June 2-4, 2025. There is no set deadline for the Federal Court of Canada to issue a decision.</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Shaw Breach of Contract Litigation</w:t>
      </w:r>
    </w:p>
    <w:p>
      <w:pPr>
        <w:pStyle w:val="TextBody"/>
        <w:bidi w:val="0"/>
        <w:jc w:val="left"/>
        <w:rPr>
          <w:rFonts w:ascii="Times New Roman" w:hAnsi="Times New Roman"/>
          <w:color w:val="000000"/>
          <w:sz w:val="20"/>
        </w:rPr>
      </w:pPr>
      <w:r>
        <w:rPr>
          <w:rFonts w:ascii="Times New Roman" w:hAnsi="Times New Roman"/>
          <w:color w:val="000000"/>
          <w:sz w:val="20"/>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October 8, 2024, Shaw filed a motion to dismiss the complaint. On September 29, 2025, the Court denied Shaw’s motion to dismiss Adeia Media Companies’ breach of contract claim and granted Shaw’s motion to dismiss the declaratory relief claim as duplicative. On October 14, 2025, Shaw filed its answer to the complaint. Discovery is ongoing. The trial date has not been 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Disney Patent Infringement Litigation</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U.S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2024, Adeia Technologies, Inc., Adeia Guides Inc., and Adeia Media Holdings LLC (collectively “Adeia”) filed a complaint against The Walt Disney Company, Disney Media and Entertainment Distribution LLC, Disney DTC LLC, Disney Streaming Services LLC, Disney Entertainment &amp; Sports LLC, Disney Platform Distribution, Inc., BAMTech, LLC, Hulu, LLC, and ESPN, Inc. (collectively, “Disney U.S. Defendants”) in the United States District Court for the District of Delaware, alleging infringement of six patents (“U.S. Asserted Patents”). On December 29, 2025, the Court granted the parties’ Joint Stipulation and Order of Dismissal, dismissing the case with prejudice.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31, 2025, Disney U.S. Defendants filed three petitions for IPR before the Patent Trial and Appeal Board (“PTAB”) of the U.S. Patent and Trademark Office – one petition against each of three of the U.S. Asserted Patents. On November 5, 2025, Disney U.S. Defendants filed two petitions for IPR – one petition against each of two additional U.S. Asserted Patents. On November 7, 2025, Disney U.S. Defendants filed one petition for IPR against the last of the six U.S. Asserted Patents. On December 24, 2025, following the settlement between the parties, Disney U.S. Defendants filed an Unopposed Motion to Dismiss the Proceeding Pre-Institution in each of the six IPRs. The PTAB has terminated all six IPR petitions.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European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2024, Adeia Solutions LLC filed a complaint against The Walt Disney Company Benelux (B.V.), Disney Interactive Studios, Inc., and The Walt Disney Company Limited (collectively, “Disney Europe Defendants”) in the Regional Court of Munich, Germany, alleging infringement of one patent (“German Patent”). On December 23, 2025, Adeia Solutions LLC filed a request to withdraw the complaint following settlement between the parties. The Court has terminated the case.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23, 2025, The Walt Disney Company Benelux (B.V.) filed a nullity action in the German Federal Patent Court, challenging the validity of the German Patent. On December 24, 2025, The Walt Disney Company Benelux (B.V.) filed a brief requesting withdrawal of the nullity action following settlement between the parties. The Court has terminated the case.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2024, Adeia Guides Inc. (“Adeia Guides”) filed a complaint against the Disney Europe Defendants in the Unified Patent Court (“UPC”) Munich Local Division, Germany, alleging infringement of one patent. On December 23, 2025, Adeia Guides filed a request to withdraw the complaint following settlement between the parties. The Court has terminated the case.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7, 2024, Adeia Guides filed a complaint against the Disney Europe Defendants in the UPC The Hague Local Division, The Netherlands, alleging infringement of one patent. On December 23, 2025, Adeia Guides filed a request to withdraw the complaint following settlement between the parties. The Court has terminated the case.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Brazil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11, 2024, Adeia Inc. and Adeia Guides Inc. (collectively, “Adeia Brazil Plaintiffs”) filed a complaint against The Walt Disney Company (Brasil) LTDA (“Disney Brazil”) in Rio de Janeiro State Court, Brazil, (“Trial Court”) alleging infringement of four patents (the “Brazil Asserted Patents”) and seeking a preliminary injunction against Disney Brazil for infringement of one of the four Brazil Asserted Patents. On December 23, 2025, Adeia Brazil Plaintiffs filed a request to terminate the case following settlement between the parties. The Court has terminated the case.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27, 2025, Disney Brazil filed a patent invalidity lawsuit against Adeia Inc. and Adeia Guides Inc. (collectively, “Adeia Brazil Invalidity Defendants”) at the Brazilian Patent and Trademark Office in Rio de Janeiro Federal Court, Brazil, alleging the Brazil Asserted Patents are invalid. On December 23, 2025, Disney Brazil filed a request to terminate the proceeding following settlement between the parties. The Court has yet to rule on the request to terminate the case.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AMD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3, 2025, Adeia Semiconductor Bonding Technologies Inc., Adeia Semiconductor Inc., and Adeia Semiconductor Solutions LLC (collectively, “Adeia Semi”) filed a patent infringement complaint against Advanced Micro Devices, Inc. (“AMD”) in the United States District Court for the Western District of Texas (“WDTX 1 Litigation”), alleging infringement of six patents. On January 8, 2026, AMD filed a Motion to Dismiss the complaint. On January 22, 2026, Adeia Semi filed its opposition to AMD’s Motion to Dismiss. On January 29, 2026, AMD filed its reply on the Motion to Dismiss. On March 10, 2026, following the settlement between the parties, the Court dismissed the case with prejudice.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3, 2025, Adeia Semiconductor Bonding Technologies Inc. filed a separate patent infringement complaint against AMD in the United States District Court for the Western District of Texas (“WDTX 2 Litigation”), alleging infringement of four patents. On January 9, 2026, the Court granted AMD’s unopposed motion to stay the proceedings pending a final resolution of the ITC Litigation No. 337-TA-1465 (see below). On March 10, 2026, following the settlement between the parties, the Court dismissed the case with prejudice.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Adeia Semiconductor Bonding Technologies Inc. filed a patent infringement complaint against Advanced Micro Devices, Inc., Lenovo (United States) Inc., Lenovo Group Limited, Lenovo Information Products (Shenzhen) Co., Ltd., and Super Micro Computer, Inc. in the International Trade Commission (“ITC Litigation”), alleging infringement of the same four patents asserted in the WDTX 2 Litigation. On December 16, 2025, the ITC issued a Notice of Institution of Investigation, assigning the case Investigation No. 337-TA-1465. On March 31, 2026, following the settlement between the parties, the Administrative Law Judge granted the parties’ motion to terminate the ITC Litigation.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DIRECTV Litigation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NDCA Declaratory Judgment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29, 2025, DIRECTV LLC (“DIRECTV”) filed a complaint against Adeia Inc, Adeia Guides Inc., Adeia Media Holdings LLC, Adeia Technologies Inc. and Adeia Media Solutions Inc. (collectively, “Adeia Media”) in the United States District Court for the Northern District of California seeking a declaratory judgment of noninfringement of seven Adeia Media patents and a declaratory judgement of invalidity of three different Adeia Media patents (“NDCA DJ Action”). On March 13, 2026, Adeia Media filed a motion to dismiss the NDCA DJ Action. A hearing on the motion to dismiss is scheduled for June 18, 2026. The trial date has not been set.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SDNY Breach of Contract and Misappropriation of Trade Secrets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12, 2026, Adeia Media filed a complaint against DIRECTV in the United States District Court for the Southern District of New York alleging Breach of Contract and Misappropriation of Trade Secrets Pursuant to The Defend Trade Secrets Act (“DTSA”). DIRECTV’s response to the complaint is due March 27, 2026. On January 15, 2026, Adeia Media filed a Motion for Preliminary Injunction (“PI Motion”), requesting that the Court order DIRECTV to withdraw the NDCA DJ Action and cease its misuse of Adeia Media’s confidential information. The PI Motion is fully briefed and awaiting a decision by the Court. On April 23, 2026, the Court granted DIRECTV’s request file a motion to dismiss the trade secret misappropriation claim under the DTSA on or before June 4, 2026. The trial date has not been set.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DISH Litigation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Colorado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Adeia Technologies Inc., Adeia Media Holdings Inc., and Adeia Media Solutions Inc. (collectively “Adeia”) filed a complaint against DISH Network Corp., DISH Media Sales LLC, DISH DBS Corp., EchoStar Corp., Sling TV LLC, and Sling TV Holding LLC (collectively, the “DISH Defendants”) in the United States District Court for the District of Colorado on April 1, 2026 (EDT), from and after which time the DISH Defendants were unlicensed to Adeia’s patents, alleging the DISH Defendants infringe five patents. The trial date has not been set.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NDCA Declaratory Judgment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DISH Network LLC and Sling TV LLC filed a complaint against Adeia Inc, Adeia Guides Inc., Adeia Media Holdings Inc., Adeia Technologies Inc., and Adeia Media Solutions Inc. (collectively, “Adeia Media”) in the United States District Court for the Northern District of California on April 1, 2026 seeking a declaratory judgment of noninfringement and/or invalidity of ten Adeia Media patents. The trial date has not been 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the risk factors previously disclosed in Part 1, Item 1A. of our Annual Report on Form 10-K for the year ended December 31, 2025, which is incorporated by reference herein.</w:t>
      </w:r>
    </w:p>
    <w:p>
      <w:pPr>
        <w:pStyle w:val="TextBody"/>
        <w:bidi w:val="0"/>
        <w:spacing w:before="240" w:after="283"/>
        <w:jc w:val="left"/>
        <w:rPr>
          <w:rFonts w:ascii="Times New Roman" w:hAnsi="Times New Roman"/>
          <w:b/>
          <w:color w:val="000000"/>
          <w:sz w:val="20"/>
        </w:rPr>
      </w:pPr>
      <w:bookmarkStart w:id="18" w:name="unregistered_sales_of_equity_securities"/>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Items 2(a) and 2(b) are 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 Stock Repurchases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repurchases of our common stock during the three months ended March 31, 2026:</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398"/>
        <w:gridCol w:w="346"/>
        <w:gridCol w:w="220"/>
        <w:gridCol w:w="1053"/>
        <w:gridCol w:w="346"/>
        <w:gridCol w:w="346"/>
        <w:gridCol w:w="292"/>
        <w:gridCol w:w="762"/>
        <w:gridCol w:w="346"/>
        <w:gridCol w:w="346"/>
        <w:gridCol w:w="228"/>
        <w:gridCol w:w="1090"/>
        <w:gridCol w:w="346"/>
        <w:gridCol w:w="346"/>
        <w:gridCol w:w="295"/>
        <w:gridCol w:w="1048"/>
        <w:gridCol w:w="397"/>
      </w:tblGrid>
      <w:tr>
        <w:trPr/>
        <w:tc>
          <w:tcPr>
            <w:tcW w:w="23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w:t>
              <w:br/>
              <w:t xml:space="preserve">shares purchased </w:t>
              <w:br/>
              <w:t xml:space="preserve">as part of our </w:t>
              <w:br/>
              <w:t xml:space="preserve">share repurchase </w:t>
              <w:br/>
              <w:t xml:space="preserve">program </w:t>
            </w:r>
            <w:r>
              <w:rPr>
                <w:rFonts w:ascii="Times New Roman" w:hAnsi="Times New Roman"/>
                <w:b/>
                <w:color w:val="000000"/>
                <w:sz w:val="12"/>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Approximate </w:t>
              <w:br/>
              <w:t xml:space="preserve">dollar value of </w:t>
              <w:br/>
              <w:t xml:space="preserve">shares that may </w:t>
              <w:br/>
              <w:t xml:space="preserve">yet be purchased </w:t>
              <w:br/>
              <w:t xml:space="preserve">under our share </w:t>
              <w:br/>
              <w:t xml:space="preserve">repurchase </w:t>
              <w:br/>
              <w:t xml:space="preserve">program </w:t>
            </w:r>
            <w:r>
              <w:rPr>
                <w:rFonts w:ascii="Times New Roman" w:hAnsi="Times New Roman"/>
                <w:b/>
                <w:color w:val="000000"/>
                <w:sz w:val="12"/>
              </w:rPr>
              <w:t>(1)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share 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January 1, 2026 – January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February 1, 2026 – February 28,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March 1, 2026 –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445,618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445,618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149,952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445,618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445,618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149,952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 October 2024, our Board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There is no guarantee that such repurchases under the program will enhance the value of our stock. As of March 31, 2026, the total remaining amount available for repurchase under the Plan was $150.0 million. </w:t>
      </w:r>
    </w:p>
    <w:p>
      <w:pPr>
        <w:pStyle w:val="TextBody"/>
        <w:bidi w:val="0"/>
        <w:spacing w:before="240" w:after="283"/>
        <w:jc w:val="left"/>
        <w:rPr>
          <w:rFonts w:ascii="Times New Roman" w:hAnsi="Times New Roman"/>
          <w:b/>
          <w:color w:val="000000"/>
          <w:sz w:val="20"/>
        </w:rPr>
      </w:pPr>
      <w:bookmarkStart w:id="19" w:name="item_3__defaults_upon_senior_securities"/>
      <w:bookmarkEnd w:id="19"/>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4__mine_safety_disclosures"/>
      <w:bookmarkEnd w:id="2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1" w:name="item_5__other_information"/>
      <w:bookmarkEnd w:id="21"/>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there were no Rule 10b5-1 plans or non-Rule 10b5-1 trading arrangements adopted, modified or terminated by any director or officer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Amendment No. 4 to Credit Agreement, dated as of January 30, 2025, among Adeia Inc., the subsidiaries of Adeia Inc. party thereto, Bank of America, N.A. as administrative agent and collateral agent, and the lenders party thereto (including Conformed Credit Agreement giving effect to Amendments) filed as Exhibit 10.1 to the Registrant’s Current Report on Form 8-K filed with the SEC on January 30, 2025, and incorporated herein by reference)</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adea-ex31_1.htm">
              <w:r>
                <w:rPr>
                  <w:rStyle w:val="InternetLink"/>
                  <w:rFonts w:ascii="Times New Roman" w:hAnsi="Times New Roman"/>
                  <w:color w:val="0000FF"/>
                  <w:sz w:val="20"/>
                  <w:u w:val="single"/>
                </w:rPr>
                <w:t>Certification of the Chief Executive Officer pursuant to Rule 13a-14(a) of the Securities Exchange Act of 1934</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adea-ex31_2.htm">
              <w:r>
                <w:rPr>
                  <w:rStyle w:val="InternetLink"/>
                  <w:rFonts w:ascii="Times New Roman" w:hAnsi="Times New Roman"/>
                  <w:color w:val="0000FF"/>
                  <w:sz w:val="20"/>
                  <w:u w:val="single"/>
                </w:rPr>
                <w:t>Certification of the Chief Financial Officer pursuant to Rule 13a-14(a) of the Securities Exchange Act of 1934</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adea-ex32_1.htm">
              <w:r>
                <w:rPr>
                  <w:rStyle w:val="InternetLink"/>
                  <w:rFonts w:ascii="Times New Roman" w:hAnsi="Times New Roman"/>
                  <w:color w:val="0000FF"/>
                  <w:sz w:val="20"/>
                  <w:u w:val="single"/>
                </w:rPr>
                <w:t>Certification of the Chief Executive Officer and Chief Financial Officer pursuant to Rule 13a-14(b) of the Securities Exchange Act of 1934 and 18 U.S.C. Section 1350, as adopted pursuant to Section 906 of the Sarbanes-Oxley Act of 2002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6, 2026</w:t>
      </w:r>
    </w:p>
    <w:p>
      <w:pPr>
        <w:pStyle w:val="TextBody"/>
        <w:bidi w:val="0"/>
        <w:jc w:val="left"/>
        <w:rPr/>
      </w:pPr>
      <w:r>
        <w:rPr/>
        <w:t> </w:t>
      </w:r>
    </w:p>
    <w:tbl>
      <w:tblPr>
        <w:tblW w:w="2578" w:type="dxa"/>
        <w:jc w:val="left"/>
        <w:tblInd w:w="0" w:type="dxa"/>
        <w:tblLayout w:type="fixed"/>
        <w:tblCellMar>
          <w:top w:w="28" w:type="dxa"/>
          <w:left w:w="28" w:type="dxa"/>
          <w:bottom w:w="28" w:type="dxa"/>
          <w:right w:w="28" w:type="dxa"/>
        </w:tblCellMar>
      </w:tblPr>
      <w:tblGrid>
        <w:gridCol w:w="421"/>
        <w:gridCol w:w="146"/>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ADEIA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Jones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4" w:name="adea-ex31_1.htm"/>
      <w:bookmarkStart w:id="25" w:name="ksadeaex31_1"/>
      <w:bookmarkEnd w:id="24"/>
      <w:bookmarkEnd w:id="25"/>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bookmarkStart w:id="26" w:name="exhibit_31_1"/>
      <w:bookmarkEnd w:id="26"/>
      <w:r>
        <w:rPr>
          <w:rFonts w:ascii="Times New Roman" w:hAnsi="Times New Roman"/>
          <w:b/>
          <w:color w:val="000000"/>
          <w:sz w:val="20"/>
        </w:rPr>
        <w:t>Exhibit 31.1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Paul E. Davis,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quarterly report on Form 10-Q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93" w:type="dxa"/>
        <w:jc w:val="left"/>
        <w:tblInd w:w="0" w:type="dxa"/>
        <w:tblLayout w:type="fixed"/>
        <w:tblCellMar>
          <w:top w:w="28" w:type="dxa"/>
          <w:left w:w="28" w:type="dxa"/>
          <w:bottom w:w="28" w:type="dxa"/>
          <w:right w:w="28" w:type="dxa"/>
        </w:tblCellMar>
      </w:tblPr>
      <w:tblGrid>
        <w:gridCol w:w="163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7" w:name="adea-ex31_2.htm"/>
      <w:bookmarkStart w:id="28" w:name="ksadeaex31_2"/>
      <w:bookmarkEnd w:id="27"/>
      <w:bookmarkEnd w:id="28"/>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Keith A. Jones,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quarterly report on Form 10-Q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793" w:type="dxa"/>
        <w:jc w:val="left"/>
        <w:tblInd w:w="0" w:type="dxa"/>
        <w:tblLayout w:type="fixed"/>
        <w:tblCellMar>
          <w:top w:w="28" w:type="dxa"/>
          <w:left w:w="28" w:type="dxa"/>
          <w:bottom w:w="28" w:type="dxa"/>
          <w:right w:w="28" w:type="dxa"/>
        </w:tblCellMar>
      </w:tblPr>
      <w:tblGrid>
        <w:gridCol w:w="1636"/>
        <w:gridCol w:w="146"/>
        <w:gridCol w:w="20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9" w:name="adea-ex32_1.htm"/>
      <w:bookmarkStart w:id="30" w:name="ksadeaex32_1"/>
      <w:bookmarkEnd w:id="29"/>
      <w:bookmarkEnd w:id="30"/>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Adeia Inc., a Delaware corporation (the “Company”), on Form 10-Q for the period ended March 31, 2026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Adeia Inc., a Delaware corporation (the “Company”), on Form 10-Q for the period ended March 31, 2026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3696/000095017025011133/adea-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19452</Words>
  <Characters>107348</Characters>
  <CharactersWithSpaces>127970</CharactersWithSpaces>
  <Paragraphs>5371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