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dea-20250331.htm"/>
      <w:bookmarkStart w:id="1" w:name="ksadea20250331"/>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6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Commission File Number: 001-39304</w:t>
      </w:r>
    </w:p>
    <w:p>
      <w:pPr>
        <w:pStyle w:val="TextBody"/>
        <w:pBdr>
          <w:bottom w:val="single" w:sz="4" w:space="1" w:color="000000"/>
        </w:pBdr>
        <w:bidi w:val="0"/>
        <w:jc w:val="center"/>
        <w:rPr/>
      </w:pPr>
      <w:r>
        <w:rPr/>
        <w:t> </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ADEIA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638" w:type="dxa"/>
        <w:jc w:val="left"/>
        <w:tblInd w:w="0" w:type="dxa"/>
        <w:tblLayout w:type="fixed"/>
        <w:tblCellMar>
          <w:top w:w="28" w:type="dxa"/>
          <w:left w:w="28" w:type="dxa"/>
          <w:bottom w:w="28" w:type="dxa"/>
          <w:right w:w="28" w:type="dxa"/>
        </w:tblCellMar>
      </w:tblPr>
      <w:tblGrid>
        <w:gridCol w:w="3931"/>
        <w:gridCol w:w="146"/>
        <w:gridCol w:w="156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84-4734590</w:t>
            </w:r>
          </w:p>
        </w:tc>
      </w:tr>
      <w:tr>
        <w:trPr/>
        <w:tc>
          <w:tcPr>
            <w:tcW w:w="39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 of</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Identification No.)</w:t>
            </w:r>
          </w:p>
        </w:tc>
      </w:tr>
      <w:tr>
        <w:trPr/>
        <w:tc>
          <w:tcPr>
            <w:tcW w:w="3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3025 Orchard Parkway, San Jose, California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95134</w:t>
            </w:r>
          </w:p>
        </w:tc>
      </w:tr>
      <w:tr>
        <w:trPr/>
        <w:tc>
          <w:tcPr>
            <w:tcW w:w="3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(408) 473-2500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638" w:type="dxa"/>
        <w:jc w:val="left"/>
        <w:tblInd w:w="0" w:type="dxa"/>
        <w:tblLayout w:type="fixed"/>
        <w:tblCellMar>
          <w:top w:w="28" w:type="dxa"/>
          <w:left w:w="28" w:type="dxa"/>
          <w:bottom w:w="28" w:type="dxa"/>
          <w:right w:w="28" w:type="dxa"/>
        </w:tblCellMar>
      </w:tblPr>
      <w:tblGrid>
        <w:gridCol w:w="3271"/>
        <w:gridCol w:w="886"/>
        <w:gridCol w:w="3481"/>
      </w:tblGrid>
      <w:tr>
        <w:trPr/>
        <w:tc>
          <w:tcPr>
            <w:tcW w:w="327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7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88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7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8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ADEA</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number of shares outstanding of the registrant’s common stock as of April 25, 2025 was 108,499,852</w:t>
      </w:r>
    </w:p>
    <w:p>
      <w:pPr>
        <w:pStyle w:val="TextBody"/>
        <w:pBdr>
          <w:bottom w:val="double" w:sz="6" w:space="1" w:color="000000"/>
        </w:pBdr>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6"/>
        <w:gridCol w:w="8512"/>
        <w:gridCol w:w="146"/>
        <w:gridCol w:w="571"/>
      </w:tblGrid>
      <w:tr>
        <w:trPr/>
        <w:tc>
          <w:tcPr>
            <w:tcW w:w="976" w:type="dxa"/>
            <w:tcBorders/>
            <w:vAlign w:val="center"/>
          </w:tcPr>
          <w:p>
            <w:pPr>
              <w:pStyle w:val="TableContents"/>
              <w:bidi w:val="0"/>
              <w:spacing w:before="0" w:after="283"/>
              <w:jc w:val="left"/>
              <w:rPr>
                <w:sz w:val="4"/>
                <w:szCs w:val="4"/>
              </w:rPr>
            </w:pPr>
            <w:r>
              <w:rPr>
                <w:sz w:val="4"/>
                <w:szCs w:val="4"/>
              </w:rPr>
            </w:r>
          </w:p>
        </w:tc>
        <w:tc>
          <w:tcPr>
            <w:tcW w:w="8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part_1">
              <w:r>
                <w:rPr>
                  <w:rStyle w:val="InternetLink"/>
                  <w:rFonts w:ascii="Times New Roman" w:hAnsi="Times New Roman"/>
                  <w:b/>
                  <w:color w:val="0000FF"/>
                  <w:sz w:val="20"/>
                  <w:u w:val="single"/>
                </w:rPr>
                <w:t>PART 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1">
              <w:r>
                <w:rPr>
                  <w:rStyle w:val="InternetLink"/>
                  <w:rFonts w:ascii="Times New Roman" w:hAnsi="Times New Roman"/>
                  <w:color w:val="0000FF"/>
                  <w:sz w:val="20"/>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Income – Three Months Ended March 31,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comprehensive_income">
              <w:r>
                <w:rPr>
                  <w:rStyle w:val="InternetLink"/>
                  <w:rFonts w:ascii="Times New Roman" w:hAnsi="Times New Roman"/>
                  <w:color w:val="0000FF"/>
                  <w:sz w:val="20"/>
                  <w:u w:val="single"/>
                </w:rPr>
                <w:t>Condensed Consolidated Statements of Comprehensive Income – Three Months Ended March 31,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 March 31, 2025 and December 31,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 – Three Months Ended March 31,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stmt_equity">
              <w:r>
                <w:rPr>
                  <w:rStyle w:val="InternetLink"/>
                  <w:rFonts w:ascii="Times New Roman" w:hAnsi="Times New Roman"/>
                  <w:color w:val="000080"/>
                  <w:sz w:val="20"/>
                  <w:u w:val="single"/>
                </w:rPr>
                <w:t>Condensed Consolidated Statements of Equity –</w:t>
              </w:r>
            </w:hyperlink>
            <w:r>
              <w:rPr>
                <w:rFonts w:ascii="Times New Roman" w:hAnsi="Times New Roman"/>
                <w:color w:val="0000FF"/>
                <w:sz w:val="20"/>
                <w:u w:val="single"/>
              </w:rPr>
              <w:t xml:space="preserve"> Three Months Ended </w:t>
            </w:r>
            <w:hyperlink w:anchor="condensed_consolidated_statements_operat">
              <w:r>
                <w:rPr>
                  <w:rStyle w:val="InternetLink"/>
                  <w:rFonts w:ascii="Times New Roman" w:hAnsi="Times New Roman"/>
                  <w:color w:val="000080"/>
                  <w:sz w:val="20"/>
                  <w:u w:val="single"/>
                </w:rPr>
                <w:t>March 31</w:t>
              </w:r>
            </w:hyperlink>
            <w:r>
              <w:rPr>
                <w:rFonts w:ascii="Times New Roman" w:hAnsi="Times New Roman"/>
                <w:color w:val="0000FF"/>
                <w:sz w:val="20"/>
                <w:u w:val="single"/>
              </w:rPr>
              <w:t>, 2025 and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notes_to_condensed">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3_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4_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5_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6_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8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1"/>
      <w:bookmarkEnd w:id="2"/>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bookmarkStart w:id="3" w:name="item1"/>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4" w:name="condensed_consolidated_statements_operat"/>
      <w:bookmarkEnd w:id="4"/>
      <w:r>
        <w:rPr>
          <w:rFonts w:ascii="Times New Roman" w:hAnsi="Times New Roman"/>
          <w:b/>
          <w:color w:val="000000"/>
          <w:sz w:val="20"/>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7725" w:type="dxa"/>
        <w:jc w:val="left"/>
        <w:tblInd w:w="0" w:type="dxa"/>
        <w:tblLayout w:type="fixed"/>
        <w:tblCellMar>
          <w:top w:w="28" w:type="dxa"/>
          <w:left w:w="28" w:type="dxa"/>
          <w:bottom w:w="28" w:type="dxa"/>
          <w:right w:w="28" w:type="dxa"/>
        </w:tblCellMar>
      </w:tblPr>
      <w:tblGrid>
        <w:gridCol w:w="5431"/>
        <w:gridCol w:w="146"/>
        <w:gridCol w:w="976"/>
        <w:gridCol w:w="146"/>
        <w:gridCol w:w="1026"/>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2024</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$83,405</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13,925</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24,029</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23,157</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2,930</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64,041</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19,364</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(14,175)</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and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1,400</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$0.01</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used in per share calculations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107,765</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112,977</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sz w:val="20"/>
        </w:rPr>
      </w:pPr>
      <w:bookmarkStart w:id="5" w:name="comprehensive_income"/>
      <w:bookmarkEnd w:id="5"/>
      <w:r>
        <w:rPr>
          <w:rFonts w:ascii="Times New Roman" w:hAnsi="Times New Roman"/>
          <w:b/>
          <w:color w:val="000000"/>
          <w:sz w:val="20"/>
        </w:rPr>
        <w:t>CONDENSED CONSOLIDATED STATEMENTS OF COMPREHENSIVE INCOME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270" w:type="dxa"/>
        <w:jc w:val="left"/>
        <w:tblInd w:w="0" w:type="dxa"/>
        <w:tblLayout w:type="fixed"/>
        <w:tblCellMar>
          <w:top w:w="28" w:type="dxa"/>
          <w:left w:w="28" w:type="dxa"/>
          <w:bottom w:w="28" w:type="dxa"/>
          <w:right w:w="28" w:type="dxa"/>
        </w:tblCellMar>
      </w:tblPr>
      <w:tblGrid>
        <w:gridCol w:w="5481"/>
        <w:gridCol w:w="146"/>
        <w:gridCol w:w="231"/>
        <w:gridCol w:w="744"/>
        <w:gridCol w:w="151"/>
        <w:gridCol w:w="151"/>
        <w:gridCol w:w="324"/>
        <w:gridCol w:w="651"/>
        <w:gridCol w:w="391"/>
      </w:tblGrid>
      <w:tr>
        <w:trPr/>
        <w:tc>
          <w:tcPr>
            <w:tcW w:w="5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gain (losses) on available-for-sale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par value)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33"/>
        <w:gridCol w:w="146"/>
        <w:gridCol w:w="211"/>
        <w:gridCol w:w="931"/>
        <w:gridCol w:w="166"/>
        <w:gridCol w:w="146"/>
        <w:gridCol w:w="217"/>
        <w:gridCol w:w="962"/>
        <w:gridCol w:w="793"/>
      </w:tblGrid>
      <w:tr>
        <w:trPr/>
        <w:tc>
          <w:tcPr>
            <w:tcW w:w="6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78,825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31,567</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$713 </w:t>
              <w:br/>
              <w:t>and $713,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contracts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104,047</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9,792</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258,376</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unbilled contracts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62,767</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301,177</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313,660</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112,441</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1,097,961</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legal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22,727</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73,106</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64,555</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454,435</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9,480</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84,585</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15,229</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701,390</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(2025: authorized 15,000 shares; 2024: authorized 15,000 shares and no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(2025: authorized 350,000 shares, issued 125,850 shares, outstanding 108,444 shares; 2024: authorized 350,000 shares, issued 123,952 shares, outstanding 108,072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648,914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(2025: 17,406 shares; 2024: 15,880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(255,301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396,571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1,097,961</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sz w:val="20"/>
        </w:rPr>
      </w:pPr>
      <w:bookmarkStart w:id="7" w:name="cash_flows"/>
      <w:bookmarkEnd w:id="7"/>
      <w:r>
        <w:rPr>
          <w:rFonts w:ascii="Times New Roman" w:hAnsi="Times New Roman"/>
          <w:b/>
          <w:color w:val="000000"/>
          <w:sz w:val="20"/>
        </w:rPr>
        <w:t>CONDENSED CONSOLIDATED STATEMENTS OF CASH</w:t>
      </w:r>
      <w:r>
        <w:rPr>
          <w:rFonts w:ascii="Times New Roman" w:hAnsi="Times New Roman"/>
          <w:color w:val="000000"/>
          <w:sz w:val="20"/>
        </w:rPr>
        <w:t xml:space="preserve"> </w:t>
      </w:r>
      <w:r>
        <w:rPr>
          <w:rFonts w:ascii="Times New Roman" w:hAnsi="Times New Roman"/>
          <w:b/>
          <w:color w:val="000000"/>
          <w:sz w:val="20"/>
        </w:rPr>
        <w:t>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06"/>
        <w:gridCol w:w="146"/>
        <w:gridCol w:w="306"/>
        <w:gridCol w:w="1068"/>
        <w:gridCol w:w="166"/>
        <w:gridCol w:w="146"/>
        <w:gridCol w:w="306"/>
        <w:gridCol w:w="1068"/>
        <w:gridCol w:w="993"/>
      </w:tblGrid>
      <w:tr>
        <w:trPr/>
        <w:tc>
          <w:tcPr>
            <w:tcW w:w="6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23,157</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Unbilled contracts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28,712</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67,229</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(8,476</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(11,169</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(10,988</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(5,420</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on debt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(40,125</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 program and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common stock for tax withholdings on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(7,729</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(52,777</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54,560</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58,024</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13,101</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paid,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Unpaid purchases of property and equipment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8" w:name="stmt_equity"/>
      <w:bookmarkEnd w:id="8"/>
      <w:r>
        <w:rPr>
          <w:rFonts w:ascii="Times New Roman" w:hAnsi="Times New Roman"/>
          <w:b/>
          <w:color w:val="000000"/>
          <w:sz w:val="20"/>
        </w:rPr>
        <w:t>CONDENSED CONSOLIDATED STATEMENTS OF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11153" w:type="dxa"/>
        <w:jc w:val="left"/>
        <w:tblInd w:w="0" w:type="dxa"/>
        <w:tblLayout w:type="fixed"/>
        <w:tblCellMar>
          <w:top w:w="28" w:type="dxa"/>
          <w:left w:w="28" w:type="dxa"/>
          <w:bottom w:w="28" w:type="dxa"/>
          <w:right w:w="28" w:type="dxa"/>
        </w:tblCellMar>
      </w:tblPr>
      <w:tblGrid>
        <w:gridCol w:w="1186"/>
        <w:gridCol w:w="146"/>
        <w:gridCol w:w="146"/>
        <w:gridCol w:w="691"/>
        <w:gridCol w:w="166"/>
        <w:gridCol w:w="146"/>
        <w:gridCol w:w="257"/>
        <w:gridCol w:w="494"/>
        <w:gridCol w:w="146"/>
        <w:gridCol w:w="146"/>
        <w:gridCol w:w="205"/>
        <w:gridCol w:w="726"/>
        <w:gridCol w:w="146"/>
        <w:gridCol w:w="146"/>
        <w:gridCol w:w="146"/>
        <w:gridCol w:w="601"/>
        <w:gridCol w:w="146"/>
        <w:gridCol w:w="146"/>
        <w:gridCol w:w="196"/>
        <w:gridCol w:w="751"/>
        <w:gridCol w:w="166"/>
        <w:gridCol w:w="146"/>
        <w:gridCol w:w="472"/>
        <w:gridCol w:w="834"/>
        <w:gridCol w:w="166"/>
        <w:gridCol w:w="146"/>
        <w:gridCol w:w="199"/>
        <w:gridCol w:w="612"/>
        <w:gridCol w:w="166"/>
        <w:gridCol w:w="146"/>
        <w:gridCol w:w="255"/>
        <w:gridCol w:w="901"/>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0"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Company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br/>
            </w:r>
            <w:r>
              <w:rPr>
                <w:rFonts w:ascii="Times New Roman" w:hAnsi="Times New Roman"/>
                <w:color w:val="000000"/>
                <w:sz w:val="15"/>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Three Months Ended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 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648,914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396,571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dividends paid on common stock ($0.05</w:t>
            </w:r>
            <w:r>
              <w:rPr>
                <w:rFonts w:ascii="Times New Roman" w:hAnsi="Times New Roman"/>
                <w:color w:val="000000"/>
                <w:sz w:val="20"/>
              </w:rPr>
              <w:t> </w:t>
            </w:r>
            <w:r>
              <w:rPr>
                <w:rFonts w:ascii="Times New Roman" w:hAnsi="Times New Roman"/>
                <w:color w:val="000000"/>
                <w:sz w:val="18"/>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in connection with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restricted stock, net of shares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Withholding taxes related to net share settlement of restricted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657,344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389,470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1129" w:type="dxa"/>
        <w:jc w:val="left"/>
        <w:tblInd w:w="0" w:type="dxa"/>
        <w:tblLayout w:type="fixed"/>
        <w:tblCellMar>
          <w:top w:w="28" w:type="dxa"/>
          <w:left w:w="28" w:type="dxa"/>
          <w:bottom w:w="28" w:type="dxa"/>
          <w:right w:w="28" w:type="dxa"/>
        </w:tblCellMar>
      </w:tblPr>
      <w:tblGrid>
        <w:gridCol w:w="1171"/>
        <w:gridCol w:w="146"/>
        <w:gridCol w:w="146"/>
        <w:gridCol w:w="691"/>
        <w:gridCol w:w="166"/>
        <w:gridCol w:w="146"/>
        <w:gridCol w:w="236"/>
        <w:gridCol w:w="455"/>
        <w:gridCol w:w="146"/>
        <w:gridCol w:w="146"/>
        <w:gridCol w:w="196"/>
        <w:gridCol w:w="691"/>
        <w:gridCol w:w="166"/>
        <w:gridCol w:w="146"/>
        <w:gridCol w:w="146"/>
        <w:gridCol w:w="601"/>
        <w:gridCol w:w="146"/>
        <w:gridCol w:w="146"/>
        <w:gridCol w:w="196"/>
        <w:gridCol w:w="751"/>
        <w:gridCol w:w="166"/>
        <w:gridCol w:w="146"/>
        <w:gridCol w:w="439"/>
        <w:gridCol w:w="777"/>
        <w:gridCol w:w="166"/>
        <w:gridCol w:w="146"/>
        <w:gridCol w:w="240"/>
        <w:gridCol w:w="811"/>
        <w:gridCol w:w="166"/>
        <w:gridCol w:w="146"/>
        <w:gridCol w:w="238"/>
        <w:gridCol w:w="843"/>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1"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Company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Accumulated </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(222,497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356,622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on common stock ($0.05</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net of shares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Withholding taxes related to net share settlement of restricted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635,552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349,951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9" w:name="notes_to_condensed"/>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 THE COMPANY AND 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Adeia Inc. (the “Company”), a Delaware corporation, is one of the industry’s largest intellectual property (“IP”) licensing platforms, with a diverse portfolio of media and semiconductor IP consisting of more than 12,750 patents and patent applications worldwide.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interim unaudited Condensed Consolidated Financial Statements have been prepared by the Company in accordance with generally accepted accounting principles (“GAAP”) in the United States (“U.S.”) and the applicable rules and regulations of the Securities and Exchange Commission (“SEC”) for interim financial information. The amounts as of December 31, 2024 have been derived from the Company’s annual audited Consolidated Financial Statements included in its Annual Report on Form 10-K for the year ended December 31, 2024, filed on February 19, 2025 (the “Form 10-K”). These Condensed Consolidated Financial Statements should be read in conjunction with the annual audited Consolidated Financial Statements and notes thereto included in the Form 10-K as of and for the year ended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consolidated financial statements include the accounts of Adeia Inc. and our wholly-owned subsidiaries. Certain information and footnote disclosures normally included in financial statements prepared in accordance with U.S. GAAP have been condensed or omitted in accordance with such rules and regulations. In the opinion of management, the accompanying unaudited Condensed Consolidated Financial Statements reflect all adjustments necessary (consisting of normal recurring adjustments) to state fairly the financial position of the Company and its results of operations and cash flows as of and for the periods presented. The results of operations for the three months ended March 31, 2025 are not necessarily indicative of the results that may be expected for the full year ending December 31, 2025 or any future period and the Company makes no representations related thereto.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fiscal year ends on December 31 and employs a calendar month-end reporting period for its quarterly reporting. The Company operates under one reportable segment, IP Licensing.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significant changes in the Company’s significant accounting policies during the three months ended March 31, 2025, as compared to the significant accounting policies described in the Form 10-K.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financial statements and accompanying notes. The accounting estimates and assumptions that require management’s most significant, challenging, and subjective judgment include identifying the performance obligations in the contract, estimating variable consideration, estimating quarterly royalties prior to receiving the royalty reports from the licensee, determining standalone selling price, and allocating consideration in a contract with multiple performance obligations, the assessment of the recoverability of goodwill, the assessment of useful lives and recoverability of other intangible assets and long-lived assets, recognition and measurement of current and deferred income tax assets and liabilities, the assessment of unrecognized tax benefits and purchase accounting resulting from business combinations, among others. Actual results experienced by the Company may differ from management’s estimates. These estimates may change, as new events occur and additional information is obtained, and are recognized in the condensed consolidated financial statements as soon as they become known.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2020, the FASB issued ASU 2020-04, Reference Rate Reform (Topic 848): Facilitation of the Effects of Reference Rate Reform on Financial Reporting (“ASU 2020-04”). ASU 2020-04 provides optional expedients and exceptions for applying U.S. GAAP to contracts, hedging relationships, and other transactions affected by reference rate reform if certain criteria are met. The amendments in ASU 2020-04 apply only to contracts, hedging relationships, and other transactions that reference the London Interbank Offered Rate (“LIBOR”) or another reference rate expected to be discontinued because of reference rate reform. In December 2022, the FASB issued ASU 2022-06, Reference Rate Reform (Topic 848): Deferral of the Sunset Date of Topic 848 (“ASU 2022-06”), which deferred the application dates of Topic 848 to December 31, 2024. In the second quarter of 2023, the Company adopted Topic 848 and modified its debt agreement to reference the other rate. The adoption did not have a material impact to the Company’s Condensed Consolidated Financial Statements.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2023, the FASB issued ASU 2023-07, Segment Reporting (Topic 280): Improvements to Reportable Segment Disclosures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In the fourth quarter of 2024, the Company adopted ASU 2023-07 on a retrospective basis, and the adoption did not have a material impact to the Company’s Condensed Consolidated Financial Statements. See “Note 15 – </w:t>
      </w:r>
      <w:r>
        <w:rPr>
          <w:rFonts w:ascii="Times New Roman" w:hAnsi="Times New Roman"/>
          <w:i/>
          <w:color w:val="000000"/>
          <w:sz w:val="20"/>
        </w:rPr>
        <w:t>Segment Information</w:t>
      </w:r>
      <w:r>
        <w:rPr>
          <w:rFonts w:ascii="Times New Roman" w:hAnsi="Times New Roman"/>
          <w:color w:val="000000"/>
          <w:sz w:val="20"/>
        </w:rPr>
        <w:t>” for further detail.</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FASB issued ASU 2023-09, Income Taxes (Topic 740): Improvements to Income Tax Disclosures (“ASU 2023-09”),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(“ASU 2024-03”), which requires disaggregated information about certain income statement expense line items on an annual and interim basis. ASU 2024-03 will be effective for annual periods beginning after December 15, 2026, and interim periods within fiscal years beginning after December 15, 2027. The new standard permits early adoption and can be applied prospectively or retrospectively. The Company is currently evaluating the impact of adopting ASU 2024-03.</w:t>
      </w:r>
    </w:p>
    <w:p>
      <w:pPr>
        <w:pStyle w:val="TextBody"/>
        <w:bidi w:val="0"/>
        <w:spacing w:before="120" w:after="283"/>
        <w:jc w:val="left"/>
        <w:rPr>
          <w:rFonts w:ascii="Times New Roman" w:hAnsi="Times New Roman"/>
          <w:sz w:val="20"/>
        </w:rPr>
      </w:pPr>
      <w:r>
        <w:rPr>
          <w:rFonts w:ascii="Times New Roman" w:hAnsi="Times New Roman"/>
          <w:b/>
          <w:color w:val="000000"/>
          <w:sz w:val="20"/>
        </w:rPr>
        <w:t>NOTE 3 – REVENUE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is recognized when control of the IP rights is transferred to a customer in an amount that reflects the consideration the Company expects to be entitled to in exchange for the licensing of the Company’s IP, which may include various combinations of IP rights and services which are generally capable of being distinct and accounted for as separate performance obligations. In situations where foreign withholding taxes are withheld by the Company’s licensee, revenue is recognized gross of withholding taxes that are remitted directly by the licensee to a local tax authority.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 Company’s contracts with customers contain multiple performance obligations. For these contracts, the individual performance obligations are separately accounted for if they are distinct. In a contract with multiple performance obligations, the transaction price is allocated among the separate performance obligations on a relative standalone selling price basis. The determination of standalone selling price considers market conditions, the size and scope of the contract, customer and geographic information, and other factors. When observable prices are not available, standalone selling price for separate performance obligations is based on the adjusted market assessment approach to estimate the price that a customer in the relevant market would be willing to pay for licensing the Company’s IP rights. The allocation of transaction price among performance obligations in a contract may impact the amount and timing of revenue recognized in the Consolidated Statements of Income during a given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a contract with a customer includes variable consideration, an estimate of the consideration which the Company expects to be entitled to for transferring the promised IP rights or services is made at contract inception and in each subsequent reporting period until the uncertainty associated with the variable consideration is resolved. The amount of variable consideration is estimated by considering all available information (historical, current, and forecast) and is updated as additional information becomes available.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 of variable consideration is included in the transaction price to the extent it is probable that a significant reversal of cumulative revenue recognized will not occur when the uncertainty associated with the variable consideration is resolved. When the uncertainty associated with variable consideration relates to potential price adjustments as a result of a legal contract dispute, the Company estimates variable consideration using the expected value method or the most likely amount method, whichever is more appropriate in the circumstances, and considers all available information, including historical data and experience. Estimating variable consideration related to potential future price adjustments requires significant judgment in evaluating the possible outcomes. Subsequent changes in the transaction price resulting from changes in the estimate of variable consideration are allocated to the performance obligations in the contract on the same basis as at contract inception.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variable consideration is in the form of a sales-based or usage-based royalty in exchange for a license of IP, revenue is recognized at the later of when the subsequent sale or usage occurs or the performance obligation to which some or all of the sales-based or usage-based royalty has been allocated has been satisfied or partially satisfied..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Description of Revenue-Generating Activities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IP License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licenses (i) its media patent portfolio (“Media IP licensing”) to multichannel video programming distributors, over-the-top video service providers, consumer electronics manufacturers, social media, and other new media companies and (ii) its semiconductor technologies and associated patent portfolio (“Semiconductor IP licensing”) to memory, logic, sensors, radio frequency component, and foundry companies. The Company generally licenses its IP portfolios under three models: (i) per-unit or per-subscriber Media IP or Semiconductor IP royalty licensing, (ii) fixed-fee Media IP licensing, and (iii) fixed-fee or minimum guarantee Semiconductor IP licensing.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Per-unit or per-subscriber Media IP or Semiconductor IP royalty licensing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revenue from per-unit or per-subscriber IP royalty licenses in the period in which the licensee’s sales or production are estimated to have occurred, which results in an adjustment to revenue when actual sales or production are subsequently reported by the licensee, which is generally in the month or quarter following usage or shipment. Estimating customers’ monthly or quarterly royalties prior to receiving the royalty reports requires the Company to make significant assumptions and judgments related to forecasted trends and growth rates used to estimate quantities shipped or manufactured by customers, which could have a material impact on the amount of revenue it reports on a quarterly basis.</w:t>
      </w:r>
    </w:p>
    <w:p>
      <w:pPr>
        <w:pStyle w:val="TextBody"/>
        <w:bidi w:val="0"/>
        <w:spacing w:before="240" w:after="283"/>
        <w:jc w:val="left"/>
        <w:rPr>
          <w:rFonts w:ascii="Times New Roman" w:hAnsi="Times New Roman"/>
          <w:sz w:val="20"/>
        </w:rPr>
      </w:pPr>
      <w:r>
        <w:rPr>
          <w:rFonts w:ascii="Times New Roman" w:hAnsi="Times New Roman"/>
          <w:b/>
          <w:i/>
          <w:color w:val="000000"/>
          <w:sz w:val="20"/>
        </w:rPr>
        <w:t>Fixed-fee Media IP licensing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long-term fixed-fee Media IP licensing contracts provide its customers with rights to future patented technologies over the term of the contract that are highly interdependent or highly interrelated to the patented technologies provided at the inception of the contract. The Company treats these rights as a single performance obligation with revenue recognized on a straight-line basis over the term of the fixed-fee license contract. The transaction price is adjusted for the effect of any significant financing components calculated using borrower-specific, risk-adjusted interest rates, with the related interest income or expense being recognized over time on an effective rate basis.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Fixed-fee or minimum guarantee Semiconductor IP licensing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enters into Semiconductor IP licenses that have a fixed fee or a minimum guarantee, whereby licensees pay a fixed fee for the right to incorporate the Company’s IP technologies in the licensee’s products over the license term. In contracts with a minimum guarantee, the fixed fee component corresponds to a minimum number of units or dollars that the customer must produce or pay, with additional per-unit fees for any units or dollars exceeding the minimum. The Company generally recognizes the full fixed fee as revenue at the beginning of the license term when the customer has the right to use the IP and begins to benefit from the license, adjusted for the effect of any significant financing components calculated using borrower-specific, risk-adjusted interest rates, with the related interest income or expense being recognized over time on an effective rate basis. For minimum guarantee contracts where the customer exceeds the minimum, the Company recognizes revenue relating to any additional per-unit fees in the periods it believes the customer has exceeded the minimum and adjusts the revenue based on actual usage once that is reported by the customer.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IP license contracts with multiple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times, the Company enters into long-term license contracts with more than one performance obligation, which may include releases from past patent infringement claims or one or more prospective licenses. In these arrangements, the Company allocates the transaction price between releases for past patent infringement claims and prospective licenses based on their relative standalone selling prices, which requires significant management judgment.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determining the standalone selling price of each performance obligation, the Company considers such factors as the customer’s revenues, the number of past and projected future subscribers, units shipped, and units manufactured, as well as the per-subscriber or per-unit licensing rates the Company generally receives from licensees of comparable sizes in comparable markets and geographies.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recognized upon execution of the contract.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Practical Expedients and Exemptions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applies a practical expedient to not perform an evaluation of whether a contract includes a significant financing component when the timing of revenue recognition differs from the timing of cash collection by one year or less.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applies a practical expedient to expense costs to obtain a contract with a customer as incurred as a component of selling, general and administrative expenses when the amortization period would have been one year or less.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applies a practical expedient when disclosing revenue expected to be recognized from unsatisfied performance obligations to exclude contracts with customers with an original duration of less than one year; amounts attributable to variable consideration arising from (i) a sales-based or usage-based royalty of an intellectual property license or (ii) when variable consideration is allocated entirely to a wholly unsatisfied performance obligation; or to a wholly unsatisfied promise to transfer a distinct good or service that forms part of a single performance obligation.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Details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Disaggregation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following information depicts how the nature, amount, timing and uncertainty of revenue and cash flows are affected by economic factors by disaggregating revenue by category, market vertical and geographic location (presented in “Note 15 – </w:t>
      </w:r>
      <w:r>
        <w:rPr>
          <w:rFonts w:ascii="Times New Roman" w:hAnsi="Times New Roman"/>
          <w:i/>
          <w:color w:val="000000"/>
          <w:sz w:val="20"/>
        </w:rPr>
        <w:t>Segment Information</w:t>
      </w:r>
      <w:r>
        <w:rPr>
          <w:rFonts w:ascii="Times New Roman" w:hAnsi="Times New Roman"/>
          <w:color w:val="000000"/>
          <w:sz w:val="20"/>
        </w:rPr>
        <w:t xml:space="preserve">”). This information includes revenue recognized from contracts with customers and revenue from other sources, including sales-based or usage-based royalty revenues and fees associated with releases for past infringement. </w:t>
      </w:r>
    </w:p>
    <w:p>
      <w:pPr>
        <w:pStyle w:val="TextBody"/>
        <w:bidi w:val="0"/>
        <w:spacing w:before="240" w:after="283"/>
        <w:jc w:val="left"/>
        <w:rPr>
          <w:rFonts w:ascii="Times New Roman" w:hAnsi="Times New Roman"/>
          <w:sz w:val="20"/>
        </w:rPr>
      </w:pPr>
      <w:r>
        <w:rPr>
          <w:rFonts w:ascii="Times New Roman" w:hAnsi="Times New Roman"/>
          <w:b/>
          <w:color w:val="000000"/>
          <w:sz w:val="20"/>
        </w:rPr>
        <w:t>Recurring and non-recurring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Recurring revenue includes the following: (i) for fixed-fee Media IP license agreements, revenue associated with rights to existing and future patented technologies during reporting periods beginning with the reporting period in which the agreement is executed through the end of the term of the agreement, which are recognized on a straight-line basis; and (ii) for per-unit or per-subscriber Media IP or Semiconductor IP royalty license agreements, revenue associated with sales-based or usage-based royalties in exchange for a license of IP, which are recognized in the period such subsequent sales or usage occurs.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Non-recurring revenue includes the following: (i) for fixed-fee or minimum guarantee Semiconductor IP license agreements, revenue in the amount of such fixed fee or minimum guarantee associated with the right to use the IP, which is recognized upon execution of the agreement; and (ii) for all license agreements, revenue in the amount of the fees associated with releases for past patent infringement or licenses, in each case with respect to reporting periods prior to the execution of the agreement, which is recognized upon execution of the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disaggregated by recurring and non-recurring nature was as follows (in thousands):</w:t>
      </w:r>
    </w:p>
    <w:p>
      <w:pPr>
        <w:pStyle w:val="TextBody"/>
        <w:bidi w:val="0"/>
        <w:jc w:val="left"/>
        <w:rPr/>
      </w:pPr>
      <w:r>
        <w:rPr/>
        <w:t> </w:t>
      </w:r>
    </w:p>
    <w:tbl>
      <w:tblPr>
        <w:tblW w:w="4554" w:type="dxa"/>
        <w:jc w:val="left"/>
        <w:tblInd w:w="0" w:type="dxa"/>
        <w:tblLayout w:type="fixed"/>
        <w:tblCellMar>
          <w:top w:w="28" w:type="dxa"/>
          <w:left w:w="28" w:type="dxa"/>
          <w:bottom w:w="28" w:type="dxa"/>
          <w:right w:w="28" w:type="dxa"/>
        </w:tblCellMar>
      </w:tblPr>
      <w:tblGrid>
        <w:gridCol w:w="1951"/>
        <w:gridCol w:w="146"/>
        <w:gridCol w:w="211"/>
        <w:gridCol w:w="676"/>
        <w:gridCol w:w="146"/>
        <w:gridCol w:w="146"/>
        <w:gridCol w:w="211"/>
        <w:gridCol w:w="676"/>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Recurring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Non-recurring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by market vertical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disaggregated by market vertical was as follows (in thousands):</w:t>
      </w:r>
    </w:p>
    <w:p>
      <w:pPr>
        <w:pStyle w:val="TextBody"/>
        <w:bidi w:val="0"/>
        <w:jc w:val="left"/>
        <w:rPr/>
      </w:pPr>
      <w:r>
        <w:rPr/>
        <w:t> </w:t>
      </w:r>
    </w:p>
    <w:tbl>
      <w:tblPr>
        <w:tblW w:w="4049" w:type="dxa"/>
        <w:jc w:val="left"/>
        <w:tblInd w:w="0" w:type="dxa"/>
        <w:tblLayout w:type="fixed"/>
        <w:tblCellMar>
          <w:top w:w="28" w:type="dxa"/>
          <w:left w:w="28" w:type="dxa"/>
          <w:bottom w:w="28" w:type="dxa"/>
          <w:right w:w="28" w:type="dxa"/>
        </w:tblCellMar>
      </w:tblPr>
      <w:tblGrid>
        <w:gridCol w:w="1446"/>
        <w:gridCol w:w="146"/>
        <w:gridCol w:w="211"/>
        <w:gridCol w:w="676"/>
        <w:gridCol w:w="146"/>
        <w:gridCol w:w="146"/>
        <w:gridCol w:w="211"/>
        <w:gridCol w:w="676"/>
        <w:gridCol w:w="391"/>
      </w:tblGrid>
      <w:tr>
        <w:trPr/>
        <w:tc>
          <w:tcPr>
            <w:tcW w:w="1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Semiconductor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 Balances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Contracts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 assets primarily consist of unbilled contracts receivable that are expected to be received from customers in future periods, where the revenue recognized to date exceeds the amount billed. The amount of unbilled contracts receivable may not exceed their net realizable value and are classified as long-term assets if the payments are expected to be received more than one year from the reporting date. Contract assets also include the incremental costs of obtaining a contract with a customer, principally sales commissions when the renewal commission is not commensurate with the initial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 assets were recorded in the Condensed Consolidated Balance Sheets as follows (in thousands):</w:t>
      </w:r>
    </w:p>
    <w:p>
      <w:pPr>
        <w:pStyle w:val="TextBody"/>
        <w:bidi w:val="0"/>
        <w:jc w:val="left"/>
        <w:rPr/>
      </w:pPr>
      <w:r>
        <w:rPr/>
        <w:t> </w:t>
      </w:r>
    </w:p>
    <w:tbl>
      <w:tblPr>
        <w:tblW w:w="7470" w:type="dxa"/>
        <w:jc w:val="left"/>
        <w:tblInd w:w="0" w:type="dxa"/>
        <w:tblLayout w:type="fixed"/>
        <w:tblCellMar>
          <w:top w:w="28" w:type="dxa"/>
          <w:left w:w="28" w:type="dxa"/>
          <w:bottom w:w="28" w:type="dxa"/>
          <w:right w:w="28" w:type="dxa"/>
        </w:tblCellMar>
      </w:tblPr>
      <w:tblGrid>
        <w:gridCol w:w="3376"/>
        <w:gridCol w:w="146"/>
        <w:gridCol w:w="306"/>
        <w:gridCol w:w="1134"/>
        <w:gridCol w:w="146"/>
        <w:gridCol w:w="146"/>
        <w:gridCol w:w="367"/>
        <w:gridCol w:w="1358"/>
        <w:gridCol w:w="4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Unbilled contracts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unbilled contracts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168,444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Contract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liabilities are comprised of deferred revenue related to multi-period licensing arrangements for which the Company is paid in advance, while the underlying performance obligation is satisfied at a future date or over time.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Allowance for Credit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allowance for credit losses represents the Company’s best estimate of lifetime expected credit losses inherent in accounts receivable and unbilled contracts receivable. The Company’s long-term unbilled contracts receivable is derived from fixed-fee or minimum-guarantee Semiconductor IP licensing and is primarily comprised of contracts with large, well-capitalized companies. It is generally considered to be of high credit quality due to past collection history and the nature of the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allowance for credit losses at March 31, 2025 and December 31, 2024 was $0.7 million and is presented as part of accounts receivable, net in the Condensed Consolidated Balance Sheets.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Additional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additional revenue and contract disclosures (in thousands):</w:t>
      </w:r>
    </w:p>
    <w:p>
      <w:pPr>
        <w:pStyle w:val="TextBody"/>
        <w:bidi w:val="0"/>
        <w:jc w:val="left"/>
        <w:rPr/>
      </w:pPr>
      <w:r>
        <w:rPr/>
        <w:t> </w:t>
      </w:r>
    </w:p>
    <w:tbl>
      <w:tblPr>
        <w:tblW w:w="8297" w:type="dxa"/>
        <w:jc w:val="left"/>
        <w:tblInd w:w="0" w:type="dxa"/>
        <w:tblLayout w:type="fixed"/>
        <w:tblCellMar>
          <w:top w:w="28" w:type="dxa"/>
          <w:left w:w="28" w:type="dxa"/>
          <w:bottom w:w="28" w:type="dxa"/>
          <w:right w:w="28" w:type="dxa"/>
        </w:tblCellMar>
      </w:tblPr>
      <w:tblGrid>
        <w:gridCol w:w="5886"/>
        <w:gridCol w:w="146"/>
        <w:gridCol w:w="213"/>
        <w:gridCol w:w="577"/>
        <w:gridCol w:w="147"/>
        <w:gridCol w:w="147"/>
        <w:gridCol w:w="213"/>
        <w:gridCol w:w="577"/>
        <w:gridCol w:w="391"/>
      </w:tblGrid>
      <w:tr>
        <w:trPr/>
        <w:tc>
          <w:tcPr>
            <w:tcW w:w="5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in the period from: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included in deferred revenue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Performance obligations satisfied in previous periods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Performance obligations satisfied in previous periods consist mainly of fees associated with releases for past patent infringement and revenue from past royalties owed pursuant to expired or terminated IP license agreements. For long-term and multi-year revenue contracts, the Company recorded revenue from the releases for past infringement during the three months ended March 31, 2025 and 2024 and expects to record revenue from the prospective license in future periods.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Remaining revenue under contracts with performance obligations represents the aggregate amount of the transaction price allocated to the performance obligations that are unsatisfied (or partially unsatisfied) under certain of the Company’s fixed fee arrangements (in thousands).</w:t>
      </w:r>
    </w:p>
    <w:p>
      <w:pPr>
        <w:pStyle w:val="TextBody"/>
        <w:bidi w:val="0"/>
        <w:jc w:val="left"/>
        <w:rPr/>
      </w:pPr>
      <w:r>
        <w:rPr/>
        <w:t> </w:t>
      </w:r>
    </w:p>
    <w:tbl>
      <w:tblPr>
        <w:tblW w:w="8868" w:type="dxa"/>
        <w:jc w:val="left"/>
        <w:tblInd w:w="0" w:type="dxa"/>
        <w:tblLayout w:type="fixed"/>
        <w:tblCellMar>
          <w:top w:w="28" w:type="dxa"/>
          <w:left w:w="28" w:type="dxa"/>
          <w:bottom w:w="28" w:type="dxa"/>
          <w:right w:w="28" w:type="dxa"/>
        </w:tblCellMar>
      </w:tblPr>
      <w:tblGrid>
        <w:gridCol w:w="6691"/>
        <w:gridCol w:w="146"/>
        <w:gridCol w:w="306"/>
        <w:gridCol w:w="1134"/>
        <w:gridCol w:w="591"/>
      </w:tblGrid>
      <w:tr>
        <w:trP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March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contracts with performance obligations expected to be satisfied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2025 (remaining 9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451,290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4 – COMPOSITION OF CERTAIN FINANCIAL STATEMENT CAPTIONS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Other current assets consisted of the following (in thousands): </w:t>
      </w:r>
    </w:p>
    <w:p>
      <w:pPr>
        <w:pStyle w:val="TextBody"/>
        <w:bidi w:val="0"/>
        <w:jc w:val="left"/>
        <w:rPr/>
      </w:pPr>
      <w:r>
        <w:rPr/>
        <w:t> </w:t>
      </w:r>
    </w:p>
    <w:tbl>
      <w:tblPr>
        <w:tblW w:w="6140" w:type="dxa"/>
        <w:jc w:val="left"/>
        <w:tblInd w:w="0" w:type="dxa"/>
        <w:tblLayout w:type="fixed"/>
        <w:tblCellMar>
          <w:top w:w="28" w:type="dxa"/>
          <w:left w:w="28" w:type="dxa"/>
          <w:bottom w:w="28" w:type="dxa"/>
          <w:right w:w="28" w:type="dxa"/>
        </w:tblCellMar>
      </w:tblPr>
      <w:tblGrid>
        <w:gridCol w:w="2246"/>
        <w:gridCol w:w="146"/>
        <w:gridCol w:w="342"/>
        <w:gridCol w:w="1098"/>
        <w:gridCol w:w="146"/>
        <w:gridCol w:w="146"/>
        <w:gridCol w:w="465"/>
        <w:gridCol w:w="1260"/>
        <w:gridCol w:w="291"/>
      </w:tblGrid>
      <w:tr>
        <w:trPr/>
        <w:tc>
          <w:tcPr>
            <w:tcW w:w="2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6930" w:type="dxa"/>
        <w:jc w:val="left"/>
        <w:tblInd w:w="0" w:type="dxa"/>
        <w:tblLayout w:type="fixed"/>
        <w:tblCellMar>
          <w:top w:w="28" w:type="dxa"/>
          <w:left w:w="28" w:type="dxa"/>
          <w:bottom w:w="28" w:type="dxa"/>
          <w:right w:w="28" w:type="dxa"/>
        </w:tblCellMar>
      </w:tblPr>
      <w:tblGrid>
        <w:gridCol w:w="2996"/>
        <w:gridCol w:w="146"/>
        <w:gridCol w:w="321"/>
        <w:gridCol w:w="1119"/>
        <w:gridCol w:w="166"/>
        <w:gridCol w:w="146"/>
        <w:gridCol w:w="384"/>
        <w:gridCol w:w="1341"/>
        <w:gridCol w:w="311"/>
      </w:tblGrid>
      <w:tr>
        <w:trPr/>
        <w:tc>
          <w:tcPr>
            <w:tcW w:w="2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long-term assets consisted of the following (in thousands):</w:t>
      </w:r>
    </w:p>
    <w:p>
      <w:pPr>
        <w:pStyle w:val="TextBody"/>
        <w:bidi w:val="0"/>
        <w:spacing w:before="40" w:after="283"/>
        <w:jc w:val="left"/>
        <w:rPr/>
      </w:pPr>
      <w:r>
        <w:rPr/>
        <w:t> </w:t>
      </w:r>
    </w:p>
    <w:tbl>
      <w:tblPr>
        <w:tblW w:w="6385" w:type="dxa"/>
        <w:jc w:val="left"/>
        <w:tblInd w:w="0" w:type="dxa"/>
        <w:tblLayout w:type="fixed"/>
        <w:tblCellMar>
          <w:top w:w="28" w:type="dxa"/>
          <w:left w:w="28" w:type="dxa"/>
          <w:bottom w:w="28" w:type="dxa"/>
          <w:right w:w="28" w:type="dxa"/>
        </w:tblCellMar>
      </w:tblPr>
      <w:tblGrid>
        <w:gridCol w:w="2491"/>
        <w:gridCol w:w="146"/>
        <w:gridCol w:w="342"/>
        <w:gridCol w:w="1098"/>
        <w:gridCol w:w="146"/>
        <w:gridCol w:w="146"/>
        <w:gridCol w:w="409"/>
        <w:gridCol w:w="1316"/>
        <w:gridCol w:w="2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liabilities consisted of the following (in thousands): </w:t>
      </w:r>
    </w:p>
    <w:p>
      <w:pPr>
        <w:pStyle w:val="TextBody"/>
        <w:bidi w:val="0"/>
        <w:jc w:val="left"/>
        <w:rPr/>
      </w:pPr>
      <w:r>
        <w:rPr/>
        <w:t> </w:t>
      </w:r>
    </w:p>
    <w:tbl>
      <w:tblPr>
        <w:tblW w:w="7585" w:type="dxa"/>
        <w:jc w:val="left"/>
        <w:tblInd w:w="0" w:type="dxa"/>
        <w:tblLayout w:type="fixed"/>
        <w:tblCellMar>
          <w:top w:w="28" w:type="dxa"/>
          <w:left w:w="28" w:type="dxa"/>
          <w:bottom w:w="28" w:type="dxa"/>
          <w:right w:w="28" w:type="dxa"/>
        </w:tblCellMar>
      </w:tblPr>
      <w:tblGrid>
        <w:gridCol w:w="3691"/>
        <w:gridCol w:w="146"/>
        <w:gridCol w:w="342"/>
        <w:gridCol w:w="1098"/>
        <w:gridCol w:w="146"/>
        <w:gridCol w:w="146"/>
        <w:gridCol w:w="409"/>
        <w:gridCol w:w="1316"/>
        <w:gridCol w:w="2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Current portion of guarantee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Refer to “Note 14 – </w:t>
      </w:r>
      <w:r>
        <w:rPr>
          <w:rFonts w:ascii="Times New Roman" w:hAnsi="Times New Roman"/>
          <w:i/>
          <w:color w:val="000000"/>
          <w:sz w:val="20"/>
        </w:rPr>
        <w:t>Commitments and Contingencies”</w:t>
      </w:r>
      <w:r>
        <w:rPr>
          <w:rFonts w:ascii="Times New Roman" w:hAnsi="Times New Roman"/>
          <w:color w:val="000000"/>
          <w:sz w:val="20"/>
        </w:rPr>
        <w:t xml:space="preserve"> for further detail on the nature of the guarantee.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long-term liabilities consisted of the following (in thousands): </w:t>
      </w:r>
    </w:p>
    <w:p>
      <w:pPr>
        <w:pStyle w:val="TextBody"/>
        <w:bidi w:val="0"/>
        <w:jc w:val="left"/>
        <w:rPr/>
      </w:pPr>
      <w:r>
        <w:rPr/>
        <w:t> </w:t>
      </w:r>
    </w:p>
    <w:tbl>
      <w:tblPr>
        <w:tblW w:w="6775" w:type="dxa"/>
        <w:jc w:val="left"/>
        <w:tblInd w:w="0" w:type="dxa"/>
        <w:tblLayout w:type="fixed"/>
        <w:tblCellMar>
          <w:top w:w="28" w:type="dxa"/>
          <w:left w:w="28" w:type="dxa"/>
          <w:bottom w:w="28" w:type="dxa"/>
          <w:right w:w="28" w:type="dxa"/>
        </w:tblCellMar>
      </w:tblPr>
      <w:tblGrid>
        <w:gridCol w:w="2881"/>
        <w:gridCol w:w="146"/>
        <w:gridCol w:w="342"/>
        <w:gridCol w:w="1098"/>
        <w:gridCol w:w="146"/>
        <w:gridCol w:w="146"/>
        <w:gridCol w:w="409"/>
        <w:gridCol w:w="1316"/>
        <w:gridCol w:w="2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Long-term portion of guarantee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Refer to “Note 14 – </w:t>
      </w:r>
      <w:r>
        <w:rPr>
          <w:rFonts w:ascii="Times New Roman" w:hAnsi="Times New Roman"/>
          <w:i/>
          <w:color w:val="000000"/>
          <w:sz w:val="20"/>
        </w:rPr>
        <w:t>Commitments and Contingencies”</w:t>
      </w:r>
      <w:r>
        <w:rPr>
          <w:rFonts w:ascii="Times New Roman" w:hAnsi="Times New Roman"/>
          <w:color w:val="000000"/>
          <w:sz w:val="20"/>
        </w:rPr>
        <w:t xml:space="preserve"> for further detail on the nature of the guarantee. </w:t>
      </w:r>
    </w:p>
    <w:p>
      <w:pPr>
        <w:pStyle w:val="TextBody"/>
        <w:bidi w:val="0"/>
        <w:spacing w:before="240" w:after="283"/>
        <w:jc w:val="left"/>
        <w:rPr>
          <w:rFonts w:ascii="Times New Roman" w:hAnsi="Times New Roman"/>
          <w:sz w:val="20"/>
        </w:rPr>
      </w:pPr>
      <w:r>
        <w:rPr>
          <w:rFonts w:ascii="Times New Roman" w:hAnsi="Times New Roman"/>
          <w:b/>
          <w:color w:val="000000"/>
          <w:sz w:val="20"/>
        </w:rPr>
        <w:t>NOTE 5 –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investments in debt securities, which include corporate bonds and notes, treasury and agency notes and bills, commercial paper, and in equity securities consisting of money market funds. The Company classifies its debt securities as available-for-sale (“AFS”), which are accounted for at fair value with credit related losses recognized as a provision for credit losses in its Condensed Consolidated Statements of Income and all non-credit related unrealized gains and losses recognized in accumulated other comprehensive income or loss on the Condensed Consolidated Balance Sheets. Under ASU 2016-01 (Topic 321), equity securities are measured at fair value with unrealized gains and losses recognized in other income and expense, net, in the Condensed Consolidated Statements of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marketable securities at March 31, 2025 and December 31, 2024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72"/>
        <w:gridCol w:w="146"/>
        <w:gridCol w:w="211"/>
        <w:gridCol w:w="676"/>
        <w:gridCol w:w="146"/>
        <w:gridCol w:w="146"/>
        <w:gridCol w:w="392"/>
        <w:gridCol w:w="644"/>
        <w:gridCol w:w="146"/>
        <w:gridCol w:w="146"/>
        <w:gridCol w:w="372"/>
        <w:gridCol w:w="664"/>
        <w:gridCol w:w="166"/>
        <w:gridCol w:w="146"/>
        <w:gridCol w:w="675"/>
        <w:gridCol w:w="1111"/>
        <w:gridCol w:w="146"/>
        <w:gridCol w:w="146"/>
        <w:gridCol w:w="228"/>
        <w:gridCol w:w="733"/>
        <w:gridCol w:w="693"/>
      </w:tblGrid>
      <w:tr>
        <w:trPr/>
        <w:tc>
          <w:tcPr>
            <w:tcW w:w="2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9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w:t>
              <w:br/>
              <w:t>Values</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 and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25,915</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and agency notes and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32,320</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36,872</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32,320</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36,872</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72"/>
        <w:gridCol w:w="146"/>
        <w:gridCol w:w="211"/>
        <w:gridCol w:w="676"/>
        <w:gridCol w:w="146"/>
        <w:gridCol w:w="146"/>
        <w:gridCol w:w="392"/>
        <w:gridCol w:w="644"/>
        <w:gridCol w:w="146"/>
        <w:gridCol w:w="146"/>
        <w:gridCol w:w="372"/>
        <w:gridCol w:w="664"/>
        <w:gridCol w:w="166"/>
        <w:gridCol w:w="146"/>
        <w:gridCol w:w="675"/>
        <w:gridCol w:w="1111"/>
        <w:gridCol w:w="146"/>
        <w:gridCol w:w="146"/>
        <w:gridCol w:w="228"/>
        <w:gridCol w:w="733"/>
        <w:gridCol w:w="693"/>
      </w:tblGrid>
      <w:tr>
        <w:trPr/>
        <w:tc>
          <w:tcPr>
            <w:tcW w:w="2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9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w:t>
              <w:br/>
              <w:t>Values</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 and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25,762</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and agency notes and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32,067</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36,389</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31,567</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36,389</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March 31, 2025 and December 31, 2024, the Company had $116.5 million and $110.4 million, respectively, in cash and cash equivalents and marketable securities. A portion of these amounts was held in marketable securities, as shown above. The remaining balances of $79.6 million and $74.0 million at March 31, 2025 and December 31, 2024, respectively, consisted of cash held in operating accounts not included in the tables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gross realized gains and losses on sales of marketable debt securities were immaterial during the three months ended March 31, 2025 and 2024. Unrealized losses on AFS debt securities were immaterial as of March 31, 2025 and December 31, 2024. The Company evaluated whether the decline in fair value has resulted from credit losses or other factors and concluded these amounts were related to temporary fluctuations in value of AFS securities and were due primarily to changes in interest rates and market conditions of the underlying securities. The Company did not recognize a provision for credit losses related to its AFS debt securities during the three months ended March 31, 2025 and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estimated fair value of marketable debt securities by contractual maturity at March 31, 2025 is shown below (in thousands). Actual maturities may differ from contractual maturities because issuers may have the right to call or prepay obligations without call or prepayment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784" w:type="dxa"/>
        <w:jc w:val="left"/>
        <w:tblInd w:w="0" w:type="dxa"/>
        <w:tblLayout w:type="fixed"/>
        <w:tblCellMar>
          <w:top w:w="28" w:type="dxa"/>
          <w:left w:w="28" w:type="dxa"/>
          <w:bottom w:w="28" w:type="dxa"/>
          <w:right w:w="28" w:type="dxa"/>
        </w:tblCellMar>
      </w:tblPr>
      <w:tblGrid>
        <w:gridCol w:w="2131"/>
        <w:gridCol w:w="146"/>
        <w:gridCol w:w="249"/>
        <w:gridCol w:w="801"/>
        <w:gridCol w:w="146"/>
        <w:gridCol w:w="242"/>
        <w:gridCol w:w="778"/>
        <w:gridCol w:w="2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to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two to three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6 –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follows the authoritative guidance for fair value measurement and the fair value option for financial assets and financial liabilities. The Company carries its financial instruments at fair value with the exception of its long-term debt. Fair value is defined as the exchange price that would be received for an asset or paid to transfer a liability, or an exit price, in the principal or most advantageous market for the asset or liability in an orderly transaction between market participants on the measurement date. The established fair value hierarchy requires an entity to maximize the use of observable inputs and minimize the use of unobservable inputs when measuring fair value. There are three levels of inputs that may be used to measure fair value: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4"/>
        <w:gridCol w:w="9611"/>
      </w:tblGrid>
      <w:tr>
        <w:trPr/>
        <w:tc>
          <w:tcPr>
            <w:tcW w:w="594" w:type="dxa"/>
            <w:tcBorders/>
            <w:vAlign w:val="center"/>
          </w:tcPr>
          <w:p>
            <w:pPr>
              <w:pStyle w:val="TableContents"/>
              <w:bidi w:val="0"/>
              <w:spacing w:before="0" w:after="283"/>
              <w:jc w:val="left"/>
              <w:rPr>
                <w:sz w:val="4"/>
                <w:szCs w:val="4"/>
              </w:rPr>
            </w:pPr>
            <w:r>
              <w:rPr>
                <w:sz w:val="4"/>
                <w:szCs w:val="4"/>
              </w:rPr>
            </w:r>
          </w:p>
        </w:tc>
        <w:tc>
          <w:tcPr>
            <w:tcW w:w="9611" w:type="dxa"/>
            <w:tcBorders/>
            <w:vAlign w:val="center"/>
          </w:tcPr>
          <w:p>
            <w:pPr>
              <w:pStyle w:val="TableContents"/>
              <w:bidi w:val="0"/>
              <w:spacing w:before="0" w:after="283"/>
              <w:jc w:val="left"/>
              <w:rPr>
                <w:sz w:val="4"/>
                <w:szCs w:val="4"/>
              </w:rPr>
            </w:pPr>
            <w:r>
              <w:rPr>
                <w:sz w:val="4"/>
                <w:szCs w:val="4"/>
              </w:rPr>
            </w:r>
          </w:p>
        </w:tc>
      </w:tr>
      <w:tr>
        <w:trPr/>
        <w:tc>
          <w:tcPr>
            <w:tcW w:w="5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Level 1</w:t>
            </w:r>
          </w:p>
        </w:tc>
        <w:tc>
          <w:tcPr>
            <w:tcW w:w="9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Quoted prices in active markets for identical assets.</w:t>
            </w:r>
          </w:p>
        </w:tc>
      </w:tr>
      <w:tr>
        <w:trPr/>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c>
          <w:tcPr>
            <w:tcW w:w="9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Level 2</w:t>
            </w:r>
          </w:p>
        </w:tc>
        <w:tc>
          <w:tcPr>
            <w:tcW w:w="9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Observable market-based inputs or unobservable inputs that are corroborated by market data.</w:t>
            </w:r>
          </w:p>
        </w:tc>
      </w:tr>
      <w:tr>
        <w:trPr/>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c>
          <w:tcPr>
            <w:tcW w:w="9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Level 3</w:t>
            </w:r>
          </w:p>
        </w:tc>
        <w:tc>
          <w:tcPr>
            <w:tcW w:w="9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that are supported by little or no market activity and that are significant to the fair value of the assets.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applying fair value principles in the valuation of assets, the Company is required to maximize the use of quoted market prices and minimize the use of unobservable inputs. The Company calculates the fair value of its Level 1 and Level 2 instruments based on the exchange traded price of similar or identical instruments, where available, or based on other observable inputs. There were no significant transfers into or out of Level 1 or Level 2 that occurred between December 31, 2024 and March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sets forth the fair value, and classification within the hierarchy, of the Company’s assets required to be measured at fair value on a recurring basis as of March 31, 2025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47"/>
        <w:gridCol w:w="146"/>
        <w:gridCol w:w="215"/>
        <w:gridCol w:w="694"/>
        <w:gridCol w:w="146"/>
        <w:gridCol w:w="146"/>
        <w:gridCol w:w="320"/>
        <w:gridCol w:w="866"/>
        <w:gridCol w:w="146"/>
        <w:gridCol w:w="146"/>
        <w:gridCol w:w="232"/>
        <w:gridCol w:w="744"/>
        <w:gridCol w:w="146"/>
        <w:gridCol w:w="146"/>
        <w:gridCol w:w="443"/>
        <w:gridCol w:w="728"/>
        <w:gridCol w:w="594"/>
      </w:tblGrid>
      <w:tr>
        <w:trPr/>
        <w:tc>
          <w:tcPr>
            <w:tcW w:w="4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w:t>
              <w:br/>
              <w:t>Prices in</w:t>
              <w:br/>
              <w:t>Active Markets</w:t>
              <w:br/>
              <w:t>for 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Unobservable</w:t>
              <w:br/>
              <w:t>Inputs</w:t>
              <w:br/>
              <w:t>(Level 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Money market funds - equity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Corporate bonds and notes - debt securities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Commercial paper - debt securities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Treasury and agency notes and bills - debt securities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Reported as cash and cash equivalents in the Condensed Consolidated Balance Sheet.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Reported as marketable securities in the Condensed Consolidated Balance Sheet.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Reported as marketable securities in the Condensed Consolidated Balance Sheet as these were purchased with original maturities of more than three months at date of purchase; otherwise reported as cash and cash equivalents.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sets forth the fair value, and classification within the hierarchy, of the Company’s assets required to be measured at fair value on a recurring basis as of December 31, 2024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47"/>
        <w:gridCol w:w="146"/>
        <w:gridCol w:w="215"/>
        <w:gridCol w:w="694"/>
        <w:gridCol w:w="146"/>
        <w:gridCol w:w="146"/>
        <w:gridCol w:w="320"/>
        <w:gridCol w:w="866"/>
        <w:gridCol w:w="146"/>
        <w:gridCol w:w="146"/>
        <w:gridCol w:w="232"/>
        <w:gridCol w:w="744"/>
        <w:gridCol w:w="146"/>
        <w:gridCol w:w="146"/>
        <w:gridCol w:w="443"/>
        <w:gridCol w:w="728"/>
        <w:gridCol w:w="594"/>
      </w:tblGrid>
      <w:tr>
        <w:trPr/>
        <w:tc>
          <w:tcPr>
            <w:tcW w:w="4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w:t>
              <w:br/>
              <w:t>Prices in</w:t>
              <w:br/>
              <w:t>Active Markets</w:t>
              <w:br/>
              <w:t>for 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Unobservable</w:t>
              <w:br/>
              <w:t>Inputs</w:t>
              <w:br/>
              <w:t>(Level 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Money market funds - equity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Corporate bonds and notes - debt securities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Commercial paper - debt securities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Treasury and agency notes and bills - debt securities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Reported as cash and cash equivalents in the Condensed Consolidated Balance Sheet.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Reported as marketable securities in the Condensed Consolidated Balance Sheet.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Reported as marketable securities in the Condensed Consolidated Balance Sheet as these were purchased with original maturities of more than three months at date of purchase; otherwise reported as cash and cash equivalents.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Financial Instruments Not Recorded at Fair Value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long-term debt is carried at amortized cost and is measured at fair value on a quarterly basis for disclosure purposes. The fair value of the Company’s long-term debt approximates its carrying value as of each of the periods described below. The carrying amounts and estimated fair values are as follows (in thousands): </w:t>
      </w:r>
    </w:p>
    <w:p>
      <w:pPr>
        <w:pStyle w:val="TextBody"/>
        <w:bidi w:val="0"/>
        <w:jc w:val="left"/>
        <w:rPr/>
      </w:pPr>
      <w:r>
        <w:rPr/>
        <w:t> </w:t>
      </w:r>
    </w:p>
    <w:tbl>
      <w:tblPr>
        <w:tblW w:w="7173" w:type="dxa"/>
        <w:jc w:val="left"/>
        <w:tblInd w:w="0" w:type="dxa"/>
        <w:tblLayout w:type="fixed"/>
        <w:tblCellMar>
          <w:top w:w="28" w:type="dxa"/>
          <w:left w:w="28" w:type="dxa"/>
          <w:bottom w:w="28" w:type="dxa"/>
          <w:right w:w="28" w:type="dxa"/>
        </w:tblCellMar>
      </w:tblPr>
      <w:tblGrid>
        <w:gridCol w:w="1936"/>
        <w:gridCol w:w="146"/>
        <w:gridCol w:w="211"/>
        <w:gridCol w:w="781"/>
        <w:gridCol w:w="146"/>
        <w:gridCol w:w="146"/>
        <w:gridCol w:w="217"/>
        <w:gridCol w:w="803"/>
        <w:gridCol w:w="146"/>
        <w:gridCol w:w="146"/>
        <w:gridCol w:w="211"/>
        <w:gridCol w:w="781"/>
        <w:gridCol w:w="146"/>
        <w:gridCol w:w="146"/>
        <w:gridCol w:w="217"/>
        <w:gridCol w:w="803"/>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Long-term debt, net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Carrying amounts of long-term debt are net of unamortized debt discount and issuance costs of $10.8 million and $11.6 million as of March 31, 2025 and December 31, 2024, respectively. See “Note 8 – </w:t>
      </w:r>
      <w:r>
        <w:rPr>
          <w:rFonts w:ascii="Times New Roman" w:hAnsi="Times New Roman"/>
          <w:i/>
          <w:color w:val="000000"/>
          <w:sz w:val="20"/>
        </w:rPr>
        <w:t>Debt</w:t>
      </w:r>
      <w:r>
        <w:rPr>
          <w:rFonts w:ascii="Times New Roman" w:hAnsi="Times New Roman"/>
          <w:color w:val="000000"/>
          <w:sz w:val="20"/>
        </w:rPr>
        <w:t>” for additional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reported at fair value in the Condensed Consolidated Balance Sheets, the Company’s debt would be classified within Level 2 of the fair value hierarchy. The fair value of the debt was estimated based on the quoted market prices for the same or similar issues. </w:t>
      </w:r>
    </w:p>
    <w:p>
      <w:pPr>
        <w:pStyle w:val="TextBody"/>
        <w:bidi w:val="0"/>
        <w:spacing w:before="120" w:after="283"/>
        <w:jc w:val="left"/>
        <w:rPr>
          <w:rFonts w:ascii="Times New Roman" w:hAnsi="Times New Roman"/>
          <w:sz w:val="20"/>
        </w:rPr>
      </w:pPr>
      <w:r>
        <w:rPr>
          <w:rFonts w:ascii="Times New Roman" w:hAnsi="Times New Roman"/>
          <w:b/>
          <w:color w:val="000000"/>
          <w:sz w:val="20"/>
        </w:rPr>
        <w:t>NOTE 7 – GOODWILL AND IDENTIFIED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carrying value of goodwill at March 31, 2025 and December 31, 2024 was $313.7 million. There were no changes to the carrying value of goodwill from January 1, through March 31, 2025. Goodwill at each reporting unit is evaluated for potential impairment annually, as of the beginning of the fourth quarter, and whenever events or changes in circumstances indicate the carrying amount of goodwill may not be recoverable. The process of evaluating goodwill for potential impairment is subjective and requires significant estimates, assumptions and judgments particularly related to the identification of reporting units, the assignment of assets and liabilities to reporting units and estimating the fair value of each reporting unit. No impairment charges were recognized during the three months ended March 31, 2025 and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00"/>
        <w:jc w:val="left"/>
        <w:rPr>
          <w:rFonts w:ascii="Times New Roman" w:hAnsi="Times New Roman"/>
          <w:i/>
          <w:color w:val="000000"/>
          <w:sz w:val="20"/>
        </w:rPr>
      </w:pPr>
      <w:r>
        <w:rPr>
          <w:rFonts w:ascii="Times New Roman" w:hAnsi="Times New Roman"/>
          <w:i/>
          <w:color w:val="000000"/>
          <w:sz w:val="20"/>
        </w:rPr>
        <w:t>Identified Intangible Assets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Identified intangible assets consisted of the following (in thousands):</w:t>
      </w:r>
    </w:p>
    <w:tbl>
      <w:tblPr>
        <w:tblW w:w="10840" w:type="dxa"/>
        <w:jc w:val="left"/>
        <w:tblInd w:w="0" w:type="dxa"/>
        <w:tblLayout w:type="fixed"/>
        <w:tblCellMar>
          <w:top w:w="28" w:type="dxa"/>
          <w:left w:w="28" w:type="dxa"/>
          <w:bottom w:w="28" w:type="dxa"/>
          <w:right w:w="28" w:type="dxa"/>
        </w:tblCellMar>
      </w:tblPr>
      <w:tblGrid>
        <w:gridCol w:w="1271"/>
        <w:gridCol w:w="146"/>
        <w:gridCol w:w="826"/>
        <w:gridCol w:w="146"/>
        <w:gridCol w:w="211"/>
        <w:gridCol w:w="781"/>
        <w:gridCol w:w="146"/>
        <w:gridCol w:w="146"/>
        <w:gridCol w:w="249"/>
        <w:gridCol w:w="997"/>
        <w:gridCol w:w="166"/>
        <w:gridCol w:w="146"/>
        <w:gridCol w:w="211"/>
        <w:gridCol w:w="781"/>
        <w:gridCol w:w="146"/>
        <w:gridCol w:w="146"/>
        <w:gridCol w:w="211"/>
        <w:gridCol w:w="781"/>
        <w:gridCol w:w="146"/>
        <w:gridCol w:w="146"/>
        <w:gridCol w:w="249"/>
        <w:gridCol w:w="997"/>
        <w:gridCol w:w="166"/>
        <w:gridCol w:w="146"/>
        <w:gridCol w:w="211"/>
        <w:gridCol w:w="781"/>
        <w:gridCol w:w="491"/>
      </w:tblGrid>
      <w:tr>
        <w:trPr/>
        <w:tc>
          <w:tcPr>
            <w:tcW w:w="1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Acquired patents / core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301,177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contracts and related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Existing technology / content database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Trademarks/trade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301,177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the estimated future amortization expense of total finite-lived intangible assets was as follows (in thousands):</w:t>
      </w:r>
    </w:p>
    <w:p>
      <w:pPr>
        <w:pStyle w:val="TextBody"/>
        <w:bidi w:val="0"/>
        <w:jc w:val="left"/>
        <w:rPr/>
      </w:pPr>
      <w:r>
        <w:rPr/>
        <w:t> </w:t>
      </w:r>
    </w:p>
    <w:tbl>
      <w:tblPr>
        <w:tblW w:w="3755" w:type="dxa"/>
        <w:jc w:val="left"/>
        <w:tblInd w:w="0" w:type="dxa"/>
        <w:tblLayout w:type="fixed"/>
        <w:tblCellMar>
          <w:top w:w="28" w:type="dxa"/>
          <w:left w:w="28" w:type="dxa"/>
          <w:bottom w:w="28" w:type="dxa"/>
          <w:right w:w="28" w:type="dxa"/>
        </w:tblCellMar>
      </w:tblPr>
      <w:tblGrid>
        <w:gridCol w:w="2326"/>
        <w:gridCol w:w="146"/>
        <w:gridCol w:w="211"/>
        <w:gridCol w:w="781"/>
        <w:gridCol w:w="2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9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291,695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8 –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outstanding amounts of debt were as follows (in thousands): </w:t>
      </w:r>
    </w:p>
    <w:p>
      <w:pPr>
        <w:pStyle w:val="TextBody"/>
        <w:bidi w:val="0"/>
        <w:jc w:val="left"/>
        <w:rPr/>
      </w:pPr>
      <w:r>
        <w:rPr/>
        <w:t> </w:t>
      </w:r>
    </w:p>
    <w:tbl>
      <w:tblPr>
        <w:tblW w:w="8975" w:type="dxa"/>
        <w:jc w:val="left"/>
        <w:tblInd w:w="0" w:type="dxa"/>
        <w:tblLayout w:type="fixed"/>
        <w:tblCellMar>
          <w:top w:w="28" w:type="dxa"/>
          <w:left w:w="28" w:type="dxa"/>
          <w:bottom w:w="28" w:type="dxa"/>
          <w:right w:w="28" w:type="dxa"/>
        </w:tblCellMar>
      </w:tblPr>
      <w:tblGrid>
        <w:gridCol w:w="5041"/>
        <w:gridCol w:w="146"/>
        <w:gridCol w:w="306"/>
        <w:gridCol w:w="1134"/>
        <w:gridCol w:w="166"/>
        <w:gridCol w:w="146"/>
        <w:gridCol w:w="367"/>
        <w:gridCol w:w="1358"/>
        <w:gridCol w:w="3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487,083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475,456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net of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long-term debt,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454,435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Term Loan 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8, 2021, the Company entered into Amendment No. 1 (“Amendment No. 1”) to that certain Credit Agreement dated June 1, 2020 by and among the Company, the lenders party thereto and Bank of America, N.A., as administrative agent and collateral agent (the “2020 Credit Agreement”). The 2020 Credit Agreement initially provided for a five-year senior secured term loan B facility in an aggregate principal amount of $1,050 million (the “2020 Term Loan B Facility”). Amendment No. 1 provided for, among other things, (i) a new tranche of term loans (the “2021 Refinanced Term Loan B”)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2021 Refinanced Term Loan B within six months of the closing date of Amendment No. 1, (iv) an extension of the maturity to June 8, 2028, and (v) certain additional amendments, including amendments to provide the Company with additional flexibility under the covenant governing restricted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30, 2023, the Company entered into Amendment No. 2 (“Amendment No. 2”) to the 2020 Credit Agreement, to replace the reference to LIBOR as the base rate with the reference to the Secured Overnight Financing Rate “SOFR” as administered by the Federal Reserve Bank of New York. The new reference rate was effective July 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20, 2024, the Company entered into Amendment No. 3 (“Amendment No. 3”) to the 2020 Credit Agreement, which provided for, among other things, (i) a repricing of the 2020 Term Loan B Facility through a refinancing of the entire amount of the 2021 Refinanced Term Loan B with a new tranche of term loans (the “2024 Term Loan B”) in an aggregate principal amount of $561.1 million, (ii) a reduction of the interest rate margin applicable to such loans to (x) in the case of SOFR loans, SOFR plus a margin of 3.00% per annum and (y) in the case of base rate loans, 2.00% per annum, (iii) a reduction in the excess cash flow mandatory payment thresholds and (iv) a prepayment premium of 1.00% in connection with any repricing transaction with respect to the 2024 Term Loan B within six months of the closing date of Amendment No. 3. The 2024 Term Loan B will mature on June 8, 2028, the same date upon which the 2021 Refinanced Term Loan B matured prior to giving effect to Amendment No. 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30, 2025, the Company entered into Amendment No. 4 (“Amendment No. 4”) to the 2020 Credit Agreement, which provided for, among other things, (i) a repricing of the 2020 Term Loan B Facility through a refinancing of the entire amount of the 2024 Term Loan B (the “2025 Term Loan B”) in an aggregate principal amount of $487.1 million, (ii) a reduction of the interest rate margin applicable to such loans to (x) in the case of SOFR loans, 2.50% per annum and (y) in the case of base rate loans, 1.50% per annum and (iii) a prepayment premium of 1.00% in connection with any repricing transaction with respect to the 2025 Term Loan B within six months of the closing date of Amendment No. 4. The 2025 Term Loan B will mature on June 8, 2028, the same date upon which the 2024 Term Loan B matured prior to giving effect to Amendment No. 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obligations under the 2020 Credit Agreement, inclusive of any changes by Amendment No. 1, Amendment No. 2, Amendment No. 3 and Amendment No. 4, continue to be guaranteed by the Company’s wholly-owned material domestic subsidiaries (collectively, the “Guarantors”) and continue to be secured by a lien on substantially all of the assets of the Company and the Guarantors.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2020 Credit Agreement, as amended, contains customary events of default, upon the occurrence of which, after any applicable cure period, the lenders will have the ability to accelerate all outstanding loans thereunder. The 2020 Credit Agreement, as amended, also contains customary representations and warranties and affirmative and negative covenants that, among other things and subject to certain exceptions, restrict the ability of the Company and its subsidiaries to create or incur certain liens, incur or guarantee additional indebtedness, merge or consolidate with other companies, transfer or sell assets and make restricted payments. The 2020 Credit Agreement, as amended, requires the Company to maintain a total net leverage ratio of no greater than 3.00x in order to access a basket from which to make restricted payments (such as dividend payments and share repurchases). The Company was in compliance with all requirements under the 2020 Credit Agreement as of March 31, 2025. The 2020 Credit Agreement, as amended, also requires the Company to continue to make cash payments on an annual basis based on certain leverage ratios and excess cash flow generated for the immediately preceding fiscal year. The cash payments are applied to the remaining principal balance due at final maturity.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 xml:space="preserve">Interest Expense and Expected Principal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March 31, 2025, the Company had $470.0 million in total debt outstanding. There were also $10.8 million of unamortized debt discount and issuance costs recorded as a reduction from the carrying amount of the debt. The interest rate on the Term Loan B as of March 31, 2025, including the amortization of debt discount and issuance costs, was 7.9% and interest is payable monthly. Interest expense was $9.3 million and $14.0 million for the three months ended March 31, 2025 and 2024, respectively. Amortized debt discount and issuance costs, which were included in interest expense, amounted to $0.8 million for the three months ended March 31, 2025 and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future minimum principal payments for long-term debt, excluding any additional principal payment required by the excess cash flow provision, are summarized as follows (in thousands):</w:t>
      </w:r>
    </w:p>
    <w:p>
      <w:pPr>
        <w:pStyle w:val="TextBody"/>
        <w:bidi w:val="0"/>
        <w:jc w:val="left"/>
        <w:rPr/>
      </w:pPr>
      <w:r>
        <w:rPr/>
        <w:t> </w:t>
      </w:r>
    </w:p>
    <w:tbl>
      <w:tblPr>
        <w:tblW w:w="3755" w:type="dxa"/>
        <w:jc w:val="left"/>
        <w:tblInd w:w="0" w:type="dxa"/>
        <w:tblLayout w:type="fixed"/>
        <w:tblCellMar>
          <w:top w:w="28" w:type="dxa"/>
          <w:left w:w="28" w:type="dxa"/>
          <w:bottom w:w="28" w:type="dxa"/>
          <w:right w:w="28" w:type="dxa"/>
        </w:tblCellMar>
      </w:tblPr>
      <w:tblGrid>
        <w:gridCol w:w="2326"/>
        <w:gridCol w:w="146"/>
        <w:gridCol w:w="211"/>
        <w:gridCol w:w="781"/>
        <w:gridCol w:w="2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9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403,020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469,994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NOTE 9 – NET INCOME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computation of net income per share (in thousands, except per share amounts):</w:t>
      </w:r>
    </w:p>
    <w:p>
      <w:pPr>
        <w:pStyle w:val="TextBody"/>
        <w:bidi w:val="0"/>
        <w:jc w:val="left"/>
        <w:rPr/>
      </w:pPr>
      <w:r>
        <w:rPr/>
        <w:t> </w:t>
      </w:r>
    </w:p>
    <w:tbl>
      <w:tblPr>
        <w:tblW w:w="10069" w:type="dxa"/>
        <w:jc w:val="left"/>
        <w:tblInd w:w="0" w:type="dxa"/>
        <w:tblLayout w:type="fixed"/>
        <w:tblCellMar>
          <w:top w:w="28" w:type="dxa"/>
          <w:left w:w="28" w:type="dxa"/>
          <w:bottom w:w="28" w:type="dxa"/>
          <w:right w:w="28" w:type="dxa"/>
        </w:tblCellMar>
      </w:tblPr>
      <w:tblGrid>
        <w:gridCol w:w="7156"/>
        <w:gridCol w:w="146"/>
        <w:gridCol w:w="211"/>
        <w:gridCol w:w="781"/>
        <w:gridCol w:w="146"/>
        <w:gridCol w:w="146"/>
        <w:gridCol w:w="211"/>
        <w:gridCol w:w="781"/>
        <w:gridCol w:w="491"/>
      </w:tblGrid>
      <w:tr>
        <w:trPr/>
        <w:tc>
          <w:tcPr>
            <w:tcW w:w="7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shares of common stock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107,765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 Effect of dilutive securities associated with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 Effect of dilutive securities associated with restricted stock awards and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 Effect of dilutive securities associated with employee stock purchase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common shares – dilutive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112,977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employee stock-based awards, excluded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income per share is computed using the weighted average number of shares of common stock outstanding during the period, excluding any unvested restricted stock units that are subject to repurchase. Diluted net income per share is computed using the treasury stock method to calculate the weighted average number of shares of common stock and, if dilutive, potential common shares outstanding during the period. Potentially dilutive common shares include unvested restricted stock units and incremental common shares issuable upon the exercise of stock options, less shares repurchased from assumed proceeds. The assumed proceeds calculation includes actual proceeds to be received from the employee upon exercise and the average unrecognized stock compensation cost during the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 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2020 EIP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 2020, the Company adopted the 2020 Equity Incentive Plan (the “2020 EIP”). Under the 2020 EIP, the Company may grant equity-based awards to employees, non-employee directors, and consultants for services rendered to the Company (or any parent or subsidiary) in the form of stock options, stock awards, restricted stock awards, restricted stock units, stock appreciation rights, dividend equivalents and performance awards (or any combination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Company’s 2024 Annual Stockholders Meeting on May 9, 2024, the Company’s stockholders approved an amendment and restatement of the 2020 EIP, which provided for (i) an increase of the number of shares reserved for issuance by 8,900,000 (from an initial share reserve of 16,800,000 under the prior 2020 EIP to 25,700,000 under the amended and restated 2020 EIP) and (ii) the removal of the “fungible share ratio” for future awards, such that all equity awards granted on or after May 9, 2024 will count on a one-to-one basis against the number of shares authorized for issuance under the 2020 EIP (whereas each share granted pursuant to “full value” awards (i.e. stock awards, restricted stock awards, restricted stock units, performance awards and dividend equivalents) prior to May 9, 2024 are counted against shares available for issuance on a 1.5 to 1 ratio). As of March 31, 2025, there were approximately 5.8 million shares reserved for future grants under the 2020 EIP.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2020 EIP provides for option grants designed as either incentive stock options or non-statutory options. Options generally are granted with an exercise price not less than the value of the common stock on the grant date and have a term of ten years from the date of grant and vest over a four-year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vesting criteria for restricted stock awards and restricted stock units is generally the passage of time or meeting certain performance-based objectives, and continued employment through the vesting period, which is generally four years for time-based awards.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Assumed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 2020, the Company assumed all then-outstanding stock options, awards, and shares available and reserved for issuance under all legacy Equity Incentive Plans of TiVo (collectively, the “Assumed Plans”). Stock options assumed from the Assumed Plans generally have vesting periods of four years and a contractual term of seven years. Awards of restricted stock and restricted stock units assumed from the Assumed Plans are generally subject to a four year vesting period. The Company has not issued any awards under these plans since the 2020 EIP was amended in 2022. The number of shares subject to stock options and restricted stock units outstanding under these plans are included in the tables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stock option activity is presented below (in thousands, except per share amounts):</w:t>
      </w:r>
    </w:p>
    <w:p>
      <w:pPr>
        <w:pStyle w:val="TextBody"/>
        <w:bidi w:val="0"/>
        <w:jc w:val="left"/>
        <w:rPr/>
      </w:pPr>
      <w:r>
        <w:rPr/>
        <w:t> </w:t>
      </w:r>
    </w:p>
    <w:tbl>
      <w:tblPr>
        <w:tblW w:w="6124" w:type="dxa"/>
        <w:jc w:val="left"/>
        <w:tblInd w:w="0" w:type="dxa"/>
        <w:tblLayout w:type="fixed"/>
        <w:tblCellMar>
          <w:top w:w="28" w:type="dxa"/>
          <w:left w:w="28" w:type="dxa"/>
          <w:bottom w:w="28" w:type="dxa"/>
          <w:right w:w="28" w:type="dxa"/>
        </w:tblCellMar>
      </w:tblPr>
      <w:tblGrid>
        <w:gridCol w:w="3511"/>
        <w:gridCol w:w="146"/>
        <w:gridCol w:w="280"/>
        <w:gridCol w:w="725"/>
        <w:gridCol w:w="189"/>
        <w:gridCol w:w="166"/>
        <w:gridCol w:w="247"/>
        <w:gridCol w:w="669"/>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w:t>
              <w:br/>
              <w:t>Subject</w:t>
              <w:br/>
              <w:t>to Options</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Per</w:t>
              <w:br/>
              <w:t>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canceled / forfeited /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with respect to outstanding restricted stock units (including both time-based vesting and performance-based vesting) as of March 31, 2025 is as follows (in thousands, except per share amounts):</w:t>
      </w:r>
    </w:p>
    <w:p>
      <w:pPr>
        <w:pStyle w:val="TextBody"/>
        <w:bidi w:val="0"/>
        <w:jc w:val="left"/>
        <w:rPr/>
      </w:pPr>
      <w:r>
        <w:rPr/>
        <w:t> </w:t>
      </w:r>
    </w:p>
    <w:tbl>
      <w:tblPr>
        <w:tblW w:w="8229" w:type="dxa"/>
        <w:jc w:val="left"/>
        <w:tblInd w:w="0" w:type="dxa"/>
        <w:tblLayout w:type="fixed"/>
        <w:tblCellMar>
          <w:top w:w="28" w:type="dxa"/>
          <w:left w:w="28" w:type="dxa"/>
          <w:bottom w:w="28" w:type="dxa"/>
          <w:right w:w="28" w:type="dxa"/>
        </w:tblCellMar>
      </w:tblPr>
      <w:tblGrid>
        <w:gridCol w:w="2686"/>
        <w:gridCol w:w="146"/>
        <w:gridCol w:w="222"/>
        <w:gridCol w:w="963"/>
        <w:gridCol w:w="166"/>
        <w:gridCol w:w="146"/>
        <w:gridCol w:w="241"/>
        <w:gridCol w:w="944"/>
        <w:gridCol w:w="146"/>
        <w:gridCol w:w="146"/>
        <w:gridCol w:w="177"/>
        <w:gridCol w:w="768"/>
        <w:gridCol w:w="166"/>
        <w:gridCol w:w="146"/>
        <w:gridCol w:w="262"/>
        <w:gridCol w:w="713"/>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0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Restricted 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Shares</w:t>
              <w:br/>
              <w:t>Subject to</w:t>
              <w:br/>
              <w:t>Time-</w:t>
              <w:br/>
              <w:t>based Vesting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Shares</w:t>
              <w:br/>
              <w:t>Subject to</w:t>
              <w:br/>
              <w:t>Performance-</w:t>
              <w:br/>
              <w:t>based Vesting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Grant Date</w:t>
              <w:br/>
              <w:t>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vested /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canceled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Performance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Performance awards may be granted to employees or consultants based upon, among other things, the contributions, responsibilities and other compensation of the particular employee or consultant. The value and the vesting of such performance awards are generally linked to one or more performance goals or certain market conditions determined by the Company, in each case on a specified date or dates or over any period or periods determined by the Company, and may range from zero to 200 percent of the grant. For performance awards subject to a market vesting condition (“market-based PSUs”), the fair value per award is fixed at the grant date and the amount of compensation expense is not adjusted during the performance period regardless of changes in the level of achievement of the market condition. For performance-based awards incorporating a market condition, where the ultimate number of shares to be earned depends on the achievement of both performance and market conditions, the fair value is estimated on the date of grant using a Monte Carlo simulation model and the amount of compensation expense is adjusted if and when it is probable that the performance condition will be achieved.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Stock Purchase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 2020, the Company adopted the 2020 Employee Stock Purchase Plan (the “2020 ESPP”). The 2020 ESPP is implemented through consecutive overlapping 24-month offering periods, each of which is comprised of four six-month purchase periods. The first offering period commenced on September 1, 2020 and ended on August 31, 2022. The next offering period under the 2020 ESPP plan commenced on December 1, 2022. Each subsequent offering period under the 2020 ESPP will be twenty-four months long and will commence on each December 1 with four six-month purchase periods. Participants may contribute up to 100% of their base earnings and commissions through payroll deductions, and the accumulated deductions will be applied to the purchase of shares on each semi-annual purchase date. The purchase price per share will equal 85% of the fair market value per share on the start date of the offering period or, if lower, 85% of the fair market value per share on the semi-annual purchase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eligible employee’s right to buy the Company’s common stock under the 2020 ESPP may not accrue at a rate in excess of $25,000 of the fair market value of such shares per calendar year for each calendar year of an offering period. If the fair market value per share of the Company’s common stock on any purchase date during an offering period is less than the fair market value per share on the start date of the 24-month offering period, then that offering period will automatically terminate and a new 24-month offering period will begin on the next business day. All participants in the terminated offering will be transferred to the new offering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2022 Annual Stockholders Meeting on April 29, 2022, the Company’s stockholders approved an amendment to the 2020 ESPP and increased by 6.0 million the number of shares reserved for issuance. As of March 31, 2025, there were approximately 5.0 million shares reserved for grant under the Company’s 2020 ESPP.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of the Company’s common stock are entitled to receive dividends when declared by the Company’s Board of Directors (the “Board”). During the periods ended March 31, 2025 and 2024, quarterly dividends declared were $0.05 per common share,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capacity to pay dividends in the future depends on many factors, including the Company’s financial condition, results of operations, capital requirements, capital structure, industry practice and other business conditions that the Board considers relevant.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Repurchase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2024, the Company’s Board approved an increase of the existing share repurchase authorization up to a total of $200.0 million. During the three months ended March 31, 2025, the Company repurchased a total of approximately 0.8 million shares of common stock, at an average price of $13.19 per share for a total cost of $10.0 million. The Company did not repurchase any shares during the three months ended March 31, 2024. As of March 31, 2025, the total remaining amount available for repurchase under this plan was $170.0 million. The shares repurchased are recorded as treasury stock and are accounted for under the cost method. No expiration date has been specified for this plan. The Company may execute authorized repurchases from time to time under the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stock repurchases using the cost method and records retirement of treasury stock as a reduction of the cumulative treasury stock paid-in capital balance. Once the cumulative balance is reduced to zero, any remaining difference resulting from the retirement of treasury stock is recorded as a reduction of retained earnings.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issues restricted stock awards as part of the equity incentive plans described above. For the majority of restricted awards, shares are withheld to satisfy required withholding taxes at the vesting date. Shares withheld to satisfy required withholding taxes in connection with the vesting of restricted awards are treated as common stock repurchases in the Condensed Consolidated Financial Statements because they reduce the number of shares that would have been issued on vesting. However, these withheld shares are not included in common stock repurchases under the Company’s authorized share repurchase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11 – STOCK-BASED COMPENSATION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 of recording stock-based compensation (“SBC”) expense for the three months ended March 31, 2025 and 2024 is as follows (in thousands): </w:t>
      </w:r>
    </w:p>
    <w:p>
      <w:pPr>
        <w:pStyle w:val="TextBody"/>
        <w:bidi w:val="0"/>
        <w:jc w:val="left"/>
        <w:rPr/>
      </w:pPr>
      <w:r>
        <w:rPr/>
        <w:t> </w:t>
      </w:r>
    </w:p>
    <w:tbl>
      <w:tblPr>
        <w:tblW w:w="5662" w:type="dxa"/>
        <w:jc w:val="left"/>
        <w:tblInd w:w="0" w:type="dxa"/>
        <w:tblLayout w:type="fixed"/>
        <w:tblCellMar>
          <w:top w:w="28" w:type="dxa"/>
          <w:left w:w="28" w:type="dxa"/>
          <w:bottom w:w="28" w:type="dxa"/>
          <w:right w:w="28" w:type="dxa"/>
        </w:tblCellMar>
      </w:tblPr>
      <w:tblGrid>
        <w:gridCol w:w="3451"/>
        <w:gridCol w:w="146"/>
        <w:gridCol w:w="213"/>
        <w:gridCol w:w="577"/>
        <w:gridCol w:w="147"/>
        <w:gridCol w:w="147"/>
        <w:gridCol w:w="213"/>
        <w:gridCol w:w="577"/>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7,010</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8,244</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options granted during the three months ended March 31, 2025 and 2024.</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The Company uses a Monte Carlo simulation to determine the grant date fair value of performance stock awards subject to market conditions, or market-based PSUs. There were no market-based PSUs granted during the three months ended March 31, 2024. For the market-based PSUs granted during the three months ended March 31, 2025, the grant date fair value was estimated using a Monte Carlo simulation and the following assumptions: </w:t>
      </w:r>
    </w:p>
    <w:tbl>
      <w:tblPr>
        <w:tblW w:w="4383" w:type="dxa"/>
        <w:jc w:val="left"/>
        <w:tblInd w:w="0" w:type="dxa"/>
        <w:tblLayout w:type="fixed"/>
        <w:tblCellMar>
          <w:top w:w="28" w:type="dxa"/>
          <w:left w:w="28" w:type="dxa"/>
          <w:bottom w:w="28" w:type="dxa"/>
          <w:right w:w="28" w:type="dxa"/>
        </w:tblCellMar>
      </w:tblPr>
      <w:tblGrid>
        <w:gridCol w:w="1946"/>
        <w:gridCol w:w="146"/>
        <w:gridCol w:w="446"/>
        <w:gridCol w:w="1429"/>
        <w:gridCol w:w="416"/>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 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00"/>
        <w:jc w:val="left"/>
        <w:rPr>
          <w:rFonts w:ascii="Times New Roman" w:hAnsi="Times New Roman"/>
          <w:sz w:val="20"/>
        </w:rPr>
      </w:pPr>
      <w:r>
        <w:rPr>
          <w:rFonts w:ascii="Times New Roman" w:hAnsi="Times New Roman"/>
          <w:color w:val="000000"/>
          <w:sz w:val="20"/>
        </w:rPr>
        <w:t xml:space="preserve">Grants under the 2020 ESPP occur in June and December, as discussed in “Note 10 – </w:t>
      </w:r>
      <w:r>
        <w:rPr>
          <w:rFonts w:ascii="Times New Roman" w:hAnsi="Times New Roman"/>
          <w:i/>
          <w:color w:val="000000"/>
          <w:sz w:val="20"/>
        </w:rPr>
        <w:t>Stockholders’ Equity</w:t>
      </w:r>
      <w:r>
        <w:rPr>
          <w:rFonts w:ascii="Times New Roman" w:hAnsi="Times New Roman"/>
          <w:color w:val="000000"/>
          <w:sz w:val="20"/>
        </w:rPr>
        <w:t>”. There were no ESPP grants during the three months ended March 31, 2025 and 2024.</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NOTE 12 –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income tax provision and effective tax rate for interim periods are based on its estimated annual effective tax rate adjusted for discrete items during the period. For the three months ended March 31, 2025 and 2024, the Company recorded income tax expense of $2.1 million and $5.7 million, respectively. The effective tax rate varies from the 21% U.S. federal tax rate primarily due to stock-based compensation windfall and unrealized benefits associated with South Korea withholding tax refund claims. The decrease in income tax expense for the three months ended March 31, 2025, as compared to the same period in the prior year was primarily due to stock-based compensation windfall and unrealized benefits associated with South Korea withholding tax refund claims.</w:t>
      </w:r>
    </w:p>
    <w:p>
      <w:pPr>
        <w:pStyle w:val="TextBody"/>
        <w:bidi w:val="0"/>
        <w:spacing w:before="240" w:after="283"/>
        <w:jc w:val="left"/>
        <w:rPr>
          <w:rFonts w:ascii="Times New Roman" w:hAnsi="Times New Roman"/>
          <w:sz w:val="20"/>
        </w:rPr>
      </w:pPr>
      <w:r>
        <w:rPr>
          <w:rFonts w:ascii="Times New Roman" w:hAnsi="Times New Roman"/>
          <w:b/>
          <w:color w:val="000000"/>
          <w:sz w:val="20"/>
        </w:rPr>
        <w:t>NOTE 13 –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leases office and research facilities and office equipment under operating leases which expire through 2032. The Company’s leases have remaining lease terms of less than three years to eight years, some of which may include options to extend the leases for five years or longer, and some of which may include options to terminate the leases within the next five years or less. Leases with an initial term of 12 months or less are not recorded on the Consolidated Balance Sheets; expense for these leases is recognized on a straight-line basis over the lease term. Variable lease payments are expensed as incurred and are not included within the lease liability and right-of-use assets calculation. As a practical expedient, the Company elected, for all office and facility leases, not to separate non-lease components (e.g., common-area maintenance costs) from lease components (e.g., fixed payments including rent) and instead to account for each separate lease component and its associated non-lease components as a single lease component.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most of the leases do not provide an implicit rate, the Company generally, for purposes of discounting lease payments, uses its incremental borrowing rate based on the estimated rate of interest for collateralized borrowing over a similar term of the lease payments at commencement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components of operating lease costs were as follows (in thousands):</w:t>
      </w:r>
    </w:p>
    <w:tbl>
      <w:tblPr>
        <w:tblW w:w="4417" w:type="dxa"/>
        <w:jc w:val="left"/>
        <w:tblInd w:w="0" w:type="dxa"/>
        <w:tblLayout w:type="fixed"/>
        <w:tblCellMar>
          <w:top w:w="28" w:type="dxa"/>
          <w:left w:w="28" w:type="dxa"/>
          <w:bottom w:w="28" w:type="dxa"/>
          <w:right w:w="28" w:type="dxa"/>
        </w:tblCellMar>
      </w:tblPr>
      <w:tblGrid>
        <w:gridCol w:w="2206"/>
        <w:gridCol w:w="146"/>
        <w:gridCol w:w="254"/>
        <w:gridCol w:w="507"/>
        <w:gridCol w:w="176"/>
        <w:gridCol w:w="176"/>
        <w:gridCol w:w="254"/>
        <w:gridCol w:w="507"/>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Other information related to leases was as follows (in thousands, except lease term and discount rate):</w:t>
      </w:r>
    </w:p>
    <w:tbl>
      <w:tblPr>
        <w:tblW w:w="8272" w:type="dxa"/>
        <w:jc w:val="left"/>
        <w:tblInd w:w="0" w:type="dxa"/>
        <w:tblLayout w:type="fixed"/>
        <w:tblCellMar>
          <w:top w:w="28" w:type="dxa"/>
          <w:left w:w="28" w:type="dxa"/>
          <w:bottom w:w="28" w:type="dxa"/>
          <w:right w:w="28" w:type="dxa"/>
        </w:tblCellMar>
      </w:tblPr>
      <w:tblGrid>
        <w:gridCol w:w="6061"/>
        <w:gridCol w:w="146"/>
        <w:gridCol w:w="254"/>
        <w:gridCol w:w="507"/>
        <w:gridCol w:w="176"/>
        <w:gridCol w:w="176"/>
        <w:gridCol w:w="254"/>
        <w:gridCol w:w="507"/>
        <w:gridCol w:w="19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4216"/>
        <w:gridCol w:w="146"/>
        <w:gridCol w:w="343"/>
        <w:gridCol w:w="1097"/>
        <w:gridCol w:w="271"/>
        <w:gridCol w:w="146"/>
        <w:gridCol w:w="411"/>
        <w:gridCol w:w="1314"/>
        <w:gridCol w:w="31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Future minimum lease payments and related lease liabilities as of March 31, 2025 were as follows (in thousands):</w:t>
      </w:r>
    </w:p>
    <w:tbl>
      <w:tblPr>
        <w:tblW w:w="7738" w:type="dxa"/>
        <w:jc w:val="left"/>
        <w:tblInd w:w="0" w:type="dxa"/>
        <w:tblLayout w:type="fixed"/>
        <w:tblCellMar>
          <w:top w:w="28" w:type="dxa"/>
          <w:left w:w="28" w:type="dxa"/>
          <w:bottom w:w="28" w:type="dxa"/>
          <w:right w:w="28" w:type="dxa"/>
        </w:tblCellMar>
      </w:tblPr>
      <w:tblGrid>
        <w:gridCol w:w="4786"/>
        <w:gridCol w:w="146"/>
        <w:gridCol w:w="617"/>
        <w:gridCol w:w="1978"/>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Operating Lease Payments </w:t>
            </w:r>
            <w:r>
              <w:rPr>
                <w:rFonts w:ascii="Times New Roman" w:hAnsi="Times New Roman"/>
                <w:b/>
                <w:color w:val="000000"/>
                <w:sz w:val="13"/>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2025 (remaining 9 months)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2026 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obligations under leases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Future minimum lease payments exclude short-term leases as well as payments to landlords for variable common area maintenance, insurance and real estate taxes.</w:t>
      </w:r>
    </w:p>
    <w:p>
      <w:pPr>
        <w:pStyle w:val="TextBody"/>
        <w:bidi w:val="0"/>
        <w:spacing w:before="120" w:after="283"/>
        <w:jc w:val="left"/>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Includes tenant improvements allowance of $1.1 million in 2025 and $1.3 million in 2026.</w:t>
      </w:r>
    </w:p>
    <w:p>
      <w:pPr>
        <w:pStyle w:val="TextBody"/>
        <w:bidi w:val="0"/>
        <w:spacing w:before="240" w:after="283"/>
        <w:jc w:val="left"/>
        <w:rPr>
          <w:rFonts w:ascii="Times New Roman" w:hAnsi="Times New Roman"/>
          <w:sz w:val="20"/>
        </w:rPr>
      </w:pPr>
      <w:bookmarkStart w:id="10" w:name="note_13___commitments_and_contingencies"/>
      <w:bookmarkEnd w:id="10"/>
      <w:r>
        <w:rPr>
          <w:rFonts w:ascii="Times New Roman" w:hAnsi="Times New Roman"/>
          <w:b/>
          <w:color w:val="000000"/>
          <w:sz w:val="20"/>
        </w:rPr>
        <w:t>NOTE 14 – COMMITMENTS AND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Purchase and Other Contractual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enters into contractual agreements with third parties that include non-cancelable payment obligations, for which it is liable in future periods. These arrangements primarily include unconditional purchase obligations to service providers. As of March 31, 2025, the Company’s total future unconditional purchase obligations were approximately $4.9 million, including $2.4 million due in the remainder of 2025, $1.3 million due in 2026 and $1.2 million due thereafter.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Guarantee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Separation, Adeia Media LLC, a subsidiary of the Company (“Adeia Media”), and a subsidiary of Xperi Inc. (“Xperi Sub”) entered into an agreement (the “Specified Agreement”) with a third party pursuant to which Adeia Media guarantees the performance of Xperi Sub under the Specified Agreement, including its payment obligations to such third party. In connection with the Separation, Adeia Media and Xperi Sub entered into a separate cross business agreement (the “Cross Business Agreement”) effective as of October 1, 2022, under which Adeia Media agreed to make guarantee payments to Xperi Sub in amounts based on certain of its operating expenses and other minimum performance obligations under the Specified Agreement through 2031. Consequently, on October 1, 2022, the Company recognized a guarantee liability pursuant to ASC 460 “Guarantees” of $19.7 million, which represents the fair value of Adeia Media’s projected payments of such operating expenses during the term of the Cross Business Agreement. Subsequent changes to the carrying value of the guarantee are recognized as part of the Company’s results of operations. The maximum potential amount of future payments subject to the guarantee is approximately $7.5 million per annum between 2025 and 2031. As of March 31, 2025 and December 31, 2024, the balance of the guarantee liability was $17.1 million. </w:t>
      </w:r>
    </w:p>
    <w:p>
      <w:pPr>
        <w:pStyle w:val="TextBody"/>
        <w:bidi w:val="0"/>
        <w:spacing w:before="240" w:after="283"/>
        <w:jc w:val="left"/>
        <w:rPr>
          <w:rFonts w:ascii="Times New Roman" w:hAnsi="Times New Roman"/>
          <w:sz w:val="20"/>
        </w:rPr>
      </w:pPr>
      <w:r>
        <w:rPr>
          <w:rFonts w:ascii="Times New Roman" w:hAnsi="Times New Roman"/>
          <w:i/>
          <w:color w:val="000000"/>
          <w:sz w:val="20"/>
        </w:rPr>
        <w:t>Indemnifications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normal course of business, the Company provides indemnifications of varying scopes and amounts to certain of its licensees, customers, and business partners against claims made by third parties arising from the use of the Company’s intellectual property, services or technologies. The Company cannot reasonably estimate the possible range of losses that may be incurred pursuant to its indemnification obligations, if any. Variables affecting any such assessment include, but are not limited to: the nature of the claim asserted; the relative merits of the claim; the financial ability of the party suing the indemnified party to engage in protracted litigation; the number of parties seeking indemnification; the nature and amount of damages claimed by the party suing the indemnified party; and the willingness of such party to engage in settlement negotiations. To date, no such claims have been filed against the Company and no liability has been recorded in the Company’s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permitted under Delaware law, the Company has agreements whereby it indemnifies its officers and directors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believes, given the absence of any such payments in the Company’s history, and the estimated low probability of such payments in the future, that the estimated fair value of these indemnification agreements is immaterial. In addition, the Company has directors’ and officers’ liability insurance coverage that is intended to reduce its financial exposure and may enable the Company to recover any payments under the indemnification agreements, should they occur.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Contingencies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each reporting period, the Company evaluates whether or not a potential loss amount or a potential range of losses is probable and reasonably estimable under the provisions of the authoritative guidance that addresses accounting for contingencies.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Litigation related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and its subsidiaries are involved in litigation matters and claims in the normal course of business. In the past, the Company and its subsidiaries have litigated to enforce their respective patents and other intellectual property rights, to enforce the terms of license agreements, to protect trade secrets, and to defend the Company’s patents against claims of invalidity. The Company expects it or its subsidiaries will be involved in similar legal proceedings in the future, including proceedings regarding infringement of its patents, and proceedings to ensure proper and full payment of royalties by licensees under the terms of its license agreements. </w:t>
      </w:r>
    </w:p>
    <w:p>
      <w:pPr>
        <w:pStyle w:val="TextBody"/>
        <w:bidi w:val="0"/>
        <w:spacing w:before="240" w:after="283"/>
        <w:jc w:val="left"/>
        <w:rPr>
          <w:rFonts w:ascii="Times New Roman" w:hAnsi="Times New Roman"/>
          <w:b/>
          <w:color w:val="000000"/>
          <w:sz w:val="20"/>
        </w:rPr>
      </w:pPr>
      <w:bookmarkStart w:id="11" w:name="note_14___segment_and_geographic_informa"/>
      <w:bookmarkEnd w:id="11"/>
      <w:r>
        <w:rPr>
          <w:rFonts w:ascii="Times New Roman" w:hAnsi="Times New Roman"/>
          <w:b/>
          <w:color w:val="000000"/>
          <w:sz w:val="20"/>
        </w:rPr>
        <w:t>NOTE 15 – SEGMENT INFORMATION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has one reportable segment: IP Licensing. The IP Licensing segment derives revenues from license agreements to (i) its media patent portfolio and (ii) its semiconductor technologies patent portfolio, see further discussion on revenue generating activities in Note 3 – </w:t>
      </w:r>
      <w:r>
        <w:rPr>
          <w:rFonts w:ascii="Times New Roman" w:hAnsi="Times New Roman"/>
          <w:i/>
          <w:color w:val="000000"/>
          <w:sz w:val="20"/>
        </w:rPr>
        <w:t xml:space="preserve">Revenue </w:t>
      </w:r>
      <w:r>
        <w:rPr>
          <w:rFonts w:ascii="Times New Roman" w:hAnsi="Times New Roman"/>
          <w:color w:val="000000"/>
          <w:sz w:val="20"/>
        </w:rPr>
        <w:t>. The Company derives revenue primarily in North America and manages the business activities on a consolidated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accounting policies of the IP Licensing segment are the same as those described in Note 2 – </w:t>
      </w:r>
      <w:r>
        <w:rPr>
          <w:rFonts w:ascii="Times New Roman" w:hAnsi="Times New Roman"/>
          <w:i/>
          <w:color w:val="000000"/>
          <w:sz w:val="20"/>
        </w:rPr>
        <w:t>Summary of Significant Accounting Policies</w:t>
      </w:r>
      <w:r>
        <w:rPr>
          <w:rFonts w:ascii="Times New Roman" w:hAnsi="Times New Roman"/>
          <w:color w:val="000000"/>
          <w:sz w:val="20"/>
        </w:rPr>
        <w:t>. The Company’s Chief Executive Officer is also the chief operating decision maker (“CODM”) as defined by the authoritative guidance on segment reporting. The CODM assesses financial performance for the IP Licensing segment and decides how to allocate resources based on net income that also is reported on the statements of income as consolidated net income. Net income is also used by the CODM to monitor budget versus actual results of the IP Licensing segment. The measure of segment assets is reported on the balance sheet as total consolidated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CODM uses net income to evaluate income generated from segment assets (return on assets) in deciding whether to reinvest profits into the IP Licensing segment or into other parts of the entity, such as for acquisitions or to return value to stockholders.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information with respect to the Company’s IP Licensing segment revenue, significant expenses and income:</w:t>
      </w:r>
    </w:p>
    <w:tbl>
      <w:tblPr>
        <w:tblW w:w="6829" w:type="dxa"/>
        <w:jc w:val="left"/>
        <w:tblInd w:w="0" w:type="dxa"/>
        <w:tblLayout w:type="fixed"/>
        <w:tblCellMar>
          <w:top w:w="28" w:type="dxa"/>
          <w:left w:w="28" w:type="dxa"/>
          <w:bottom w:w="28" w:type="dxa"/>
          <w:right w:w="28" w:type="dxa"/>
        </w:tblCellMar>
      </w:tblPr>
      <w:tblGrid>
        <w:gridCol w:w="4126"/>
        <w:gridCol w:w="146"/>
        <w:gridCol w:w="211"/>
        <w:gridCol w:w="676"/>
        <w:gridCol w:w="146"/>
        <w:gridCol w:w="146"/>
        <w:gridCol w:w="211"/>
        <w:gridCol w:w="676"/>
        <w:gridCol w:w="4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83,405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Personnel related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Patent portfolio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Patent related technical sales support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Outside services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Other segment items include facilities and other related expenses, marketing and advertising expenses, depreciation expense, travel and entertainment expenses, other income and expense, and other overhead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by Geography and Customer Concentration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Company’s revenue is primarily derived in North America, a portion of the Company’s revenue is derived from licensees headquartered outside of the U.S., and it is expected that this revenue will continue to account for a portion of total revenue in future periods. Revenue is attributed to geographic locations based on the billing address of each customer. The table below lists the revenue by geography for the periods indicated (in thousands):</w:t>
      </w:r>
    </w:p>
    <w:p>
      <w:pPr>
        <w:pStyle w:val="TextBody"/>
        <w:bidi w:val="0"/>
        <w:jc w:val="left"/>
        <w:rPr/>
      </w:pPr>
      <w:r>
        <w:rPr/>
        <w:t> </w:t>
      </w:r>
    </w:p>
    <w:tbl>
      <w:tblPr>
        <w:tblW w:w="6457" w:type="dxa"/>
        <w:jc w:val="left"/>
        <w:tblInd w:w="0" w:type="dxa"/>
        <w:tblLayout w:type="fixed"/>
        <w:tblCellMar>
          <w:top w:w="28" w:type="dxa"/>
          <w:left w:w="28" w:type="dxa"/>
          <w:bottom w:w="28" w:type="dxa"/>
          <w:right w:w="28" w:type="dxa"/>
        </w:tblCellMar>
      </w:tblPr>
      <w:tblGrid>
        <w:gridCol w:w="2086"/>
        <w:gridCol w:w="146"/>
        <w:gridCol w:w="211"/>
        <w:gridCol w:w="676"/>
        <w:gridCol w:w="146"/>
        <w:gridCol w:w="146"/>
        <w:gridCol w:w="146"/>
        <w:gridCol w:w="421"/>
        <w:gridCol w:w="271"/>
        <w:gridCol w:w="146"/>
        <w:gridCol w:w="211"/>
        <w:gridCol w:w="676"/>
        <w:gridCol w:w="146"/>
        <w:gridCol w:w="146"/>
        <w:gridCol w:w="146"/>
        <w:gridCol w:w="421"/>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and Middle 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For the three months ended March 31, 2025 and 2024, there were two and three customers, respectively, that each accounted for 10% or more of total revenue. The following table sets forth revenue generated from customers which comprise 10% or more of total revenue for the periods indicated: </w:t>
      </w:r>
    </w:p>
    <w:tbl>
      <w:tblPr>
        <w:tblW w:w="3414" w:type="dxa"/>
        <w:jc w:val="left"/>
        <w:tblInd w:w="0" w:type="dxa"/>
        <w:tblLayout w:type="fixed"/>
        <w:tblCellMar>
          <w:top w:w="28" w:type="dxa"/>
          <w:left w:w="28" w:type="dxa"/>
          <w:bottom w:w="28" w:type="dxa"/>
          <w:right w:w="28" w:type="dxa"/>
        </w:tblCellMar>
      </w:tblPr>
      <w:tblGrid>
        <w:gridCol w:w="1081"/>
        <w:gridCol w:w="146"/>
        <w:gridCol w:w="166"/>
        <w:gridCol w:w="532"/>
        <w:gridCol w:w="309"/>
        <w:gridCol w:w="166"/>
        <w:gridCol w:w="166"/>
        <w:gridCol w:w="532"/>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denotes less than 10% of total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March 31, 2025, the Company had one customer representing 63% of aggregate accounts receivable. At December 31, 2024, the Company had two customers representing 52% and 11% of aggregate accounts receivable, respectively. </w:t>
      </w:r>
    </w:p>
    <w:p>
      <w:pPr>
        <w:pStyle w:val="TextBody"/>
        <w:bidi w:val="0"/>
        <w:spacing w:before="240" w:after="283"/>
        <w:jc w:val="left"/>
        <w:rPr>
          <w:rFonts w:ascii="Times New Roman" w:hAnsi="Times New Roman"/>
          <w:sz w:val="20"/>
        </w:rPr>
      </w:pPr>
      <w:r>
        <w:rPr>
          <w:rFonts w:ascii="Times New Roman" w:hAnsi="Times New Roman"/>
          <w:i/>
          <w:color w:val="000000"/>
          <w:sz w:val="20"/>
        </w:rPr>
        <w:t>Other Geography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March 31, 2025 and December 31, 2024, property and equipment, net, was all located in the U.S.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16 – SUBSEQUENT EVENTS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Declaration of Cash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 2025, the Board declared a cash dividend of $0.05 per share of common stock, payable on June 17, 2025 to the stockholders of record at the close of business on May 27,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2" w:name="item_2_managements_discussion_analysis_f"/>
      <w:bookmarkEnd w:id="12"/>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The following discussion is intended to promote understanding of the results of operations and financial condition and should be read in conjunction with our condensed consolidated financial statements and notes thereto, and with our audited financial statements and notes thereto for the year ended December 31, 2024 found in the Form 10-K filed by us on February 19, 2024 (the “Form 10-K”). This section of this Form 10-Q generally discusses quarter over quarter comparisons of 2025 against 2024.</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This quarterly report on Form 10-Q (this “Quarterly Report”) contains “forward-looking statements” within the meaning of the federal securities laws, including Section 27A of the Securities Act of 1933, as amended, and Section 21E of the Securities Exchange Act of 1934, as amended. These forward-looking statements are based on information available to the Company as of the date hereof, as well as the Company’s current expectations, assumptions, estimates and projections that involve risks and uncertainties.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the Company’s control, and are not guarantees of future results. 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Company’s ability to implement its business strategy; the Company’s ability to enter into new and renewal license agreements with customers on favorable terms; the Company’s ability to retain and hire key personnel; uncertainty as to the long-term value of the Company’s common stock; legislative, regulatory and economic developments affecting the Company’s business; general economic and market developments and conditions; the Company’s ability to grow and expand its patent portfolios; changes in technology and development of new technology in the industries in which the Company operates; the evolving legal, regulatory and tax regimes under which the Company operates; unforeseen liabilities and expenses; risks associated with the Company’s indebtedness; unpredictability and severity of catastrophic events, including, but not limited to, acts of terrorism or outbreak of war or hostilities, natural disasters and global health pandemics, each of which may have an adverse impact on the Company’s business, results of operations, and financial condition.</w:t>
      </w:r>
    </w:p>
    <w:p>
      <w:pPr>
        <w:pStyle w:val="TextBody"/>
        <w:bidi w:val="0"/>
        <w:spacing w:before="240" w:after="283"/>
        <w:jc w:val="left"/>
        <w:rPr>
          <w:rFonts w:ascii="Times New Roman" w:hAnsi="Times New Roman"/>
          <w:sz w:val="20"/>
        </w:rPr>
      </w:pPr>
      <w:r>
        <w:rPr>
          <w:rFonts w:ascii="Times New Roman" w:hAnsi="Times New Roman"/>
          <w:i/>
          <w:color w:val="000000"/>
          <w:sz w:val="20"/>
        </w:rPr>
        <w:t>Although forward-looking statements in this Quarterly Report reflect the good faith judgment of our management, such statements can only be based on facts and factors currently known by us. Consequently, forward-looking statements are inherently subject to risks, uncertainties, and changes in condition, significance, value and effect, including those discussed under the heading “Risk Factors” hereof and other documents we file from time to time with the Securities and Exchange Commission (the “SEC”), such as our annual reports on Form 10-K, our quarterly reports on Form 10-Q and our current reports on Form 8-K. Such risks, uncertainties and changes in condition, significance, value and effect could cause our actual results to differ materially from those expressed herein and in ways not readily foreseeable. Readers are urged not to place undue reliance on these forward-looking statements, which speak only as of the date of this Quarterly Report and are based on information currently and reasonably known to us. We undertake no obligation to revise or update any forward-looking statements in order to reflect any event or circumstance that may arise after the date of this Quarterly Report, other than as required by law. Readers are urged to carefully review and consider the various disclosures made in this Quarterly Report, which attempt to advise interested parties of the risks and factors that may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Adeia Inc. (“Adeia”, “we”) is a leading IP licensing platform in the consumer and entertainment space, with a diverse portfolio of media and semiconductor intellectual property and more than 12,750 patents and patent applications worldwide. In order to serve an increasingly connected world, we invent, develop, and license fundamental innovations that enhance billions of devices and shape the way millions of people explore and experience entertainment. Our inventions are key enabling technologies that drive how consumers interact with entertainment and devices at home and on the go around the world. Our foundational technologies help elevate content and improve how audiences connect with it in a way that is more intelligent, immersive and personal. Our innovative solutions help power smart devices, entertainment experiences and more, and have created a unified ecosystem that reaches highly-engaged consumers and uncovered new business opportunities.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Headquartered in Silicon Valley with more than 35 years of operating experience, we have approximately 150 employees, with substantially all of our employees located in the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Macroeconomic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Macroeconomic conditions due to inflation, geopolitical instability and global health events had in the past, and may in the future have, an adverse impact on our business. For example, such conditions may cause volatility in the markets we serve, particularly the broad consumer electronics market. Impacts from adverse macroeconomic conditions may negatively impact our financial condition and results of operations, which could result in an impairment of our long-lived assets, including goodwill, and increased credit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a significant portion of our revenue is derived from fixed-fee and minimum-guarantee arrangements from large, well-capitalized customers, our per-unit and variable-fee based revenue will continue to be susceptible to direct or indirect effects from macroeconomic events, such as armed conflict, geopolitical factors, tariffs, market volatility, labor shortages, supply chain disruptions, microchip shortages, changes in demand for semiconductors, market and industry downturns, global health concerns, outbreaks and pandemics. In addition, to the extent that our customers experience significant, adverse impacts from such macroeconomic events, such events may affect their financial health and our ability to continue receiving revenues from these customers.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Reportable Segments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and report in one segment: IP Licensing. We believe that this structure reflects our current operational and financial management and provides the best structure for us to focus on growth opportunities. Our Chief Executive Officer has been determined to be the Chief Operating Decision Maker (“CODM”) in consideration with the authoritative guidance on 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primarily license our innovations to leading companies in the broader media entertainment and semiconductor industries, and those companies developing new technologies that will help drive these industries forward. Licensing arrangements include access to one or more of our foundational patent portfolios and may also include access to some portions of our industry-leading technologies and know-how.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Metrics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evaluating our financial condition and operating performance, we primarily focus on revenue and cash flows from operations. For the three months ended March 31, 2025, as compared to the same period in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increased by $4.3 million, or 5.1%, from $83.4 million in 2024 to $87.7 million in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Recurring revenues increased by $1.6 million, or 2.0% from $82.8 million in 2024 to $84.4 million in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Non-recurring revenues increased by $2.7 million, or 418.4% from $0.6 million in 2024 to $3.3 million in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operating activities decreased by $10.1 million, or 15.0% from $67.2 million in 2024 to $57.1 million in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completed another repricing of our term loan in January 2025, further reducing our interest rate by 50 basis 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made $17.1 million in principal payments towards our term loan, bringing the outstanding balance to $470.0 million as of March 31,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repurchased $10.0 million of our common stock in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derive the majority of our revenue from the licensing of our IP rights to customers. For our revenue recognition policy, including descriptions of revenue-generating activities, refer to “Note 3 – </w:t>
      </w:r>
      <w:r>
        <w:rPr>
          <w:rFonts w:ascii="Times New Roman" w:hAnsi="Times New Roman"/>
          <w:i/>
          <w:color w:val="000000"/>
          <w:sz w:val="20"/>
        </w:rPr>
        <w:t>Revenue</w:t>
      </w:r>
      <w:r>
        <w:rPr>
          <w:rFonts w:ascii="Times New Roman" w:hAnsi="Times New Roman"/>
          <w:color w:val="000000"/>
          <w:sz w:val="20"/>
        </w:rPr>
        <w:t>” of the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our operating results for the periods indicated as a percentage of revenue:</w:t>
      </w:r>
    </w:p>
    <w:tbl>
      <w:tblPr>
        <w:tblW w:w="5766" w:type="dxa"/>
        <w:jc w:val="left"/>
        <w:tblInd w:w="0" w:type="dxa"/>
        <w:tblLayout w:type="fixed"/>
        <w:tblCellMar>
          <w:top w:w="28" w:type="dxa"/>
          <w:left w:w="28" w:type="dxa"/>
          <w:bottom w:w="28" w:type="dxa"/>
          <w:right w:w="28" w:type="dxa"/>
        </w:tblCellMar>
      </w:tblPr>
      <w:tblGrid>
        <w:gridCol w:w="3156"/>
        <w:gridCol w:w="146"/>
        <w:gridCol w:w="176"/>
        <w:gridCol w:w="509"/>
        <w:gridCol w:w="327"/>
        <w:gridCol w:w="176"/>
        <w:gridCol w:w="176"/>
        <w:gridCol w:w="509"/>
        <w:gridCol w:w="5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and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sets forth our revenue for the three months ended March 31, 2025 and 2024 (in thousands, except for percentages):</w:t>
      </w:r>
    </w:p>
    <w:tbl>
      <w:tblPr>
        <w:tblW w:w="5770" w:type="dxa"/>
        <w:jc w:val="left"/>
        <w:tblInd w:w="0" w:type="dxa"/>
        <w:tblLayout w:type="fixed"/>
        <w:tblCellMar>
          <w:top w:w="28" w:type="dxa"/>
          <w:left w:w="28" w:type="dxa"/>
          <w:bottom w:w="28" w:type="dxa"/>
          <w:right w:w="28" w:type="dxa"/>
        </w:tblCellMar>
      </w:tblPr>
      <w:tblGrid>
        <w:gridCol w:w="841"/>
        <w:gridCol w:w="146"/>
        <w:gridCol w:w="211"/>
        <w:gridCol w:w="676"/>
        <w:gridCol w:w="146"/>
        <w:gridCol w:w="146"/>
        <w:gridCol w:w="211"/>
        <w:gridCol w:w="676"/>
        <w:gridCol w:w="146"/>
        <w:gridCol w:w="146"/>
        <w:gridCol w:w="222"/>
        <w:gridCol w:w="604"/>
        <w:gridCol w:w="146"/>
        <w:gridCol w:w="146"/>
        <w:gridCol w:w="405"/>
        <w:gridCol w:w="586"/>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in revenue during the three months ended March 31, 2025, as compared to the same period in 2024, was primarily attributable to the execution of a multi-year license agreement with Amazon for access to our media portfolio that occurred in the fourth quarter of 2024, and the execution of two multi-year license agreements with new customers for access to our media portfolio executed in the first quarter of 2025, for which a portion of revenue was recognized up-front in such quarter. Increases were partially offset by declines in royalty revenue from certain Pay-TV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Recurring revenue for the three months ended March 31, 2025 and 2024 were $84.4 million and $82.8 million, respectively. The increase of $1.6 million was driven primarily by the execution of license agreements with new customers in 2024, partially offset by declines in royalty revenue from certain Pay-TV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Non-recurring revenues for the three months ended March 31, 2025 and 2024 were $3.3 million and $0.6 million, respectively. The increase of $2.7 million was primarily attributable to the execution of two multi-year license agreements with new customers for access to our media portfolio in the first quarter of 2025.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(in thousands, except for percentages):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Research and development expense (“R&amp;D expense”) consists primarily of personnel costs, stock-based compensation, outside engineering consulting expenses associated with new IP development, as well as costs related to patent applications and examinations, reverse engineering, materials, supplies and an allocation of facilities costs. All R&amp;D expense is expensed as incurred. We intend to make a continued investment in our R&amp;D efforts because we believe they are essential to grow our patent portfolios to maintain and improve our competitiveness.</w:t>
      </w:r>
    </w:p>
    <w:tbl>
      <w:tblPr>
        <w:tblW w:w="7240"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22"/>
        <w:gridCol w:w="604"/>
        <w:gridCol w:w="146"/>
        <w:gridCol w:w="146"/>
        <w:gridCol w:w="313"/>
        <w:gridCol w:w="678"/>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R&amp;D expense during the three months ended March 31, 2025, as compared to the same period in 2024, was primarily due to an increase in patent portfolio expenses, patent technical sales support expenses, and an increase in personnel related costs as a result of increased headcount.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 (in thousands, except for percentages):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Selling, general and administrative (“SG&amp;A”) expenses consist primarily of personnel costs, sales commission, advertising, branding activities, stock-based compensation, professional services, facilities costs, and expenses related to our executive finance, human resource, legal, and information technology organizations. </w:t>
      </w:r>
    </w:p>
    <w:tbl>
      <w:tblPr>
        <w:tblW w:w="7885"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11"/>
        <w:gridCol w:w="676"/>
        <w:gridCol w:w="146"/>
        <w:gridCol w:w="146"/>
        <w:gridCol w:w="222"/>
        <w:gridCol w:w="604"/>
        <w:gridCol w:w="146"/>
        <w:gridCol w:w="146"/>
        <w:gridCol w:w="313"/>
        <w:gridCol w:w="678"/>
        <w:gridCol w:w="31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in SG&amp;A expense during the three months ended March 31, 2025, as compared to the same period in 2024, was primarily due to an increase in personnel related costs as a result of increased headcount and an increase in certain administrative costs associated with the repricing of our credit facility, partially offset by lower advertising expense and outside services.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Amortization Expense (in thousands, except for percentages):</w:t>
      </w:r>
    </w:p>
    <w:p>
      <w:pPr>
        <w:pStyle w:val="TextBody"/>
        <w:bidi w:val="0"/>
        <w:jc w:val="left"/>
        <w:rPr/>
      </w:pPr>
      <w:r>
        <w:rPr/>
        <w:t> </w:t>
      </w:r>
    </w:p>
    <w:tbl>
      <w:tblPr>
        <w:tblW w:w="6960" w:type="dxa"/>
        <w:jc w:val="left"/>
        <w:tblInd w:w="0" w:type="dxa"/>
        <w:tblLayout w:type="fixed"/>
        <w:tblCellMar>
          <w:top w:w="28" w:type="dxa"/>
          <w:left w:w="28" w:type="dxa"/>
          <w:bottom w:w="28" w:type="dxa"/>
          <w:right w:w="28" w:type="dxa"/>
        </w:tblCellMar>
      </w:tblPr>
      <w:tblGrid>
        <w:gridCol w:w="1906"/>
        <w:gridCol w:w="146"/>
        <w:gridCol w:w="211"/>
        <w:gridCol w:w="676"/>
        <w:gridCol w:w="146"/>
        <w:gridCol w:w="146"/>
        <w:gridCol w:w="211"/>
        <w:gridCol w:w="676"/>
        <w:gridCol w:w="146"/>
        <w:gridCol w:w="146"/>
        <w:gridCol w:w="218"/>
        <w:gridCol w:w="653"/>
        <w:gridCol w:w="166"/>
        <w:gridCol w:w="146"/>
        <w:gridCol w:w="277"/>
        <w:gridCol w:w="714"/>
        <w:gridCol w:w="376"/>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decrease in amortization expense during the three months ended March 31, 2025, as compared to the same period in 2024, was primarily due to certain intangible assets becoming fully amortized during 2024. The decrease was partially offset by an increase in amortization expense as a result of patents acquired in 2024.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Litigation Expense (in thousands, except for percentages):</w:t>
      </w:r>
    </w:p>
    <w:p>
      <w:pPr>
        <w:pStyle w:val="TextBody"/>
        <w:bidi w:val="0"/>
        <w:jc w:val="left"/>
        <w:rPr/>
      </w:pPr>
      <w:r>
        <w:rPr/>
        <w:t> </w:t>
      </w:r>
    </w:p>
    <w:tbl>
      <w:tblPr>
        <w:tblW w:w="6370" w:type="dxa"/>
        <w:jc w:val="left"/>
        <w:tblInd w:w="0" w:type="dxa"/>
        <w:tblLayout w:type="fixed"/>
        <w:tblCellMar>
          <w:top w:w="28" w:type="dxa"/>
          <w:left w:w="28" w:type="dxa"/>
          <w:bottom w:w="28" w:type="dxa"/>
          <w:right w:w="28" w:type="dxa"/>
        </w:tblCellMar>
      </w:tblPr>
      <w:tblGrid>
        <w:gridCol w:w="1651"/>
        <w:gridCol w:w="146"/>
        <w:gridCol w:w="211"/>
        <w:gridCol w:w="571"/>
        <w:gridCol w:w="146"/>
        <w:gridCol w:w="146"/>
        <w:gridCol w:w="211"/>
        <w:gridCol w:w="571"/>
        <w:gridCol w:w="146"/>
        <w:gridCol w:w="146"/>
        <w:gridCol w:w="222"/>
        <w:gridCol w:w="604"/>
        <w:gridCol w:w="146"/>
        <w:gridCol w:w="146"/>
        <w:gridCol w:w="255"/>
        <w:gridCol w:w="736"/>
        <w:gridCol w:w="31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increase in litigation expense during the three months ended March 31, 2025, as compared to the same period in 2024, was primarily due to increased activity in current litigation matters. See Part II, Item 1 – </w:t>
      </w:r>
      <w:r>
        <w:rPr>
          <w:rFonts w:ascii="Times New Roman" w:hAnsi="Times New Roman"/>
          <w:i/>
          <w:color w:val="000000"/>
          <w:sz w:val="20"/>
        </w:rPr>
        <w:t xml:space="preserve">Legal Proceedings </w:t>
      </w:r>
      <w:r>
        <w:rPr>
          <w:rFonts w:ascii="Times New Roman" w:hAnsi="Times New Roman"/>
          <w:color w:val="000000"/>
          <w:sz w:val="20"/>
        </w:rPr>
        <w:t>for additional information regarding these matters.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expect that litigation expense will continue to be a significant portion of our operating expenses, as it is used to enforce and protect our IP and contract rights. Litigation expense may fluctuate between periods because of planned or ongoing litigation, as described in Part II, Item 1 – </w:t>
      </w:r>
      <w:r>
        <w:rPr>
          <w:rFonts w:ascii="Times New Roman" w:hAnsi="Times New Roman"/>
          <w:i/>
          <w:color w:val="000000"/>
          <w:sz w:val="20"/>
        </w:rPr>
        <w:t>Legal Proceedings</w:t>
      </w:r>
      <w:r>
        <w:rPr>
          <w:rFonts w:ascii="Times New Roman" w:hAnsi="Times New Roman"/>
          <w:color w:val="000000"/>
          <w:sz w:val="20"/>
        </w:rPr>
        <w: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 (in thousands, except for percentages):</w:t>
      </w:r>
    </w:p>
    <w:p>
      <w:pPr>
        <w:pStyle w:val="TextBody"/>
        <w:bidi w:val="0"/>
        <w:jc w:val="left"/>
        <w:rPr/>
      </w:pPr>
      <w:r>
        <w:rPr/>
        <w:t> </w:t>
      </w:r>
    </w:p>
    <w:tbl>
      <w:tblPr>
        <w:tblW w:w="6480" w:type="dxa"/>
        <w:jc w:val="left"/>
        <w:tblInd w:w="0" w:type="dxa"/>
        <w:tblLayout w:type="fixed"/>
        <w:tblCellMar>
          <w:top w:w="28" w:type="dxa"/>
          <w:left w:w="28" w:type="dxa"/>
          <w:bottom w:w="28" w:type="dxa"/>
          <w:right w:w="28" w:type="dxa"/>
        </w:tblCellMar>
      </w:tblPr>
      <w:tblGrid>
        <w:gridCol w:w="1426"/>
        <w:gridCol w:w="146"/>
        <w:gridCol w:w="211"/>
        <w:gridCol w:w="676"/>
        <w:gridCol w:w="146"/>
        <w:gridCol w:w="146"/>
        <w:gridCol w:w="211"/>
        <w:gridCol w:w="676"/>
        <w:gridCol w:w="146"/>
        <w:gridCol w:w="146"/>
        <w:gridCol w:w="218"/>
        <w:gridCol w:w="653"/>
        <w:gridCol w:w="166"/>
        <w:gridCol w:w="146"/>
        <w:gridCol w:w="277"/>
        <w:gridCol w:w="714"/>
        <w:gridCol w:w="37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interest expense during the three months ended March 31, 2025, as compared to the same period in 2024, was primarily due to lower debt balance, the reduction of the interest rate margin resulting from the repricing of our Term Loan B during the second quarter of 2024 and the first quarter of 2025, and the Federal Reserve interest rate cut during the third quarter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interest expense will continue to decrease in 2025, when compared to 2024, as a result of a lower debt balance and the reduction of the interest rate margin resulting from two rounds of repricing of our term loan.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and Expense, Net (in thousands, except for percentages):</w:t>
      </w:r>
    </w:p>
    <w:p>
      <w:pPr>
        <w:pStyle w:val="TextBody"/>
        <w:bidi w:val="0"/>
        <w:jc w:val="left"/>
        <w:rPr/>
      </w:pPr>
      <w:r>
        <w:rPr/>
        <w:t> </w:t>
      </w:r>
    </w:p>
    <w:tbl>
      <w:tblPr>
        <w:tblW w:w="7330" w:type="dxa"/>
        <w:jc w:val="left"/>
        <w:tblInd w:w="0" w:type="dxa"/>
        <w:tblLayout w:type="fixed"/>
        <w:tblCellMar>
          <w:top w:w="28" w:type="dxa"/>
          <w:left w:w="28" w:type="dxa"/>
          <w:bottom w:w="28" w:type="dxa"/>
          <w:right w:w="28" w:type="dxa"/>
        </w:tblCellMar>
      </w:tblPr>
      <w:tblGrid>
        <w:gridCol w:w="2611"/>
        <w:gridCol w:w="146"/>
        <w:gridCol w:w="211"/>
        <w:gridCol w:w="571"/>
        <w:gridCol w:w="146"/>
        <w:gridCol w:w="146"/>
        <w:gridCol w:w="211"/>
        <w:gridCol w:w="571"/>
        <w:gridCol w:w="146"/>
        <w:gridCol w:w="146"/>
        <w:gridCol w:w="275"/>
        <w:gridCol w:w="551"/>
        <w:gridCol w:w="146"/>
        <w:gridCol w:w="146"/>
        <w:gridCol w:w="313"/>
        <w:gridCol w:w="678"/>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and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other income and expense, net during the three months ended March 31, 2025, as compared to the same period in 2024, was primarily due to an increase in interest income from significant financing components from certain revenue contracts.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Provision for Income Taxes</w:t>
      </w:r>
    </w:p>
    <w:p>
      <w:pPr>
        <w:pStyle w:val="TextBody"/>
        <w:bidi w:val="0"/>
        <w:jc w:val="left"/>
        <w:rPr/>
      </w:pPr>
      <w:r>
        <w:rPr/>
        <w:t> </w:t>
      </w:r>
    </w:p>
    <w:tbl>
      <w:tblPr>
        <w:tblW w:w="7125" w:type="dxa"/>
        <w:jc w:val="left"/>
        <w:tblInd w:w="0" w:type="dxa"/>
        <w:tblLayout w:type="fixed"/>
        <w:tblCellMar>
          <w:top w:w="28" w:type="dxa"/>
          <w:left w:w="28" w:type="dxa"/>
          <w:bottom w:w="28" w:type="dxa"/>
          <w:right w:w="28" w:type="dxa"/>
        </w:tblCellMar>
      </w:tblPr>
      <w:tblGrid>
        <w:gridCol w:w="2281"/>
        <w:gridCol w:w="146"/>
        <w:gridCol w:w="211"/>
        <w:gridCol w:w="571"/>
        <w:gridCol w:w="146"/>
        <w:gridCol w:w="146"/>
        <w:gridCol w:w="211"/>
        <w:gridCol w:w="571"/>
        <w:gridCol w:w="146"/>
        <w:gridCol w:w="146"/>
        <w:gridCol w:w="218"/>
        <w:gridCol w:w="653"/>
        <w:gridCol w:w="166"/>
        <w:gridCol w:w="146"/>
        <w:gridCol w:w="277"/>
        <w:gridCol w:w="714"/>
        <w:gridCol w:w="37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income tax provision for interim periods is based on the estimated annual effective tax rate adjusted for discrete items during the period. For the three months ended March 31, 2025, we recorded income tax expense of $2.1 million on pretax income of $13.9 million, which resulted in an effective tax rate of 15.0%. The effective tax rate varies from the 21% U.S. federal tax rate primarily due to stock-based compensation windfall and unrealized benefits associated with South Korea withholding tax refund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2024, we recorded income tax expense of $5.7 million on pretax income of $6.6 million, which resulted in an effective tax rate of 86.4%.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decrease in income tax expense for the three months ended March 31, 2025, as compared to the same period in the prior year was primarily due to stock-based compensation windfall and unrealized benefits associated with South Korea withholding tax refund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periodically evaluate the realizability of our net deferred tax assets based on all available evidence, both positive and negative. After considering the evidence to assess the recoverability of our net deferred tax assets, we concluded that it was more-likely-than-not that we would realize our federal and certain state deferred tax assets.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selected financial information related to our liquidity and significant sources and uses of cash and cash equivalents for the three months ended March 31, 2025 and 2024.</w:t>
      </w:r>
    </w:p>
    <w:p>
      <w:pPr>
        <w:pStyle w:val="TextBody"/>
        <w:bidi w:val="0"/>
        <w:jc w:val="left"/>
        <w:rPr/>
      </w:pPr>
      <w:r>
        <w:rPr/>
        <w:t> </w:t>
      </w:r>
    </w:p>
    <w:tbl>
      <w:tblPr>
        <w:tblW w:w="8295" w:type="dxa"/>
        <w:jc w:val="left"/>
        <w:tblInd w:w="0" w:type="dxa"/>
        <w:tblLayout w:type="fixed"/>
        <w:tblCellMar>
          <w:top w:w="28" w:type="dxa"/>
          <w:left w:w="28" w:type="dxa"/>
          <w:bottom w:w="28" w:type="dxa"/>
          <w:right w:w="28" w:type="dxa"/>
        </w:tblCellMar>
      </w:tblPr>
      <w:tblGrid>
        <w:gridCol w:w="4501"/>
        <w:gridCol w:w="146"/>
        <w:gridCol w:w="306"/>
        <w:gridCol w:w="1134"/>
        <w:gridCol w:w="146"/>
        <w:gridCol w:w="146"/>
        <w:gridCol w:w="367"/>
        <w:gridCol w:w="1358"/>
        <w:gridCol w:w="1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11" w:type="dxa"/>
        <w:jc w:val="left"/>
        <w:tblInd w:w="0" w:type="dxa"/>
        <w:tblLayout w:type="fixed"/>
        <w:tblCellMar>
          <w:top w:w="28" w:type="dxa"/>
          <w:left w:w="28" w:type="dxa"/>
          <w:bottom w:w="28" w:type="dxa"/>
          <w:right w:w="28" w:type="dxa"/>
        </w:tblCellMar>
      </w:tblPr>
      <w:tblGrid>
        <w:gridCol w:w="3466"/>
        <w:gridCol w:w="146"/>
        <w:gridCol w:w="266"/>
        <w:gridCol w:w="931"/>
        <w:gridCol w:w="210"/>
        <w:gridCol w:w="184"/>
        <w:gridCol w:w="266"/>
        <w:gridCol w:w="93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57,139</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(45,608</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primary sources of liquidity and capital resources are our operating cash flows and our short-term investments in marketable securities. Cash, cash equivalents and marketable securities were $116.5 million at March 31, 2025, an increase of $6.1 million from $110.4 million at December 31, 2024. This increase primarily resulted from $57.1 million of cash generated from operations, partially offset by $17.1 million in repayment of our long-term debt, $12.0 million in repurchases of common stock associated with tax withholdings on equity awards, $11.3 million in repurchases of common stock, $5.4 million in dividends paid, and $5.4 million in purchases of intangible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primary objectives of our investment activities are to preserve principal and to maintain liquidity, while at the same time capturing a market rate of return. To achieve these objectives, we maintain a diversified portfolio of securities including money market funds and debt securities such as corporate bonds and notes, municipal bonds and notes, commercial paper, treasury and agency notes and bills and certificates of deposit. Our marketable debt securities are classified as available-for-sale (“AFS”) with credit losses recognized as a credit loss expense and non-credit related unrealized gains and losses, net of tax, recorded in accumulated other comprehensive income or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information about our material cash requirements, see “Liquidity and Capital Resources” in Part II, Item 7 of our Annual Report on Form 10-K for the year ended December 31, 2024. Other than the principal payments of $17.1 million made by us under the existing Term Loan B during the three months ended March 31, 2025, our cash requirements have not materially changed since December 31, 2024. We expect to continue to make additional payments on our existing debt from cash generated from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cash requirements outlined above, we have returned cash to stockholders through both quarterly dividend payments and repurchases of our common stock under our stock repurchase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based on current levels of operations and anticipated growth, our cash from operations, together with cash and cash equivalents currently available, will be sufficient to satisfy our currently anticipated cash requirements through at least the next 12 months and thereafter for the foreseeable future. Poor financial results, unanticipated expenses, unanticipated acquisitions of technologies or businesses, or unanticipated strategic investments could give rise to additional financing requirements sooner than we expect. There can be no assurance that equity or debt financing will be available when needed or, if available, that such financing will be on terms satisfactory to us. The sale of additional equity securities could result in dilution to our stockholders. The incurrence of indebtedness could result in increased debt service obligations and may include covenants that would restrict our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Quarterly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2025, we paid quarterly cash dividends of $0.05 per share of common stock. In April 2025, our Board authorized payment of a quarterly cash dividend of $0.05 per share, to be paid in June 2025.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 Repurchase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2024, our Board approved an increase of the existing share repurchase authorization up to a total of $200.0 million. The stock repurchases may be made from time to time, through solicited or unsolicited transactions in the open market, in privately negotiated transactions, or pursuant to a Rule 10b5-1 plan. During the three months ended March 31, 2025, the Company repurchased a total of approximately 0.8 million shares of common stock, at an average price of $13.19 per share for a total cost of $10.0 million. The Company did not repurchase any shares during the three months ended March 31, 2024. As of March 31, 2025, the total remaining amount available for repurchase under this plan was $170.0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continue to execute authorized repurchases from time to time under the Plan. The amount and timing of any repurchases under the Plan depend on a number of factors, including, but not limited to, the trading price, volume and availability of our common shares. There is no guarantee that such repurchases under the Plan will enhance the value of our common stock.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provided by operations were $57.1 million for the three months ended March 31, 2025, which were primarily due to our net income of $11.8 million being adjusted for non-cash items of amortization of intangible assets of $14.1 million, stock-based compensation expense of $8.2 million, and $25.8 million in changes in operating assets and liabilities including payment during the period of employee bonuses earned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provided by operations were $67.2 million for the three months ended March 31, 2024, which were primarily due to our net income of $0.9 million being adjusted for non-cash items of amortization of intangible assets of $23.2 million, amortization of debt issuance costs of $0.8 million, stock-based compensation expense of $5.1 million and $34.8 million in changes in operating assets and liabilities including payment during the period of employee bonuses earned in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$6.2 million for the three months ended March 31, 2025, which primarily related to purchases of short-term investments in marketable securities of $7.2 million, purchases of intangible assets of $5.4 million, and proceeds from maturities of marketable securities of $6.6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was $11.0 million for the three months ended March 31, 2024, which primarily related to purchases of short-term investments in marketable securities of $11.2 million, purchases of property and equipment of $0.8 million, purchases of intangible assets of $8.5 million, and proceeds from maturities of marketable securities of $9.5 million.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capital expenditures for property and equipment consist primarily of leasehold improvements, purchases of computer hardware and software, information systems, and semiconductor production and test equipment. During the three months ended March 31, 2025 and 2024, we spent $0.2 million and $0.8 million on capital expenditures, respectively, and we expect capital expenditures in the remainder of 2025 to be approximately $1.0 million. Our capital expenditures for intangible assets consists primarily of acquired patents. During the three months ended March 31, 2025, we spent $5.4 million on purchases of intangible assets. These expenditures are expected to be financed with cash from operations, existing cash and cash equivalents and marketable securities. There can be no assurance that current expectations will be realized, and plans are subject to change upon further review of our capital expenditure needs.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financing activities was $45.6 million for the three months ended March 31, 2025 due to $17.1 million in repayment of indebtedness, $5.4 million in dividends paid, $12.0 million in repurchases of common stock for tax withholdings on equity awards, and $10.0 million in repurchases of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was $52.8 million for the three months ended March 31, 2024 due to $40.1 million in repayment of indebtedness, $5.4 million in dividends paid, $7.7 million in repurchases of common stock for tax withholdings on equity awards, partially offset by $0.5 million in proceeds from the issuance of common stock under our employee stock grant programs and employee stock purchase plans.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Long-term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8, 2021, we entered into Amendment No. 1 (“Amendment No. 1”) to that certain Credit Agreement dated June 1, 2020 by and among us, the lenders party thereto and Bank of America, N.A., as administrative agent and collateral agent (the “2020 Credit Agreement”). The 2020 Credit Agreement initially provided for a five-year senior secured term loan B facility in an aggregate principal amount of $1,050 million (the “2020 Term Loan B Facility”). Amendment No. 1 provided for, among other things, (i) a new tranche of term loans (the “2021 Refinanced Term Loan B”)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2021 Refinanced Term Loan B within six months of the closing date of Amendment No. 1, (iv) an extension of the maturity to June 8, 2028, and (v) certain additional amendments, including amendments to provide us with additional flexibility under the covenant governing restricted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30, 2023, we entered into Amendment No. 2 (“Amendment No. 2”) to the 2020 Credit Agreement to replace the reference to LIBOR as the base rate with the reference to the Secured Overnight Financing Rate “SOFR” as administered by the Federal Reserve Bank of New York.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20, 2024, we entered into Amendment No. 3 (“Amendment No. 3”) to the 2020 Credit Agreement, which provided for, among other things, (i) a repricing of the 2020 Term Loan B Facility through a refinancing of the entire amount of the 2021 Refinanced Term Loan B with a new tranche of term loans (the “2024 Term Loan B”) in an aggregate principal amount of $561.1 million, (ii) a reduction of the interest rate margin applicable to such loans to (x) in the case of SOFR loans, SOFR plus a margin of 3.00% per annum and (y) in the case of base rate loans, 2.00% per annum, (iii) a reduction in the excess cash flow mandatory payment thresholds and (iv) a prepayment premium of 1.00% in connection with any repricing transaction with respect to the 2024 Term Loan B within six months of the closing date of Amendment No. 3. The 2024 Term Loan B will mature on June 8, 2028, the same date upon which the 2021 Refinanced Term Loan B matured prior to giving effect to Amendment No. 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30, 2025, the Company entered into Amendment No. 4 (“Amendment No. 4”) to the 2020 Credit Agreement, which provided for, among other things, (i) a repricing of the 2020 Term Loan B Facility through a refinancing of the entire amount of the 2024 Term Loan B (the “2025 Term Loan B”) in an aggregate principal amount of $487.1 million, (ii) a reduction of the interest rate margin applicable to such loans to (x) in the case of SOFR loans, 2.50% per annum and (y) in the case of base rate loans, 1.50% per annum and (iii) a prepayment premium of 1.00% in connection with any repricing transaction with respect to the 2025 Term Loan B within six months of the closing date of Amendment No. 4. The 2025 Term Loan B will mature on June 8, 2028, the same date upon which the 2024 Term Loan B matured prior to giving effect to Amendment No. 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March 31, 2025, $470.0 million was outstanding under the term loan B facility with an interest rate, including unamortized debt discount and issuance costs of $10.8 million. Interest is payable monthly. Under the existing loan agreement, we have future minimum principal payments for our debt of $18.3 million in the remainder of 2025, $24.4 million each year from 2026 through 2027, with the remaining principal balance of $403.0 million due in 2028. The 2020 Credit Agreement, as amended, also requires that we continue to make cash payments on an annual basis based on certain leverage ratios and excess cash flow generated for the immediately preceding fiscal year. The cash payments are applied to the remaining principal balance due at final maturity. Based on certain leverage ratios and the voluntary prepayments we made during the year ended December 31, 2024, no excess cash flow payment is required in 2025. The term loan B facility contains customary covenants, and as of March 31, 2025, we were in full compliance with such covenants.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 three months ended March 31, 2025, there were no significant changes in our critical accounting policies and estimates. See “Note 2 – </w:t>
      </w:r>
      <w:r>
        <w:rPr>
          <w:rFonts w:ascii="Times New Roman" w:hAnsi="Times New Roman"/>
          <w:i/>
          <w:color w:val="000000"/>
          <w:sz w:val="20"/>
        </w:rPr>
        <w:t>Summary of Significant Accounting Policies</w:t>
      </w:r>
      <w:r>
        <w:rPr>
          <w:rFonts w:ascii="Times New Roman" w:hAnsi="Times New Roman"/>
          <w:color w:val="000000"/>
          <w:sz w:val="20"/>
        </w:rPr>
        <w:t xml:space="preserve">” of Notes to Condensed Consolidated Financial Statements for additional detail. For a discussion of our critical accounting policies and estimates, see Part II, Item 7 –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in our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See “Note 2 – </w:t>
      </w:r>
      <w:r>
        <w:rPr>
          <w:rFonts w:ascii="Times New Roman" w:hAnsi="Times New Roman"/>
          <w:i/>
          <w:color w:val="000000"/>
          <w:sz w:val="20"/>
        </w:rPr>
        <w:t>Summary of Significant Accounting Policies</w:t>
      </w:r>
      <w:r>
        <w:rPr>
          <w:rFonts w:ascii="Times New Roman" w:hAnsi="Times New Roman"/>
          <w:color w:val="000000"/>
          <w:sz w:val="20"/>
        </w:rPr>
        <w:t>” of the Notes to Condensed Consolidated Financial Statements for a full description of recent accounting pronouncements including the respective expected dates of adoption.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3" w:name="item_3_quantitative_qualitative_disclosu"/>
      <w:bookmarkEnd w:id="13"/>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 discussion of our market risk, see Part II, Item 7A – </w:t>
      </w:r>
      <w:r>
        <w:rPr>
          <w:rFonts w:ascii="Times New Roman" w:hAnsi="Times New Roman"/>
          <w:i/>
          <w:color w:val="000000"/>
          <w:sz w:val="20"/>
        </w:rPr>
        <w:t>Quantitative and Qualitative Disclosures About Market Risk</w:t>
      </w:r>
      <w:r>
        <w:rPr>
          <w:rFonts w:ascii="Times New Roman" w:hAnsi="Times New Roman"/>
          <w:color w:val="000000"/>
          <w:sz w:val="20"/>
        </w:rPr>
        <w:t xml:space="preserve"> in our Annual Report on Form 10-K.</w:t>
      </w:r>
    </w:p>
    <w:p>
      <w:pPr>
        <w:pStyle w:val="TextBody"/>
        <w:bidi w:val="0"/>
        <w:spacing w:before="240" w:after="283"/>
        <w:jc w:val="left"/>
        <w:rPr>
          <w:rFonts w:ascii="Times New Roman" w:hAnsi="Times New Roman"/>
          <w:sz w:val="20"/>
        </w:rPr>
      </w:pPr>
      <w:bookmarkStart w:id="14" w:name="item_4_controls_procedures"/>
      <w:bookmarkEnd w:id="1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Attached as exhibits to this Form 10-Q are certifications of Adeia Inc.’s Chief Executive Officer and Chief Financial Officer, which are required in accordance with Rule 13a-14 of the Exchange Act. This “Controls and Procedures” section includes information concerning the controls and controls evaluation referred to in the certifications and it should be read in conjunction with the certifications for a more complete understanding of the topics presented.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reports filed or submitted pursuant to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report (the evaluation date). Based on this evaluation, our Chief Executive Officer and Chief Financial Officer concluded as of the evaluation date that our disclosure controls and procedures were effective to provide reasonable assurance that the information relating to Adeia Inc., including our consolidated subsidiaries, required to be disclosed in our SEC reports (i) is recorded, processed, summarized and reported within the time periods specified in SEC rules and forms, and (ii) is accumulated and communicated to Adeia Inc.’s management, including our Chief Executive Officer and Chief Financial Officer, as appropriate, to allow timely decisions regarding required disclosure.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of the Exchange Act, during the last fiscal quarter covered by this Quarterly Report on Form 10-Q that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part_ii"/>
      <w:bookmarkEnd w:id="15"/>
      <w:r>
        <w:rPr>
          <w:rFonts w:ascii="Times New Roman" w:hAnsi="Times New Roman"/>
          <w:b/>
          <w:color w:val="000000"/>
          <w:sz w:val="20"/>
        </w:rPr>
        <w:t>PART II - OTHER INFORMATION</w:t>
      </w:r>
    </w:p>
    <w:p>
      <w:pPr>
        <w:pStyle w:val="TextBody"/>
        <w:bidi w:val="0"/>
        <w:spacing w:before="240" w:after="240"/>
        <w:jc w:val="left"/>
        <w:rPr>
          <w:rFonts w:ascii="Times New Roman" w:hAnsi="Times New Roman"/>
          <w:sz w:val="20"/>
        </w:rPr>
      </w:pPr>
      <w:bookmarkStart w:id="16" w:name="item_1_legal_proceedings"/>
      <w:bookmarkEnd w:id="16"/>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the normal course of our business, we are involved in legal proceedings. In the past, we have litigated to enforce our patents, to enforce the terms of license agreements, and to defend our patents against claims of invalidity. We expect to continue to be involved in similar legal proceedings in the future, including proceedings regarding infringement of our patents and proceedings to ensure proper and full payment of royalties by licensees under the terms of our license agreements.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cannot predict the outcome of any of the proceedings described below, other than to the extent such proceedings have concluded. An adverse decision in any of these proceedings could significantly harm our business and our consolidated financial position, results of operations, and cash flows.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Patent Infringement Litigation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ordinary course of our IP licensing business, we engage in litigation to protect our IP from infringement. While litigation is never our preference, and we prefer to reach mutually agreeable commercial licensing arrangements with third parties, it is sometimes a necessary step to effectively protect our investment in our IP. As a result of these lawsuits, defendants have often filed Inter Partes Review (“IPR”) petitions with the U.S. Patent Office’s Patent Trial and Appeal Board (and other similar post-grant proceedings outside of the U.S.) seeking to invalidate one or more of our patents. We are currently engaged in multiple lawsuits with several third parties.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Videotron Patent Infringement Litigation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May 21, 2021, Adeia Guides Inc. (formerly known as Rovi Guides, Inc.) (“Adeia Guides”) filed a patent infringement complaint against Videotron Ltd. (“Videotron”) in Toronto, Canada, alleging infringement of four patents (the “Videotron Litigation”). On July 21, 2021, the Federal Court of Canada held a case management conference in the Videotron Litigation, shortly before which Videotron filed a motion to strike various portions of the statement of claim. On March 22, 2022, the Court issued an order on Videotron’s motion to strike, dismissing the motion in its entirety. On April 1, 2022, Videotron filed an appeal of the Court’s order dismissing Videotron’s motion to strike. On June 30, 2022, the Court of Appeal issued its decision in Videotron’s appeal in which it ruled in Adeia Guides’s favor and dismissed Videotron’s appeal. The trial commenced on February 3, 2025. Closing arguments were held April 15-17, 2025. There is no set deadline for the Federal Court of Canada to issue a decision.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Bell Patent Infringement Litigation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July 27, 2021, Adeia Guides and Adeia Media Holdings LLC (formerly known as TiVo LLC) (together, “Adeia Media”) filed a patent infringement complaint against Bell Canada and four of its affiliates, Telefonaktiebolaget L M Ericsson, Ericsson Canada Inc., and MK Systems USA Inc. and MK Mediatech Canada Inc. (collectively, “Defendants”) in Toronto, Canada, alleging infringement of four patents (the “Bell Litigation”). The Defendants filed a motion to strike various portions of the statement of claim in the Bell Litigation. On March 22, 2022, the Court issued an order on Defendants’ motion to strike, dismissing-in-part and granting-in-part. On April 1, 2022, the Defendants filed a Notice of Motion to Appeal the Court’s order on Defendants’ motion to strike. On June 30, 2022, the Court of Appeal issued its decision in Defendants' appeal in which it ruled in Adeia Media's favor and dismissed Defendants’ appeal. On September 30, 2022, Defendants filed a motion for bifurcation, asking the Federal Court of Canada to bifurcate the case into two phases: a first phase related to liability and injunction and second phase addressing damages if liability is found. The Court held a hearing on the motion for bifurcation on December 12, 2022. On February 15, 2023, the Court issued an order granting the motion for bifurcation in which the Court bifurcated the liability and injunction phase from the damages quantification phase of the case. The trial commenced on April 28, 2025.</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Shaw Breach of Contract Litigation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October 2, 2023, Adeia Guides Inc., Adeia Media Solutions Inc., and Adeia Media Holdings LLC (collectively, “Adeia Media Companies”) filed a complaint against Shaw Cablesystems G.P. and Shaw Satellite G.P. (together, “Shaw”) in the United States District Court for the Southern District of New York, alleging breach of contract by Shaw for failure to pay royalties owed to Adeia Media Companies under the license agreement between the parties. On October 8, 2024, Shaw filed a motion to dismiss the complaint. The Court has yet to rule on Shaw’s motion to dismiss. The trial date has not been set.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Disney Patent Infringement Litigation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November 7, 2024, Adeia Technologies Inc., (“Adeia Technologies”) and Adeia Media filed a complaint against The Walt Disney Company, Disney Media and Entertainment Distribution LLC, Disney DTC LLC, Disney Streaming Services LLC, Disney Entertainment &amp; Sports LLC, Disney Platform Distribution, Inc., BAMTech, LLC, Hulu, LLC, and ESPN, Inc. (collectively, “Disney U.S. Defendants”) in the United States District Court for the District of Delaware, alleging infringement of six patents. On January 16, 2025, Disney U.S. Defendants filed a motion to dismiss two of the six asserted patents as invalid under 35 U.S.C. §101. Adeia Technologies and Adeia Media’s opposition to the motion to dismiss was filed on February 13, 2025. Disney U.S. Defendants’ reply was filed February 27, 2025. The Court has yet to rule on Disney U.S. Defendants’ motion to dismiss. Trial has been set for June 7-11, 2027.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November 7, 2024, Adeia Solutions LLC (“Adeia Solutions”) filed a complaint against The Walt Disney Company Benelux (BV), Disney Interactive Studios, Inc., and The Walt Disney Company Limited (collectively, “Disney Europe Defendants”) in the Regional Court of Munich, Germany, alleging infringement of one patent. Disney Europe Defendants’ answer to the complaint is due June 30, 2025.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November 7, 2024, Adeia Guides Inc. filed a complaint against the Disney Europe Defendants in the Unified Patent Court (“UPC”) Munich Local Division, Germany, alleging infringement of one patent. Disney Europe Defendants filed its Statement of Defence and Counterclaim for Revocation on March 10, 2025. Adeia Guides’ reply to Disney Europe Defendants’ Statement of Defence and Counterclaim for Revocation is due May 12, 2025. Oral hearing on the merits has been set for January 15, 2026.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November 7, 2024, Adeia Guides filed a complaint against Disney Europe Defendants in the UPC The Hague Local Division, The Netherlands, alleging infringement of one patent. Disney Europe Defendants filed its Statement of Defence and Counterclaim for Revocation on March 5, 2025. Adeia Guides’ reply to the Disney Europe Defendant’s Statement of Defence and Counterclaim for Revocation is due May 21, 2025. Oral hearing on the merits has not been set yet.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November 11, 2024, Adeia Guides filed a complaint against The Walt Disney Company (Brasil) LTDA (“Disney Brazil”) in Rio de Janeiro State Court, Brazil, alleging infringement of four patents (the “Brazil Asserted Patents”). Disney Brazil’s answer to the complaint was filed on January 27, 2025. Adeia Guides’ rebuttal to Disney Brazil’s answer to the complaint is due May 14, 2025.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January 27, 2025, Disney Brazil filed a patent invalidity lawsuit against Adeia Inc. and Adeia Guides Inc., at the Brazilian Patent and Trademark Office in Rio de Janeiro Federal Court, Brazil, alleging the Brazil Asserted Patents are invalid.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material changes to the risk factors previously disclosed in Part 1, Item 1A. of our Annual Report on Form 10-K for the year ended December 31, 2024, which is incorporated by reference herein.</w:t>
      </w:r>
    </w:p>
    <w:p>
      <w:pPr>
        <w:pStyle w:val="TextBody"/>
        <w:bidi w:val="0"/>
        <w:spacing w:before="240" w:after="283"/>
        <w:jc w:val="left"/>
        <w:rPr>
          <w:rFonts w:ascii="Times New Roman" w:hAnsi="Times New Roman"/>
          <w:b/>
          <w:color w:val="000000"/>
          <w:sz w:val="20"/>
        </w:rPr>
      </w:pPr>
      <w:bookmarkStart w:id="18" w:name="unregistered_sales_of_equity_securities"/>
      <w:bookmarkEnd w:id="18"/>
      <w:r>
        <w:rPr>
          <w:rFonts w:ascii="Times New Roman" w:hAnsi="Times New Roman"/>
          <w:b/>
          <w:color w:val="000000"/>
          <w:sz w:val="20"/>
        </w:rPr>
        <w:t>Item 2. Unregistered Sales of Equity Securities, Use of Proceeds, and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Items 2(a) and 2(b) are not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 Stock Repurchases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repurchases of our common stock during the three months ended March 31, 2025:</w:t>
      </w:r>
    </w:p>
    <w:tbl>
      <w:tblPr>
        <w:tblW w:w="10205" w:type="dxa"/>
        <w:jc w:val="left"/>
        <w:tblInd w:w="0" w:type="dxa"/>
        <w:tblLayout w:type="fixed"/>
        <w:tblCellMar>
          <w:top w:w="28" w:type="dxa"/>
          <w:left w:w="28" w:type="dxa"/>
          <w:bottom w:w="28" w:type="dxa"/>
          <w:right w:w="28" w:type="dxa"/>
        </w:tblCellMar>
      </w:tblPr>
      <w:tblGrid>
        <w:gridCol w:w="2398"/>
        <w:gridCol w:w="346"/>
        <w:gridCol w:w="355"/>
        <w:gridCol w:w="918"/>
        <w:gridCol w:w="346"/>
        <w:gridCol w:w="346"/>
        <w:gridCol w:w="292"/>
        <w:gridCol w:w="762"/>
        <w:gridCol w:w="346"/>
        <w:gridCol w:w="346"/>
        <w:gridCol w:w="367"/>
        <w:gridCol w:w="951"/>
        <w:gridCol w:w="346"/>
        <w:gridCol w:w="346"/>
        <w:gridCol w:w="329"/>
        <w:gridCol w:w="1015"/>
        <w:gridCol w:w="396"/>
      </w:tblGrid>
      <w:tr>
        <w:trPr/>
        <w:tc>
          <w:tcPr>
            <w:tcW w:w="239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w:t>
              <w:br/>
              <w:t>shares purchased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price</w:t>
              <w:br/>
              <w:t>paid per share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Total number of </w:t>
              <w:br/>
              <w:t xml:space="preserve">shares purchased </w:t>
              <w:br/>
              <w:t xml:space="preserve">as part of our </w:t>
              <w:br/>
              <w:t xml:space="preserve">share repurchase </w:t>
              <w:br/>
              <w:t xml:space="preserve">program </w:t>
            </w:r>
            <w:r>
              <w:rPr>
                <w:rFonts w:ascii="Times New Roman" w:hAnsi="Times New Roman"/>
                <w:b/>
                <w:color w:val="000000"/>
                <w:sz w:val="12"/>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Approximate </w:t>
              <w:br/>
              <w:t xml:space="preserve">dollar value of </w:t>
              <w:br/>
              <w:t xml:space="preserve">shares that may </w:t>
              <w:br/>
              <w:t xml:space="preserve">yet be purchased </w:t>
              <w:br/>
              <w:t xml:space="preserve">under our share </w:t>
              <w:br/>
              <w:t xml:space="preserve">repurchase </w:t>
              <w:br/>
              <w:t xml:space="preserve">program </w:t>
            </w:r>
            <w:r>
              <w:rPr>
                <w:rFonts w:ascii="Times New Roman" w:hAnsi="Times New Roman"/>
                <w:b/>
                <w:color w:val="000000"/>
                <w:sz w:val="12"/>
              </w:rPr>
              <w:t>(1)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except share price)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January 1, 2025 – January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February 1, 2025 – February 28, 2025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3,286</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March 1, 2025 – March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10,011</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 October 2024, our Board approved an increase of the existing share repurchase authorization up to a total of $200.0 million. The stock repurchases may be made from time to time, through solicited or unsolicited transactions in the open market, in privately negotiated transactions, or pursuant to a Rule 10b5-1 plan. There is no guarantee that such repurchases under the program will enhance the value of our stock. As of March 31, 2025, the total remaining amount available for repurchase under the Plan was $170.0 million. </w:t>
      </w:r>
    </w:p>
    <w:p>
      <w:pPr>
        <w:pStyle w:val="TextBody"/>
        <w:bidi w:val="0"/>
        <w:spacing w:before="240" w:after="283"/>
        <w:jc w:val="left"/>
        <w:rPr>
          <w:rFonts w:ascii="Times New Roman" w:hAnsi="Times New Roman"/>
          <w:b/>
          <w:color w:val="000000"/>
          <w:sz w:val="20"/>
        </w:rPr>
      </w:pPr>
      <w:bookmarkStart w:id="19" w:name="item_3__defaults_upon_senior_securities"/>
      <w:bookmarkEnd w:id="19"/>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0" w:name="item_4__mine_safety_disclosures"/>
      <w:bookmarkEnd w:id="20"/>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1" w:name="item_5__other_information"/>
      <w:bookmarkEnd w:id="21"/>
      <w:r>
        <w:rPr>
          <w:rFonts w:ascii="Times New Roman" w:hAnsi="Times New Roman"/>
          <w:b/>
          <w:color w:val="000000"/>
          <w:sz w:val="20"/>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2025, there were no Rule 10b5-1 plans or non-Rule 10b5-1 trading arrangements adopted, modified or terminated by any director or officer of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2" w:name="item_6__exhibits"/>
      <w:bookmarkEnd w:id="2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3"/>
        <w:gridCol w:w="146"/>
        <w:gridCol w:w="9316"/>
      </w:tblGrid>
      <w:tr>
        <w:trPr/>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6" w:type="dxa"/>
            <w:tcBorders/>
            <w:vAlign w:val="center"/>
          </w:tcPr>
          <w:p>
            <w:pPr>
              <w:pStyle w:val="TableContents"/>
              <w:bidi w:val="0"/>
              <w:spacing w:before="0" w:after="283"/>
              <w:jc w:val="left"/>
              <w:rPr>
                <w:sz w:val="4"/>
                <w:szCs w:val="4"/>
              </w:rPr>
            </w:pPr>
            <w:r>
              <w:rPr>
                <w:sz w:val="4"/>
                <w:szCs w:val="4"/>
              </w:rPr>
            </w:r>
          </w:p>
        </w:tc>
      </w:tr>
      <w:tr>
        <w:trPr/>
        <w:tc>
          <w:tcPr>
            <w:tcW w:w="743" w:type="dxa"/>
            <w:tcBorders>
              <w:bottom w:val="single" w:sz="4" w:space="0" w:color="000000"/>
            </w:tcBorders>
            <w:tcMar>
              <w:top w:w="0" w:type="dxa"/>
              <w:left w:w="0" w:type="dxa"/>
              <w:right w:w="0" w:type="dxa"/>
            </w:tcMar>
            <w:vAlign w:val="center"/>
          </w:tcPr>
          <w:p>
            <w:pPr>
              <w:pStyle w:val="TableContents"/>
              <w:bidi w:val="0"/>
              <w:spacing w:before="40" w:after="283"/>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Title</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Amendment No. 4 to Credit Agreement, dated as of January 30, 2025, among Adeia Inc., the subsidiaries of Adeia Inc. party thereto, Bank of America, N.A. as administrative agent and collateral agent, and the lenders party thereto (including Conformed Credit Agreement giving effect to Amendments) filed as Exhibit 10.1 to the Registrant’s Current Report on Form 8-K filed with the SEC on January 30, 2025, and incorporated herein by reference)</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w:anchor="adea-ex31_1.htm">
              <w:r>
                <w:rPr>
                  <w:rStyle w:val="InternetLink"/>
                  <w:rFonts w:ascii="Times New Roman" w:hAnsi="Times New Roman"/>
                  <w:color w:val="0000FF"/>
                  <w:sz w:val="20"/>
                  <w:u w:val="single"/>
                </w:rPr>
                <w:t>Certification of the Chief Executive Officer pursuant to Rule 13a-14(a) of the Securities Exchange Act of 1934</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w:anchor="adea-ex31_2.htm">
              <w:r>
                <w:rPr>
                  <w:rStyle w:val="InternetLink"/>
                  <w:rFonts w:ascii="Times New Roman" w:hAnsi="Times New Roman"/>
                  <w:color w:val="0000FF"/>
                  <w:sz w:val="20"/>
                  <w:u w:val="single"/>
                </w:rPr>
                <w:t>Certification of the Chief Financial Officer pursuant to Rule 13a-14(a) of the Securities Exchange Act of 1934</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w:anchor="adea-ex32_1.htm">
              <w:r>
                <w:rPr>
                  <w:rStyle w:val="InternetLink"/>
                  <w:rFonts w:ascii="Times New Roman" w:hAnsi="Times New Roman"/>
                  <w:color w:val="0000FF"/>
                  <w:sz w:val="20"/>
                  <w:u w:val="single"/>
                </w:rPr>
                <w:t>Certification of the Chief Executive Officer and Chief Financial Officer pursuant to Rule 13a-14(b) of the Securities Exchange Act of 1934 and 18 U.S.C. Section 1350, as adopted pursuant to Section 906 of the Sarbanes-Oxley Act of 2002</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May 6, 2025</w:t>
      </w:r>
    </w:p>
    <w:p>
      <w:pPr>
        <w:pStyle w:val="TextBody"/>
        <w:bidi w:val="0"/>
        <w:jc w:val="left"/>
        <w:rPr/>
      </w:pPr>
      <w:r>
        <w:rPr/>
        <w:t> </w:t>
      </w:r>
    </w:p>
    <w:tbl>
      <w:tblPr>
        <w:tblW w:w="2578" w:type="dxa"/>
        <w:jc w:val="left"/>
        <w:tblInd w:w="0" w:type="dxa"/>
        <w:tblLayout w:type="fixed"/>
        <w:tblCellMar>
          <w:top w:w="28" w:type="dxa"/>
          <w:left w:w="28" w:type="dxa"/>
          <w:bottom w:w="28" w:type="dxa"/>
          <w:right w:w="28" w:type="dxa"/>
        </w:tblCellMar>
      </w:tblPr>
      <w:tblGrid>
        <w:gridCol w:w="421"/>
        <w:gridCol w:w="146"/>
        <w:gridCol w:w="201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ADEIA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Jones</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Keith A. Jones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24" w:name="adea-ex31_1.htm"/>
      <w:bookmarkStart w:id="25" w:name="ksadeaex31_1"/>
      <w:bookmarkEnd w:id="24"/>
      <w:bookmarkEnd w:id="25"/>
      <w:r>
        <w:rPr>
          <w:rFonts w:ascii="Times New Roman" w:hAnsi="Times New Roman"/>
          <w:color w:val="000000"/>
          <w:sz w:val="20"/>
        </w:rPr>
        <w:br/>
        <w:t> </w:t>
      </w:r>
      <w:r>
        <w:br w:type="page"/>
      </w:r>
    </w:p>
    <w:p>
      <w:pPr>
        <w:pStyle w:val="TextBody"/>
        <w:bidi w:val="0"/>
        <w:jc w:val="right"/>
        <w:rPr>
          <w:rFonts w:ascii="Times New Roman" w:hAnsi="Times New Roman"/>
          <w:b/>
          <w:color w:val="000000"/>
          <w:sz w:val="20"/>
        </w:rPr>
      </w:pPr>
      <w:bookmarkStart w:id="26" w:name="exhibit_31_1"/>
      <w:bookmarkEnd w:id="26"/>
      <w:r>
        <w:rPr>
          <w:rFonts w:ascii="Times New Roman" w:hAnsi="Times New Roman"/>
          <w:b/>
          <w:color w:val="000000"/>
          <w:sz w:val="20"/>
        </w:rPr>
        <w:t>Exhibit 31.1</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of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Securities Exchange Act of 1934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Paul E. Davis, certify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I have reviewed this quarterly report on Form 10-Q of Adeia Inc.;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93" w:type="dxa"/>
        <w:jc w:val="left"/>
        <w:tblInd w:w="0" w:type="dxa"/>
        <w:tblLayout w:type="fixed"/>
        <w:tblCellMar>
          <w:top w:w="28" w:type="dxa"/>
          <w:left w:w="28" w:type="dxa"/>
          <w:bottom w:w="28" w:type="dxa"/>
          <w:right w:w="28" w:type="dxa"/>
        </w:tblCellMar>
      </w:tblPr>
      <w:tblGrid>
        <w:gridCol w:w="1636"/>
        <w:gridCol w:w="14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E. Davis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E. Davis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27" w:name="adea-ex31_2.htm"/>
      <w:bookmarkStart w:id="28" w:name="ksadeaex31_2"/>
      <w:bookmarkEnd w:id="27"/>
      <w:bookmarkEnd w:id="28"/>
      <w:r>
        <w:rPr>
          <w:rFonts w:ascii="Times New Roman" w:hAnsi="Times New Roman"/>
          <w:color w:val="000000"/>
          <w:sz w:val="20"/>
        </w:rPr>
        <w:b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of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Securities Exchange Act of 1934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Keith A. Jones, certify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I have reviewed this quarterly report on Form 10-Q of Adeia Inc.;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793" w:type="dxa"/>
        <w:jc w:val="left"/>
        <w:tblInd w:w="0" w:type="dxa"/>
        <w:tblLayout w:type="fixed"/>
        <w:tblCellMar>
          <w:top w:w="28" w:type="dxa"/>
          <w:left w:w="28" w:type="dxa"/>
          <w:bottom w:w="28" w:type="dxa"/>
          <w:right w:w="28" w:type="dxa"/>
        </w:tblCellMar>
      </w:tblPr>
      <w:tblGrid>
        <w:gridCol w:w="1636"/>
        <w:gridCol w:w="146"/>
        <w:gridCol w:w="201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Jones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Jones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29" w:name="adea-ex32_1.htm"/>
      <w:bookmarkStart w:id="30" w:name="ksadeaex32_1"/>
      <w:bookmarkEnd w:id="29"/>
      <w:bookmarkEnd w:id="30"/>
      <w:r>
        <w:rPr>
          <w:rFonts w:ascii="Times New Roman" w:hAnsi="Times New Roman"/>
          <w:color w:val="000000"/>
          <w:sz w:val="20"/>
        </w:rPr>
        <w:b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13a-14(b)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AND 18 U.S.C. SECTION 1350</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connection with the Quarterly Report of Adeia Inc., a Delaware corporation (the “Company”), on Form 10-Q for the period ended March 31, 2025 as filed with the Securities and Exchange Commission (the “Report”), I, Paul E. Davis, Chief Executive Officer and President, certify, pursuant to Rule 13a-14(b) of the Securities Exchange Act of 1934 and 18 U.S.C. § 1350, as adopted pursuant to § 906 of the Sarbanes-Oxley Act of 2002, that to my knowledge: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E. Davis</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E. Davis</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6, 2025</w:t>
            </w:r>
          </w:p>
        </w:tc>
      </w:tr>
    </w:tbl>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13a-14(b)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AND 18 U.S.C. SECTION 1350</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connection with the Quarterly Report of Adeia Inc., a Delaware corporation (the “Company”), on Form 10-Q for the period ended March 31, 2025 as filed with the Securities and Exchange Commission (the “Report”), I, Keith A. Jones, Chief Financial Officer of the Company, certify, pursuant to Rule 13a-14(b) of the Securities Exchange Act of 1934 and 18 U.S.C. § 1350, as adopted pursuant to § 906 of the Sarbanes-Oxley Act of 2002, that to my knowledge: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Jones</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Jones</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6, 2025</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 signed original of this written statement required by Rule 13a-14(b) of the Securities Exchange Act of 1934 and 18 U.S.C. Section 1350 has been provided to the Registrant and will be retained by the Registrant and furnished to the Securities and Exchange Commission or its staff upon request.</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3696/000095017025011133/adea-ex10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20277</Words>
  <Characters>110807</Characters>
  <CharactersWithSpaces>132255</CharactersWithSpaces>
  <Paragraphs>5374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